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hd w:val="clear" w:color="auto" w:fill="FFFFFF"/>
        <w:spacing w:beforeAutospacing="0" w:afterAutospacing="0" w:line="560" w:lineRule="exact"/>
        <w:jc w:val="center"/>
        <w:rPr>
          <w:rFonts w:ascii="方正小标宋简体" w:hAnsi="方正小标宋简体" w:eastAsia="方正小标宋简体" w:cs="方正小标宋简体"/>
          <w:sz w:val="44"/>
          <w:szCs w:val="44"/>
          <w:shd w:val="clear" w:color="auto" w:fill="FFFFFF"/>
        </w:rPr>
      </w:pPr>
      <w:r>
        <w:rPr>
          <w:rFonts w:hint="eastAsia" w:ascii="方正小标宋简体" w:hAnsi="方正小标宋简体" w:eastAsia="方正小标宋简体" w:cs="方正小标宋简体"/>
          <w:sz w:val="44"/>
          <w:szCs w:val="44"/>
          <w:shd w:val="clear" w:color="auto" w:fill="FFFFFF"/>
        </w:rPr>
        <w:t>汕尾市支持中小微企业融资专项资金</w:t>
      </w:r>
    </w:p>
    <w:p>
      <w:pPr>
        <w:pStyle w:val="6"/>
        <w:shd w:val="clear" w:color="auto" w:fill="FFFFFF"/>
        <w:spacing w:beforeAutospacing="0" w:afterAutospacing="0" w:line="560" w:lineRule="exact"/>
        <w:jc w:val="center"/>
        <w:rPr>
          <w:rFonts w:hint="eastAsia" w:ascii="方正小标宋简体" w:hAnsi="方正小标宋简体" w:eastAsia="方正小标宋简体" w:cs="方正小标宋简体"/>
          <w:sz w:val="44"/>
          <w:szCs w:val="44"/>
          <w:shd w:val="clear" w:color="auto" w:fill="FFFFFF"/>
        </w:rPr>
      </w:pPr>
      <w:r>
        <w:rPr>
          <w:rFonts w:hint="eastAsia" w:ascii="方正小标宋简体" w:hAnsi="方正小标宋简体" w:eastAsia="方正小标宋简体" w:cs="方正小标宋简体"/>
          <w:sz w:val="44"/>
          <w:szCs w:val="44"/>
          <w:shd w:val="clear" w:color="auto" w:fill="FFFFFF"/>
        </w:rPr>
        <w:t>管理办法</w:t>
      </w:r>
    </w:p>
    <w:p>
      <w:pPr>
        <w:pStyle w:val="6"/>
        <w:shd w:val="clear" w:color="auto" w:fill="FFFFFF"/>
        <w:spacing w:beforeAutospacing="0" w:afterAutospacing="0" w:line="560" w:lineRule="exact"/>
        <w:jc w:val="center"/>
        <w:rPr>
          <w:rFonts w:hint="eastAsia" w:ascii="楷体_GB2312" w:hAnsi="楷体_GB2312" w:eastAsia="楷体_GB2312" w:cs="楷体_GB2312"/>
          <w:sz w:val="32"/>
          <w:szCs w:val="32"/>
          <w:shd w:val="clear" w:color="auto" w:fill="FFFFFF"/>
        </w:rPr>
      </w:pPr>
    </w:p>
    <w:p>
      <w:pPr>
        <w:pStyle w:val="6"/>
        <w:shd w:val="clear" w:color="auto" w:fill="FFFFFF"/>
        <w:spacing w:beforeAutospacing="0" w:afterAutospacing="0" w:line="560" w:lineRule="exact"/>
        <w:jc w:val="center"/>
        <w:rPr>
          <w:rFonts w:hint="eastAsia" w:ascii="楷体_GB2312" w:hAnsi="楷体_GB2312" w:eastAsia="楷体_GB2312" w:cs="楷体_GB2312"/>
          <w:sz w:val="32"/>
          <w:szCs w:val="32"/>
          <w:shd w:val="clear" w:color="auto" w:fill="FFFFFF"/>
        </w:rPr>
      </w:pPr>
      <w:r>
        <w:rPr>
          <w:rFonts w:hint="eastAsia" w:ascii="楷体_GB2312" w:hAnsi="楷体_GB2312" w:eastAsia="楷体_GB2312" w:cs="楷体_GB2312"/>
          <w:sz w:val="32"/>
          <w:szCs w:val="32"/>
          <w:shd w:val="clear" w:color="auto" w:fill="FFFFFF"/>
        </w:rPr>
        <w:t>（修订稿）</w:t>
      </w:r>
    </w:p>
    <w:p>
      <w:pPr>
        <w:pStyle w:val="6"/>
        <w:shd w:val="clear" w:color="auto" w:fill="FFFFFF"/>
        <w:spacing w:beforeAutospacing="0" w:afterAutospacing="0" w:line="560" w:lineRule="exact"/>
        <w:jc w:val="center"/>
        <w:rPr>
          <w:rFonts w:hint="eastAsia" w:ascii="楷体_GB2312" w:hAnsi="楷体_GB2312" w:eastAsia="楷体_GB2312" w:cs="楷体_GB2312"/>
          <w:sz w:val="32"/>
          <w:szCs w:val="32"/>
          <w:shd w:val="clear" w:color="auto" w:fill="FFFFFF"/>
        </w:rPr>
      </w:pPr>
    </w:p>
    <w:p>
      <w:pPr>
        <w:pStyle w:val="6"/>
        <w:keepNext w:val="0"/>
        <w:keepLines w:val="0"/>
        <w:pageBreakBefore w:val="0"/>
        <w:shd w:val="clear" w:color="auto" w:fill="FFFFFF"/>
        <w:kinsoku/>
        <w:wordWrap/>
        <w:overflowPunct/>
        <w:topLinePunct w:val="0"/>
        <w:autoSpaceDE/>
        <w:autoSpaceDN/>
        <w:bidi w:val="0"/>
        <w:spacing w:beforeAutospacing="0" w:afterAutospacing="0"/>
        <w:ind w:firstLine="640" w:firstLineChars="200"/>
        <w:jc w:val="both"/>
        <w:textAlignment w:val="auto"/>
        <w:rPr>
          <w:rFonts w:ascii="微软雅黑" w:hAnsi="微软雅黑" w:eastAsia="微软雅黑" w:cs="微软雅黑"/>
          <w:sz w:val="21"/>
          <w:szCs w:val="21"/>
        </w:rPr>
      </w:pPr>
      <w:r>
        <w:rPr>
          <w:rFonts w:hint="eastAsia" w:ascii="仿宋_GB2312" w:eastAsia="仿宋_GB2312"/>
          <w:bCs/>
          <w:sz w:val="32"/>
          <w:szCs w:val="32"/>
        </w:rPr>
        <w:t>为缓解中小微企业（包括所有中小微市场主体，含中小微企业、个体工商户、个体工商户经营者、中小微企业主、经营性农户、其他政府机构登记的中小微经济组织等，以下统称“中小微企业”）资金周转压力，</w:t>
      </w:r>
      <w:r>
        <w:rPr>
          <w:rFonts w:hint="eastAsia" w:ascii="仿宋_GB2312" w:hAnsi="宋体" w:eastAsia="仿宋_GB2312" w:cs="仿宋_GB2312"/>
          <w:sz w:val="32"/>
          <w:szCs w:val="32"/>
          <w:shd w:val="clear" w:color="auto" w:fill="FFFFFF"/>
        </w:rPr>
        <w:t>帮助中小微企业维护银行信用并及时获得银行转贷、续贷支持，进一步</w:t>
      </w:r>
      <w:r>
        <w:rPr>
          <w:rFonts w:hint="eastAsia" w:ascii="仿宋_GB2312" w:hAnsi="Calibri" w:eastAsia="仿宋_GB2312" w:cs="仿宋_GB2312"/>
          <w:sz w:val="32"/>
          <w:szCs w:val="32"/>
          <w:shd w:val="clear" w:color="auto" w:fill="FFFFFF"/>
        </w:rPr>
        <w:t>加强融资专项资金管理，</w:t>
      </w:r>
      <w:r>
        <w:rPr>
          <w:rFonts w:hint="eastAsia" w:ascii="仿宋_GB2312" w:hAnsi="宋体" w:eastAsia="仿宋_GB2312" w:cs="仿宋_GB2312"/>
          <w:sz w:val="32"/>
          <w:szCs w:val="32"/>
          <w:shd w:val="clear" w:color="auto" w:fill="FFFFFF"/>
        </w:rPr>
        <w:t>根据</w:t>
      </w:r>
      <w:r>
        <w:rPr>
          <w:rFonts w:hint="eastAsia" w:ascii="仿宋_GB2312" w:eastAsia="仿宋_GB2312"/>
          <w:bCs/>
          <w:sz w:val="32"/>
          <w:szCs w:val="32"/>
        </w:rPr>
        <w:t>《中共广东省委办公厅 广东省人民政府办公厅印发&lt;关于促进民营经济高质量发展的若干政策措施&gt;的通知》（粤办发〔2020〕27号）和《关于印发&lt;广东省支持中小企业融资的若干政策措施&gt;的通知》（粤金监〔2019〕58号）</w:t>
      </w:r>
      <w:r>
        <w:rPr>
          <w:rFonts w:hint="eastAsia" w:ascii="仿宋_GB2312" w:hAnsi="Calibri" w:eastAsia="仿宋_GB2312" w:cs="仿宋_GB2312"/>
          <w:sz w:val="32"/>
          <w:szCs w:val="32"/>
          <w:shd w:val="clear" w:color="auto" w:fill="FFFFFF"/>
        </w:rPr>
        <w:t>等</w:t>
      </w:r>
      <w:r>
        <w:rPr>
          <w:rFonts w:hint="eastAsia" w:ascii="仿宋_GB2312" w:eastAsia="仿宋_GB2312"/>
          <w:bCs/>
          <w:sz w:val="32"/>
          <w:szCs w:val="32"/>
        </w:rPr>
        <w:t>文件精神</w:t>
      </w:r>
      <w:r>
        <w:rPr>
          <w:rFonts w:hint="eastAsia" w:ascii="仿宋_GB2312" w:hAnsi="Calibri" w:eastAsia="仿宋_GB2312" w:cs="仿宋_GB2312"/>
          <w:sz w:val="32"/>
          <w:szCs w:val="32"/>
          <w:shd w:val="clear" w:color="auto" w:fill="FFFFFF"/>
        </w:rPr>
        <w:t>，同时结合前期中小微企业融资专项资金业务运作情况，特对《汕尾市支持中小微企业融资专项资金管理办法》（汕府办</w:t>
      </w:r>
      <w:r>
        <w:rPr>
          <w:rFonts w:hint="eastAsia" w:ascii="仿宋_GB2312" w:eastAsia="仿宋_GB2312"/>
          <w:bCs/>
          <w:sz w:val="32"/>
          <w:szCs w:val="32"/>
        </w:rPr>
        <w:t>〔20</w:t>
      </w:r>
      <w:r>
        <w:rPr>
          <w:rFonts w:hint="default" w:ascii="仿宋_GB2312" w:eastAsia="仿宋_GB2312"/>
          <w:bCs/>
          <w:sz w:val="32"/>
          <w:szCs w:val="32"/>
          <w:lang w:val="en-US"/>
        </w:rPr>
        <w:t>20</w:t>
      </w:r>
      <w:bookmarkStart w:id="0" w:name="_GoBack"/>
      <w:bookmarkEnd w:id="0"/>
      <w:r>
        <w:rPr>
          <w:rFonts w:hint="eastAsia" w:ascii="仿宋_GB2312" w:eastAsia="仿宋_GB2312"/>
          <w:bCs/>
          <w:sz w:val="32"/>
          <w:szCs w:val="32"/>
        </w:rPr>
        <w:t>〕</w:t>
      </w:r>
      <w:r>
        <w:rPr>
          <w:rFonts w:ascii="仿宋_GB2312" w:hAnsi="Calibri" w:eastAsia="仿宋_GB2312" w:cs="仿宋_GB2312"/>
          <w:sz w:val="32"/>
          <w:szCs w:val="32"/>
          <w:shd w:val="clear" w:color="auto" w:fill="FFFFFF"/>
        </w:rPr>
        <w:t>39号）进行优化，制定本管理办法。</w:t>
      </w:r>
    </w:p>
    <w:p>
      <w:pPr>
        <w:pStyle w:val="6"/>
        <w:keepNext w:val="0"/>
        <w:keepLines w:val="0"/>
        <w:pageBreakBefore w:val="0"/>
        <w:shd w:val="clear" w:color="auto" w:fill="FFFFFF"/>
        <w:kinsoku/>
        <w:wordWrap/>
        <w:overflowPunct/>
        <w:topLinePunct w:val="0"/>
        <w:autoSpaceDE/>
        <w:autoSpaceDN/>
        <w:bidi w:val="0"/>
        <w:spacing w:beforeAutospacing="0" w:afterAutospacing="0"/>
        <w:ind w:firstLine="643" w:firstLineChars="200"/>
        <w:jc w:val="both"/>
        <w:textAlignment w:val="auto"/>
        <w:rPr>
          <w:rFonts w:ascii="仿宋_GB2312" w:hAnsi="宋体" w:eastAsia="仿宋_GB2312" w:cs="仿宋_GB2312"/>
          <w:sz w:val="32"/>
          <w:szCs w:val="32"/>
          <w:shd w:val="clear" w:color="auto" w:fill="FFFFFF"/>
        </w:rPr>
      </w:pPr>
      <w:r>
        <w:rPr>
          <w:rStyle w:val="9"/>
          <w:rFonts w:hint="eastAsia" w:ascii="仿宋_GB2312" w:hAnsi="宋体" w:eastAsia="仿宋_GB2312" w:cs="仿宋_GB2312"/>
          <w:sz w:val="32"/>
          <w:szCs w:val="32"/>
          <w:shd w:val="clear" w:color="auto" w:fill="FFFFFF"/>
        </w:rPr>
        <w:t xml:space="preserve">第一条 </w:t>
      </w:r>
      <w:r>
        <w:rPr>
          <w:rFonts w:hint="eastAsia" w:ascii="仿宋_GB2312" w:hAnsi="宋体" w:eastAsia="仿宋_GB2312" w:cs="仿宋_GB2312"/>
          <w:sz w:val="32"/>
          <w:szCs w:val="32"/>
          <w:shd w:val="clear" w:color="auto" w:fill="FFFFFF"/>
        </w:rPr>
        <w:t>本办法所称汕尾市支持中小微企业融资专项资金（下称“专项资金”）是指为帮助符合银行信贷条件而足额还贷暂时困难的中小微企业顺利完成转贷、续贷和贷款跨行置换提供短期周转的政策性资金。</w:t>
      </w:r>
    </w:p>
    <w:p>
      <w:pPr>
        <w:pStyle w:val="6"/>
        <w:keepNext w:val="0"/>
        <w:keepLines w:val="0"/>
        <w:pageBreakBefore w:val="0"/>
        <w:shd w:val="clear" w:color="auto" w:fill="FFFFFF"/>
        <w:kinsoku/>
        <w:wordWrap/>
        <w:overflowPunct/>
        <w:topLinePunct w:val="0"/>
        <w:autoSpaceDE/>
        <w:autoSpaceDN/>
        <w:bidi w:val="0"/>
        <w:spacing w:beforeAutospacing="0" w:afterAutospacing="0"/>
        <w:ind w:firstLine="640" w:firstLineChars="200"/>
        <w:jc w:val="both"/>
        <w:textAlignment w:val="auto"/>
        <w:rPr>
          <w:rFonts w:ascii="仿宋_GB2312" w:hAnsi="宋体" w:eastAsia="仿宋_GB2312" w:cs="仿宋_GB2312"/>
          <w:sz w:val="32"/>
          <w:szCs w:val="32"/>
          <w:shd w:val="clear" w:color="auto" w:fill="FFFFFF"/>
        </w:rPr>
      </w:pPr>
      <w:r>
        <w:rPr>
          <w:rFonts w:hint="eastAsia" w:ascii="仿宋_GB2312" w:hAnsi="宋体" w:eastAsia="仿宋_GB2312" w:cs="仿宋_GB2312"/>
          <w:sz w:val="32"/>
          <w:szCs w:val="32"/>
          <w:shd w:val="clear" w:color="auto" w:fill="FFFFFF"/>
        </w:rPr>
        <w:t>使用专项资金的前提条件是中小微企业必须符合银行信贷条件，且新的贷款已经获得银行审批通过。一般情况下，同一主体在同一家银行的转贷、续贷业务可以申请使用专项资金，但以下三种特殊情况（称之为特殊转续贷），经严格审核后，也可以申请使用专项资金：</w:t>
      </w:r>
    </w:p>
    <w:p>
      <w:pPr>
        <w:pStyle w:val="6"/>
        <w:keepNext w:val="0"/>
        <w:keepLines w:val="0"/>
        <w:pageBreakBefore w:val="0"/>
        <w:shd w:val="clear" w:color="auto" w:fill="FFFFFF"/>
        <w:kinsoku/>
        <w:wordWrap/>
        <w:overflowPunct/>
        <w:topLinePunct w:val="0"/>
        <w:autoSpaceDE/>
        <w:autoSpaceDN/>
        <w:bidi w:val="0"/>
        <w:spacing w:beforeAutospacing="0" w:afterAutospacing="0"/>
        <w:ind w:firstLine="640" w:firstLineChars="200"/>
        <w:jc w:val="both"/>
        <w:textAlignment w:val="auto"/>
        <w:rPr>
          <w:rFonts w:ascii="仿宋_GB2312" w:hAnsi="宋体" w:eastAsia="仿宋_GB2312" w:cs="仿宋_GB2312"/>
          <w:sz w:val="32"/>
          <w:szCs w:val="32"/>
          <w:shd w:val="clear" w:color="auto" w:fill="FFFFFF"/>
        </w:rPr>
      </w:pPr>
      <w:r>
        <w:rPr>
          <w:rFonts w:hint="eastAsia" w:ascii="仿宋_GB2312" w:hAnsi="宋体" w:eastAsia="仿宋_GB2312" w:cs="仿宋_GB2312"/>
          <w:sz w:val="32"/>
          <w:szCs w:val="32"/>
          <w:shd w:val="clear" w:color="auto" w:fill="FFFFFF"/>
        </w:rPr>
        <w:t>（一）同一中小微企业出于优化贷款结构的目的，用一家银行的新贷款置换原银行旧贷款，在新贷款已经获得审批、且新贷款发放的前提条件是必须结清原银行老贷款情况下，可以申请使用专项资金。</w:t>
      </w:r>
    </w:p>
    <w:p>
      <w:pPr>
        <w:pStyle w:val="6"/>
        <w:keepNext w:val="0"/>
        <w:keepLines w:val="0"/>
        <w:pageBreakBefore w:val="0"/>
        <w:shd w:val="clear" w:color="auto" w:fill="FFFFFF"/>
        <w:kinsoku/>
        <w:wordWrap/>
        <w:overflowPunct/>
        <w:topLinePunct w:val="0"/>
        <w:autoSpaceDE/>
        <w:autoSpaceDN/>
        <w:bidi w:val="0"/>
        <w:spacing w:beforeAutospacing="0" w:afterAutospacing="0"/>
        <w:ind w:firstLine="640" w:firstLineChars="200"/>
        <w:jc w:val="both"/>
        <w:textAlignment w:val="auto"/>
        <w:rPr>
          <w:rFonts w:ascii="仿宋_GB2312" w:hAnsi="宋体" w:eastAsia="仿宋_GB2312" w:cs="仿宋_GB2312"/>
          <w:sz w:val="32"/>
          <w:szCs w:val="32"/>
          <w:shd w:val="clear" w:color="auto" w:fill="FFFFFF"/>
        </w:rPr>
      </w:pPr>
      <w:r>
        <w:rPr>
          <w:rFonts w:hint="eastAsia" w:ascii="仿宋_GB2312" w:hAnsi="宋体" w:eastAsia="仿宋_GB2312" w:cs="仿宋_GB2312"/>
          <w:sz w:val="32"/>
          <w:szCs w:val="32"/>
          <w:shd w:val="clear" w:color="auto" w:fill="FFFFFF"/>
        </w:rPr>
        <w:t>（二）同一实控人有实际控制的多家中小微企业，其中一家中小微企业在银行的贷款到期前，银行要求该主体的贷款需结清退出，但此银行同时已审批同意给予同一实控人的另一主体发放贷款，可以申请使用专项资金。</w:t>
      </w:r>
    </w:p>
    <w:p>
      <w:pPr>
        <w:pStyle w:val="6"/>
        <w:keepNext w:val="0"/>
        <w:keepLines w:val="0"/>
        <w:pageBreakBefore w:val="0"/>
        <w:shd w:val="clear" w:color="auto" w:fill="FFFFFF"/>
        <w:kinsoku/>
        <w:wordWrap/>
        <w:overflowPunct/>
        <w:topLinePunct w:val="0"/>
        <w:autoSpaceDE/>
        <w:autoSpaceDN/>
        <w:bidi w:val="0"/>
        <w:spacing w:beforeAutospacing="0" w:afterAutospacing="0"/>
        <w:ind w:firstLine="640" w:firstLineChars="200"/>
        <w:jc w:val="both"/>
        <w:textAlignment w:val="auto"/>
        <w:rPr>
          <w:rFonts w:ascii="微软雅黑" w:hAnsi="微软雅黑" w:eastAsia="微软雅黑" w:cs="微软雅黑"/>
          <w:sz w:val="21"/>
          <w:szCs w:val="21"/>
        </w:rPr>
      </w:pPr>
      <w:r>
        <w:rPr>
          <w:rFonts w:hint="eastAsia" w:ascii="仿宋_GB2312" w:hAnsi="宋体" w:eastAsia="仿宋_GB2312" w:cs="仿宋_GB2312"/>
          <w:sz w:val="32"/>
          <w:szCs w:val="32"/>
          <w:shd w:val="clear" w:color="auto" w:fill="FFFFFF"/>
        </w:rPr>
        <w:t>（三）中小微企业贷款到期前，银行要求该家主体贷款需结清退出，但此银行同时已审批同意给予实控人（企业主）发放贷款，可以申请使用专项资金；或者企业主贷款到期前，银行要求其贷款需结清退出，但这家银行同时已审批同意给予其经营控制的企业发放贷款，可以申请使用专项资金。</w:t>
      </w:r>
    </w:p>
    <w:p>
      <w:pPr>
        <w:pStyle w:val="6"/>
        <w:keepNext w:val="0"/>
        <w:keepLines w:val="0"/>
        <w:pageBreakBefore w:val="0"/>
        <w:shd w:val="clear" w:color="auto" w:fill="FFFFFF"/>
        <w:kinsoku/>
        <w:wordWrap/>
        <w:overflowPunct/>
        <w:topLinePunct w:val="0"/>
        <w:autoSpaceDE/>
        <w:autoSpaceDN/>
        <w:bidi w:val="0"/>
        <w:spacing w:beforeAutospacing="0" w:afterAutospacing="0"/>
        <w:ind w:firstLine="643" w:firstLineChars="200"/>
        <w:jc w:val="both"/>
        <w:textAlignment w:val="auto"/>
        <w:rPr>
          <w:rStyle w:val="9"/>
          <w:rFonts w:ascii="仿宋_GB2312" w:hAnsi="宋体" w:eastAsia="仿宋_GB2312" w:cs="仿宋_GB2312"/>
          <w:sz w:val="32"/>
          <w:szCs w:val="32"/>
          <w:shd w:val="clear" w:color="auto" w:fill="FFFFFF"/>
        </w:rPr>
      </w:pPr>
      <w:r>
        <w:rPr>
          <w:rStyle w:val="9"/>
          <w:rFonts w:hint="eastAsia" w:ascii="仿宋_GB2312" w:hAnsi="宋体" w:eastAsia="仿宋_GB2312" w:cs="仿宋_GB2312"/>
          <w:sz w:val="32"/>
          <w:szCs w:val="32"/>
          <w:shd w:val="clear" w:color="auto" w:fill="FFFFFF"/>
        </w:rPr>
        <w:t xml:space="preserve">第二条 </w:t>
      </w:r>
      <w:r>
        <w:rPr>
          <w:rFonts w:hint="eastAsia" w:ascii="仿宋_GB2312" w:hAnsi="宋体" w:eastAsia="仿宋_GB2312" w:cs="仿宋_GB2312"/>
          <w:sz w:val="32"/>
          <w:szCs w:val="32"/>
          <w:shd w:val="clear" w:color="auto" w:fill="FFFFFF"/>
        </w:rPr>
        <w:t>专项资金总</w:t>
      </w:r>
      <w:r>
        <w:rPr>
          <w:rFonts w:hint="eastAsia" w:ascii="仿宋_GB2312" w:eastAsia="仿宋_GB2312"/>
          <w:bCs/>
          <w:sz w:val="32"/>
          <w:szCs w:val="32"/>
        </w:rPr>
        <w:t>规模8000万元，首期资金规模4</w:t>
      </w:r>
      <w:r>
        <w:rPr>
          <w:rFonts w:ascii="仿宋_GB2312" w:eastAsia="仿宋_GB2312"/>
          <w:bCs/>
          <w:sz w:val="32"/>
          <w:szCs w:val="32"/>
        </w:rPr>
        <w:t>000万元</w:t>
      </w:r>
      <w:r>
        <w:rPr>
          <w:rFonts w:hint="eastAsia" w:ascii="仿宋_GB2312" w:eastAsia="仿宋_GB2312"/>
          <w:bCs/>
          <w:sz w:val="32"/>
          <w:szCs w:val="32"/>
        </w:rPr>
        <w:t>。</w:t>
      </w:r>
      <w:r>
        <w:rPr>
          <w:rFonts w:ascii="仿宋_GB2312" w:eastAsia="仿宋_GB2312"/>
          <w:bCs/>
          <w:sz w:val="32"/>
          <w:szCs w:val="32"/>
        </w:rPr>
        <w:t>其中</w:t>
      </w:r>
      <w:r>
        <w:rPr>
          <w:rFonts w:hint="eastAsia" w:ascii="仿宋_GB2312" w:eastAsia="仿宋_GB2312"/>
          <w:bCs/>
          <w:sz w:val="32"/>
          <w:szCs w:val="32"/>
        </w:rPr>
        <w:t>市级出资2</w:t>
      </w:r>
      <w:r>
        <w:rPr>
          <w:rFonts w:ascii="仿宋_GB2312" w:eastAsia="仿宋_GB2312"/>
          <w:bCs/>
          <w:sz w:val="32"/>
          <w:szCs w:val="32"/>
        </w:rPr>
        <w:t>000万元，</w:t>
      </w:r>
      <w:r>
        <w:rPr>
          <w:rFonts w:hint="eastAsia" w:ascii="仿宋_GB2312" w:eastAsia="仿宋_GB2312"/>
          <w:bCs/>
          <w:sz w:val="32"/>
          <w:szCs w:val="32"/>
        </w:rPr>
        <w:t>县级出资2</w:t>
      </w:r>
      <w:r>
        <w:rPr>
          <w:rFonts w:ascii="仿宋_GB2312" w:eastAsia="仿宋_GB2312"/>
          <w:bCs/>
          <w:sz w:val="32"/>
          <w:szCs w:val="32"/>
        </w:rPr>
        <w:t>000万元</w:t>
      </w:r>
      <w:r>
        <w:rPr>
          <w:rFonts w:hint="eastAsia" w:ascii="仿宋_GB2312" w:eastAsia="仿宋_GB2312"/>
          <w:bCs/>
          <w:sz w:val="32"/>
          <w:szCs w:val="32"/>
        </w:rPr>
        <w:t>（即三县一区：市</w:t>
      </w:r>
      <w:r>
        <w:rPr>
          <w:rFonts w:ascii="仿宋_GB2312" w:eastAsia="仿宋_GB2312"/>
          <w:bCs/>
          <w:sz w:val="32"/>
          <w:szCs w:val="32"/>
        </w:rPr>
        <w:t>城区、海丰</w:t>
      </w:r>
      <w:r>
        <w:rPr>
          <w:rFonts w:hint="eastAsia" w:ascii="仿宋_GB2312" w:eastAsia="仿宋_GB2312"/>
          <w:bCs/>
          <w:sz w:val="32"/>
          <w:szCs w:val="32"/>
        </w:rPr>
        <w:t>县</w:t>
      </w:r>
      <w:r>
        <w:rPr>
          <w:rFonts w:ascii="仿宋_GB2312" w:eastAsia="仿宋_GB2312"/>
          <w:bCs/>
          <w:sz w:val="32"/>
          <w:szCs w:val="32"/>
        </w:rPr>
        <w:t>、陆丰</w:t>
      </w:r>
      <w:r>
        <w:rPr>
          <w:rFonts w:hint="eastAsia" w:ascii="仿宋_GB2312" w:eastAsia="仿宋_GB2312"/>
          <w:bCs/>
          <w:sz w:val="32"/>
          <w:szCs w:val="32"/>
        </w:rPr>
        <w:t>市</w:t>
      </w:r>
      <w:r>
        <w:rPr>
          <w:rFonts w:ascii="仿宋_GB2312" w:eastAsia="仿宋_GB2312"/>
          <w:bCs/>
          <w:sz w:val="32"/>
          <w:szCs w:val="32"/>
        </w:rPr>
        <w:t>各出资</w:t>
      </w:r>
      <w:r>
        <w:rPr>
          <w:rFonts w:hint="eastAsia" w:ascii="仿宋_GB2312" w:eastAsia="仿宋_GB2312"/>
          <w:bCs/>
          <w:sz w:val="32"/>
          <w:szCs w:val="32"/>
        </w:rPr>
        <w:t>6</w:t>
      </w:r>
      <w:r>
        <w:rPr>
          <w:rFonts w:ascii="仿宋_GB2312" w:eastAsia="仿宋_GB2312"/>
          <w:bCs/>
          <w:sz w:val="32"/>
          <w:szCs w:val="32"/>
        </w:rPr>
        <w:t>00万元，陆河</w:t>
      </w:r>
      <w:r>
        <w:rPr>
          <w:rFonts w:hint="eastAsia" w:ascii="仿宋_GB2312" w:eastAsia="仿宋_GB2312"/>
          <w:bCs/>
          <w:sz w:val="32"/>
          <w:szCs w:val="32"/>
        </w:rPr>
        <w:t>县</w:t>
      </w:r>
      <w:r>
        <w:rPr>
          <w:rFonts w:ascii="仿宋_GB2312" w:eastAsia="仿宋_GB2312"/>
          <w:bCs/>
          <w:sz w:val="32"/>
          <w:szCs w:val="32"/>
        </w:rPr>
        <w:t>出资</w:t>
      </w:r>
      <w:r>
        <w:rPr>
          <w:rFonts w:hint="eastAsia" w:ascii="仿宋_GB2312" w:eastAsia="仿宋_GB2312"/>
          <w:bCs/>
          <w:sz w:val="32"/>
          <w:szCs w:val="32"/>
        </w:rPr>
        <w:t>2</w:t>
      </w:r>
      <w:r>
        <w:rPr>
          <w:rFonts w:ascii="仿宋_GB2312" w:eastAsia="仿宋_GB2312"/>
          <w:bCs/>
          <w:sz w:val="32"/>
          <w:szCs w:val="32"/>
        </w:rPr>
        <w:t>00万元），后续根据业务需要逐步增加安排资金。</w:t>
      </w:r>
    </w:p>
    <w:p>
      <w:pPr>
        <w:pStyle w:val="6"/>
        <w:keepNext w:val="0"/>
        <w:keepLines w:val="0"/>
        <w:pageBreakBefore w:val="0"/>
        <w:shd w:val="clear" w:color="auto" w:fill="FFFFFF"/>
        <w:kinsoku/>
        <w:wordWrap/>
        <w:overflowPunct/>
        <w:topLinePunct w:val="0"/>
        <w:autoSpaceDE/>
        <w:autoSpaceDN/>
        <w:bidi w:val="0"/>
        <w:spacing w:beforeAutospacing="0" w:afterAutospacing="0"/>
        <w:ind w:firstLine="643" w:firstLineChars="200"/>
        <w:jc w:val="both"/>
        <w:textAlignment w:val="auto"/>
        <w:rPr>
          <w:rFonts w:ascii="微软雅黑" w:hAnsi="微软雅黑" w:eastAsia="微软雅黑" w:cs="微软雅黑"/>
          <w:sz w:val="21"/>
          <w:szCs w:val="21"/>
        </w:rPr>
      </w:pPr>
      <w:r>
        <w:rPr>
          <w:rStyle w:val="9"/>
          <w:rFonts w:hint="eastAsia" w:ascii="仿宋_GB2312" w:hAnsi="宋体" w:eastAsia="仿宋_GB2312" w:cs="仿宋_GB2312"/>
          <w:sz w:val="32"/>
          <w:szCs w:val="32"/>
          <w:shd w:val="clear" w:color="auto" w:fill="FFFFFF"/>
        </w:rPr>
        <w:t xml:space="preserve">第三条 </w:t>
      </w:r>
      <w:r>
        <w:rPr>
          <w:rFonts w:hint="eastAsia" w:ascii="仿宋_GB2312" w:hAnsi="宋体" w:eastAsia="仿宋_GB2312" w:cs="仿宋_GB2312"/>
          <w:sz w:val="32"/>
          <w:szCs w:val="32"/>
          <w:shd w:val="clear" w:color="auto" w:fill="FFFFFF"/>
        </w:rPr>
        <w:t>专项资金应当遵循“自愿选择、安全第一、专项专用、封闭运作、循环高效”的原则进行管理和使用。</w:t>
      </w:r>
    </w:p>
    <w:p>
      <w:pPr>
        <w:keepNext w:val="0"/>
        <w:keepLines w:val="0"/>
        <w:pageBreakBefore w:val="0"/>
        <w:kinsoku/>
        <w:wordWrap/>
        <w:overflowPunct/>
        <w:topLinePunct w:val="0"/>
        <w:autoSpaceDE/>
        <w:autoSpaceDN/>
        <w:bidi w:val="0"/>
        <w:spacing w:beforeAutospacing="0" w:afterAutospacing="0"/>
        <w:ind w:firstLine="643" w:firstLineChars="200"/>
        <w:jc w:val="left"/>
        <w:textAlignment w:val="auto"/>
        <w:rPr>
          <w:rFonts w:ascii="仿宋_GB2312" w:eastAsia="仿宋_GB2312"/>
          <w:bCs/>
          <w:szCs w:val="32"/>
        </w:rPr>
      </w:pPr>
      <w:r>
        <w:rPr>
          <w:rStyle w:val="9"/>
          <w:rFonts w:hint="eastAsia" w:ascii="仿宋_GB2312" w:hAnsi="宋体" w:eastAsia="仿宋_GB2312" w:cs="仿宋_GB2312"/>
          <w:szCs w:val="32"/>
          <w:shd w:val="clear" w:color="auto" w:fill="FFFFFF"/>
        </w:rPr>
        <w:t>第四</w:t>
      </w:r>
      <w:r>
        <w:rPr>
          <w:rStyle w:val="9"/>
          <w:rFonts w:hint="eastAsia" w:ascii="仿宋_GB2312" w:hAnsi="宋体" w:eastAsia="仿宋_GB2312" w:cs="仿宋_GB2312"/>
          <w:spacing w:val="-4"/>
          <w:szCs w:val="32"/>
          <w:shd w:val="clear" w:color="auto" w:fill="FFFFFF"/>
        </w:rPr>
        <w:t xml:space="preserve">条 </w:t>
      </w:r>
      <w:r>
        <w:rPr>
          <w:rFonts w:hint="eastAsia" w:ascii="仿宋_GB2312" w:eastAsia="仿宋_GB2312"/>
          <w:bCs/>
          <w:szCs w:val="32"/>
        </w:rPr>
        <w:t>成立由市政府分管领导为总召集人，市金融局、市财政局、市自然资源局、市市监局、市住建局、人民银行汕尾中支、汕尾银保监分局和各县（市、区）等单位为成员的专项资金工作联席会议制度（下称联席会议），</w:t>
      </w:r>
      <w:r>
        <w:rPr>
          <w:rFonts w:hint="eastAsia" w:ascii="仿宋_GB2312" w:hAnsi="宋体" w:eastAsia="仿宋_GB2312" w:cs="仿宋_GB2312"/>
          <w:spacing w:val="-4"/>
          <w:szCs w:val="32"/>
          <w:shd w:val="clear" w:color="auto" w:fill="FFFFFF"/>
        </w:rPr>
        <w:t>负责指导和监督专项资金运作、协调解决运行中的重大问题等工作。</w:t>
      </w:r>
      <w:r>
        <w:rPr>
          <w:rFonts w:hint="eastAsia" w:ascii="仿宋_GB2312" w:eastAsia="仿宋_GB2312"/>
          <w:bCs/>
          <w:szCs w:val="32"/>
        </w:rPr>
        <w:t>联席会议下设办公室，设在市金融局，负责联席会议</w:t>
      </w:r>
      <w:r>
        <w:rPr>
          <w:rFonts w:hint="eastAsia" w:ascii="仿宋_GB2312" w:hAnsi="宋体" w:eastAsia="仿宋_GB2312" w:cs="仿宋_GB2312"/>
          <w:szCs w:val="32"/>
          <w:shd w:val="clear" w:color="auto" w:fill="FFFFFF"/>
        </w:rPr>
        <w:t>日常工作</w:t>
      </w:r>
      <w:r>
        <w:rPr>
          <w:rFonts w:hint="eastAsia" w:ascii="仿宋_GB2312" w:eastAsia="仿宋_GB2312"/>
          <w:bCs/>
          <w:szCs w:val="32"/>
        </w:rPr>
        <w:t>。</w:t>
      </w:r>
    </w:p>
    <w:p>
      <w:pPr>
        <w:keepNext w:val="0"/>
        <w:keepLines w:val="0"/>
        <w:pageBreakBefore w:val="0"/>
        <w:kinsoku/>
        <w:wordWrap/>
        <w:overflowPunct/>
        <w:topLinePunct w:val="0"/>
        <w:autoSpaceDE/>
        <w:autoSpaceDN/>
        <w:bidi w:val="0"/>
        <w:spacing w:beforeAutospacing="0" w:afterAutospacing="0"/>
        <w:ind w:firstLine="643" w:firstLineChars="200"/>
        <w:jc w:val="left"/>
        <w:textAlignment w:val="auto"/>
        <w:rPr>
          <w:rFonts w:ascii="仿宋_GB2312" w:eastAsia="仿宋_GB2312"/>
          <w:bCs/>
          <w:szCs w:val="32"/>
        </w:rPr>
      </w:pPr>
      <w:r>
        <w:rPr>
          <w:rStyle w:val="9"/>
          <w:rFonts w:hint="eastAsia" w:ascii="仿宋_GB2312" w:hAnsi="宋体" w:eastAsia="仿宋_GB2312" w:cs="仿宋_GB2312"/>
          <w:szCs w:val="32"/>
          <w:shd w:val="clear" w:color="auto" w:fill="FFFFFF"/>
        </w:rPr>
        <w:t xml:space="preserve">第五条 </w:t>
      </w:r>
      <w:r>
        <w:rPr>
          <w:rFonts w:hint="eastAsia" w:ascii="仿宋_GB2312" w:eastAsia="仿宋_GB2312"/>
          <w:bCs/>
          <w:szCs w:val="32"/>
        </w:rPr>
        <w:t>联席会议成员单位职责如下：</w:t>
      </w:r>
    </w:p>
    <w:p>
      <w:pPr>
        <w:keepNext w:val="0"/>
        <w:keepLines w:val="0"/>
        <w:pageBreakBefore w:val="0"/>
        <w:kinsoku/>
        <w:wordWrap/>
        <w:overflowPunct/>
        <w:topLinePunct w:val="0"/>
        <w:autoSpaceDE/>
        <w:autoSpaceDN/>
        <w:bidi w:val="0"/>
        <w:adjustRightInd w:val="0"/>
        <w:snapToGrid w:val="0"/>
        <w:spacing w:beforeAutospacing="0" w:afterAutospacing="0"/>
        <w:ind w:firstLine="640" w:firstLineChars="200"/>
        <w:textAlignment w:val="auto"/>
        <w:rPr>
          <w:rFonts w:ascii="仿宋_GB2312" w:eastAsia="仿宋_GB2312"/>
          <w:bCs/>
          <w:szCs w:val="32"/>
        </w:rPr>
      </w:pPr>
      <w:r>
        <w:rPr>
          <w:rFonts w:hint="eastAsia" w:ascii="仿宋_GB2312" w:eastAsia="仿宋_GB2312"/>
          <w:bCs/>
          <w:szCs w:val="32"/>
        </w:rPr>
        <w:t>（一）市金融局</w:t>
      </w:r>
      <w:r>
        <w:rPr>
          <w:rFonts w:ascii="仿宋_GB2312" w:eastAsia="仿宋_GB2312"/>
          <w:bCs/>
          <w:szCs w:val="32"/>
        </w:rPr>
        <w:t>:负责与运营主体签订专项资金委托管理协议或补充协议，对资金使用进行不定期检查和督导。定期对专项资金做绩效自评，会同市财政局、合作银行加强专项资金使用情况的监督检查，确保资金专款专用。督促运营主体规范开展专项资金运营管理工作;协调银行机构开展专项资金工作业务。</w:t>
      </w:r>
    </w:p>
    <w:p>
      <w:pPr>
        <w:keepNext w:val="0"/>
        <w:keepLines w:val="0"/>
        <w:pageBreakBefore w:val="0"/>
        <w:kinsoku/>
        <w:wordWrap/>
        <w:overflowPunct/>
        <w:topLinePunct w:val="0"/>
        <w:autoSpaceDE/>
        <w:autoSpaceDN/>
        <w:bidi w:val="0"/>
        <w:adjustRightInd w:val="0"/>
        <w:snapToGrid w:val="0"/>
        <w:spacing w:beforeAutospacing="0" w:afterAutospacing="0"/>
        <w:ind w:firstLine="640" w:firstLineChars="200"/>
        <w:textAlignment w:val="auto"/>
        <w:rPr>
          <w:rFonts w:ascii="仿宋_GB2312" w:eastAsia="仿宋_GB2312"/>
          <w:bCs/>
          <w:szCs w:val="32"/>
        </w:rPr>
      </w:pPr>
      <w:r>
        <w:rPr>
          <w:rFonts w:hint="eastAsia" w:ascii="仿宋_GB2312" w:eastAsia="仿宋_GB2312"/>
          <w:bCs/>
          <w:szCs w:val="32"/>
        </w:rPr>
        <w:t>（二）市财政局:负责统筹</w:t>
      </w:r>
      <w:r>
        <w:rPr>
          <w:rFonts w:hint="eastAsia" w:ascii="仿宋_GB2312" w:hAnsi="宋体" w:eastAsia="仿宋_GB2312" w:cs="仿宋_GB2312"/>
          <w:szCs w:val="32"/>
          <w:shd w:val="clear" w:color="auto" w:fill="FFFFFF"/>
        </w:rPr>
        <w:t>专项</w:t>
      </w:r>
      <w:r>
        <w:rPr>
          <w:rFonts w:hint="eastAsia" w:ascii="仿宋_GB2312" w:eastAsia="仿宋_GB2312"/>
          <w:bCs/>
          <w:szCs w:val="32"/>
        </w:rPr>
        <w:t>资金的落实，并做好资金总体绩效评价。</w:t>
      </w:r>
    </w:p>
    <w:p>
      <w:pPr>
        <w:keepNext w:val="0"/>
        <w:keepLines w:val="0"/>
        <w:pageBreakBefore w:val="0"/>
        <w:kinsoku/>
        <w:wordWrap/>
        <w:overflowPunct/>
        <w:topLinePunct w:val="0"/>
        <w:autoSpaceDE/>
        <w:autoSpaceDN/>
        <w:bidi w:val="0"/>
        <w:adjustRightInd w:val="0"/>
        <w:snapToGrid w:val="0"/>
        <w:spacing w:beforeAutospacing="0" w:afterAutospacing="0"/>
        <w:ind w:firstLine="640" w:firstLineChars="200"/>
        <w:textAlignment w:val="auto"/>
        <w:rPr>
          <w:rFonts w:ascii="仿宋_GB2312" w:eastAsia="仿宋_GB2312"/>
          <w:bCs/>
          <w:szCs w:val="32"/>
        </w:rPr>
      </w:pPr>
      <w:r>
        <w:rPr>
          <w:rFonts w:hint="eastAsia" w:ascii="仿宋_GB2312" w:eastAsia="仿宋_GB2312"/>
          <w:bCs/>
          <w:szCs w:val="32"/>
        </w:rPr>
        <w:t>（三）市自然资源局、市市监局、市住建局等要与法院、贷款合作银行建立紧密联系机制，提供“绿色通道”，并在不涉及抵押物查封、法律纠纷等问题以及申请材料齐全的前提下，争取1天内办结</w:t>
      </w:r>
      <w:r>
        <w:rPr>
          <w:rFonts w:hint="eastAsia" w:ascii="仿宋_GB2312" w:hAnsi="宋体" w:eastAsia="仿宋_GB2312" w:cs="仿宋_GB2312"/>
          <w:szCs w:val="32"/>
          <w:shd w:val="clear" w:color="auto" w:fill="FFFFFF"/>
        </w:rPr>
        <w:t>专项</w:t>
      </w:r>
      <w:r>
        <w:rPr>
          <w:rFonts w:hint="eastAsia" w:ascii="仿宋_GB2312" w:eastAsia="仿宋_GB2312"/>
          <w:bCs/>
          <w:szCs w:val="32"/>
        </w:rPr>
        <w:t>资金的贷款抵押登记手续，实现解押、续押无缝对接。</w:t>
      </w:r>
    </w:p>
    <w:p>
      <w:pPr>
        <w:keepNext w:val="0"/>
        <w:keepLines w:val="0"/>
        <w:pageBreakBefore w:val="0"/>
        <w:kinsoku/>
        <w:wordWrap/>
        <w:overflowPunct/>
        <w:topLinePunct w:val="0"/>
        <w:autoSpaceDE/>
        <w:autoSpaceDN/>
        <w:bidi w:val="0"/>
        <w:adjustRightInd w:val="0"/>
        <w:snapToGrid w:val="0"/>
        <w:spacing w:beforeAutospacing="0" w:afterAutospacing="0"/>
        <w:ind w:firstLine="640" w:firstLineChars="200"/>
        <w:textAlignment w:val="auto"/>
        <w:rPr>
          <w:rFonts w:ascii="仿宋_GB2312" w:eastAsia="仿宋_GB2312"/>
          <w:bCs/>
          <w:szCs w:val="32"/>
        </w:rPr>
      </w:pPr>
      <w:r>
        <w:rPr>
          <w:rFonts w:hint="eastAsia" w:ascii="仿宋_GB2312" w:eastAsia="仿宋_GB2312"/>
          <w:bCs/>
          <w:szCs w:val="32"/>
        </w:rPr>
        <w:t>（四）人民银行汕尾中支：</w:t>
      </w:r>
      <w:r>
        <w:rPr>
          <w:rFonts w:hint="eastAsia" w:ascii="仿宋_GB2312" w:hAnsi="仿宋_GB2312" w:eastAsia="仿宋_GB2312" w:cs="仿宋_GB2312"/>
          <w:szCs w:val="32"/>
        </w:rPr>
        <w:t>按照党中央、国务院及中国人民银行总行货币政策等相关政策要求，</w:t>
      </w:r>
      <w:r>
        <w:rPr>
          <w:rFonts w:hint="eastAsia" w:ascii="仿宋_GB2312" w:eastAsia="仿宋_GB2312"/>
          <w:bCs/>
          <w:szCs w:val="32"/>
        </w:rPr>
        <w:t>引导银行机构参与改进对中小微企业的融资服务。</w:t>
      </w:r>
    </w:p>
    <w:p>
      <w:pPr>
        <w:pStyle w:val="6"/>
        <w:keepNext w:val="0"/>
        <w:keepLines w:val="0"/>
        <w:pageBreakBefore w:val="0"/>
        <w:shd w:val="clear" w:color="auto" w:fill="FFFFFF"/>
        <w:kinsoku/>
        <w:wordWrap/>
        <w:overflowPunct/>
        <w:topLinePunct w:val="0"/>
        <w:autoSpaceDE/>
        <w:autoSpaceDN/>
        <w:bidi w:val="0"/>
        <w:spacing w:beforeAutospacing="0" w:afterAutospacing="0"/>
        <w:ind w:firstLine="640" w:firstLineChars="200"/>
        <w:jc w:val="both"/>
        <w:textAlignment w:val="auto"/>
        <w:rPr>
          <w:rFonts w:ascii="仿宋_GB2312" w:eastAsia="仿宋_GB2312"/>
          <w:sz w:val="32"/>
          <w:szCs w:val="32"/>
        </w:rPr>
      </w:pPr>
      <w:r>
        <w:rPr>
          <w:rFonts w:hint="eastAsia" w:ascii="仿宋_GB2312" w:eastAsia="仿宋_GB2312"/>
          <w:bCs/>
          <w:sz w:val="32"/>
          <w:szCs w:val="32"/>
        </w:rPr>
        <w:t>（五）汕尾银保监分局:</w:t>
      </w:r>
      <w:r>
        <w:rPr>
          <w:rFonts w:hint="eastAsia" w:ascii="仿宋_GB2312" w:eastAsia="仿宋_GB2312"/>
          <w:sz w:val="32"/>
          <w:szCs w:val="32"/>
        </w:rPr>
        <w:t>督导银行机构按照银保监会相关政策适度放宽对企业贷款风险容忍度。鼓励银行机构在依法合规、风险可控的前提下主动对接企业续贷需求。</w:t>
      </w:r>
    </w:p>
    <w:p>
      <w:pPr>
        <w:pStyle w:val="6"/>
        <w:keepNext w:val="0"/>
        <w:keepLines w:val="0"/>
        <w:pageBreakBefore w:val="0"/>
        <w:shd w:val="clear" w:color="auto" w:fill="FFFFFF"/>
        <w:kinsoku/>
        <w:wordWrap/>
        <w:overflowPunct/>
        <w:topLinePunct w:val="0"/>
        <w:autoSpaceDE/>
        <w:autoSpaceDN/>
        <w:bidi w:val="0"/>
        <w:spacing w:beforeAutospacing="0" w:afterAutospacing="0"/>
        <w:ind w:firstLine="643" w:firstLineChars="200"/>
        <w:jc w:val="both"/>
        <w:textAlignment w:val="auto"/>
        <w:rPr>
          <w:rFonts w:ascii="微软雅黑" w:hAnsi="微软雅黑" w:eastAsia="微软雅黑" w:cs="微软雅黑"/>
          <w:sz w:val="21"/>
          <w:szCs w:val="21"/>
        </w:rPr>
      </w:pPr>
      <w:r>
        <w:rPr>
          <w:rStyle w:val="9"/>
          <w:rFonts w:hint="eastAsia" w:ascii="仿宋_GB2312" w:hAnsi="宋体" w:eastAsia="仿宋_GB2312" w:cs="仿宋_GB2312"/>
          <w:sz w:val="32"/>
          <w:szCs w:val="32"/>
          <w:shd w:val="clear" w:color="auto" w:fill="FFFFFF"/>
        </w:rPr>
        <w:t xml:space="preserve">第六条 </w:t>
      </w:r>
      <w:r>
        <w:rPr>
          <w:rFonts w:hint="eastAsia" w:ascii="仿宋_GB2312" w:hAnsi="宋体" w:eastAsia="仿宋_GB2312" w:cs="仿宋_GB2312"/>
          <w:sz w:val="32"/>
          <w:szCs w:val="32"/>
          <w:shd w:val="clear" w:color="auto" w:fill="FFFFFF"/>
        </w:rPr>
        <w:t>合作银行应当符合以下基本条件：</w:t>
      </w:r>
    </w:p>
    <w:p>
      <w:pPr>
        <w:pStyle w:val="6"/>
        <w:keepNext w:val="0"/>
        <w:keepLines w:val="0"/>
        <w:pageBreakBefore w:val="0"/>
        <w:shd w:val="clear" w:color="auto" w:fill="FFFFFF"/>
        <w:kinsoku/>
        <w:wordWrap/>
        <w:overflowPunct/>
        <w:topLinePunct w:val="0"/>
        <w:autoSpaceDE/>
        <w:autoSpaceDN/>
        <w:bidi w:val="0"/>
        <w:spacing w:beforeAutospacing="0" w:afterAutospacing="0"/>
        <w:ind w:firstLine="640" w:firstLineChars="200"/>
        <w:jc w:val="both"/>
        <w:textAlignment w:val="auto"/>
        <w:rPr>
          <w:rFonts w:ascii="微软雅黑" w:hAnsi="微软雅黑" w:eastAsia="微软雅黑" w:cs="微软雅黑"/>
          <w:sz w:val="21"/>
          <w:szCs w:val="21"/>
        </w:rPr>
      </w:pPr>
      <w:r>
        <w:rPr>
          <w:rFonts w:hint="eastAsia" w:ascii="仿宋_GB2312" w:hAnsi="微软雅黑" w:eastAsia="仿宋_GB2312" w:cs="仿宋_GB2312"/>
          <w:sz w:val="32"/>
          <w:szCs w:val="32"/>
          <w:shd w:val="clear" w:color="auto" w:fill="FFFFFF"/>
        </w:rPr>
        <w:t>（一）在本市注册成立或者设有分支机构；</w:t>
      </w:r>
    </w:p>
    <w:p>
      <w:pPr>
        <w:pStyle w:val="6"/>
        <w:keepNext w:val="0"/>
        <w:keepLines w:val="0"/>
        <w:pageBreakBefore w:val="0"/>
        <w:shd w:val="clear" w:color="auto" w:fill="FFFFFF"/>
        <w:kinsoku/>
        <w:wordWrap/>
        <w:overflowPunct/>
        <w:topLinePunct w:val="0"/>
        <w:autoSpaceDE/>
        <w:autoSpaceDN/>
        <w:bidi w:val="0"/>
        <w:spacing w:beforeAutospacing="0" w:afterAutospacing="0"/>
        <w:ind w:firstLine="640" w:firstLineChars="200"/>
        <w:jc w:val="both"/>
        <w:textAlignment w:val="auto"/>
        <w:rPr>
          <w:rFonts w:ascii="微软雅黑" w:hAnsi="微软雅黑" w:eastAsia="微软雅黑" w:cs="微软雅黑"/>
          <w:sz w:val="21"/>
          <w:szCs w:val="21"/>
        </w:rPr>
      </w:pPr>
      <w:r>
        <w:rPr>
          <w:rFonts w:hint="eastAsia" w:ascii="仿宋_GB2312" w:hAnsi="宋体" w:eastAsia="仿宋_GB2312" w:cs="仿宋_GB2312"/>
          <w:sz w:val="32"/>
          <w:szCs w:val="32"/>
          <w:shd w:val="clear" w:color="auto" w:fill="FFFFFF"/>
        </w:rPr>
        <w:t>（二）同意按照本办法有关规定执行，并与专项资金运营主体签订合作协议。</w:t>
      </w:r>
    </w:p>
    <w:p>
      <w:pPr>
        <w:pStyle w:val="6"/>
        <w:keepNext w:val="0"/>
        <w:keepLines w:val="0"/>
        <w:pageBreakBefore w:val="0"/>
        <w:shd w:val="clear" w:color="auto" w:fill="FFFFFF"/>
        <w:kinsoku/>
        <w:wordWrap/>
        <w:overflowPunct/>
        <w:topLinePunct w:val="0"/>
        <w:autoSpaceDE/>
        <w:autoSpaceDN/>
        <w:bidi w:val="0"/>
        <w:spacing w:beforeAutospacing="0" w:afterAutospacing="0"/>
        <w:ind w:firstLine="643" w:firstLineChars="200"/>
        <w:jc w:val="both"/>
        <w:textAlignment w:val="auto"/>
        <w:rPr>
          <w:rFonts w:ascii="微软雅黑" w:hAnsi="微软雅黑" w:eastAsia="微软雅黑" w:cs="微软雅黑"/>
          <w:sz w:val="21"/>
          <w:szCs w:val="21"/>
        </w:rPr>
      </w:pPr>
      <w:r>
        <w:rPr>
          <w:rStyle w:val="9"/>
          <w:rFonts w:hint="eastAsia" w:ascii="仿宋_GB2312" w:hAnsi="宋体" w:eastAsia="仿宋_GB2312" w:cs="仿宋_GB2312"/>
          <w:sz w:val="32"/>
          <w:szCs w:val="32"/>
          <w:shd w:val="clear" w:color="auto" w:fill="FFFFFF"/>
        </w:rPr>
        <w:t xml:space="preserve">第七条 </w:t>
      </w:r>
      <w:r>
        <w:rPr>
          <w:rFonts w:hint="eastAsia" w:ascii="仿宋_GB2312" w:hAnsi="宋体" w:eastAsia="仿宋_GB2312" w:cs="仿宋_GB2312"/>
          <w:sz w:val="32"/>
          <w:szCs w:val="32"/>
          <w:shd w:val="clear" w:color="auto" w:fill="FFFFFF"/>
        </w:rPr>
        <w:t>合作银行职责：</w:t>
      </w:r>
    </w:p>
    <w:p>
      <w:pPr>
        <w:pStyle w:val="6"/>
        <w:keepNext w:val="0"/>
        <w:keepLines w:val="0"/>
        <w:pageBreakBefore w:val="0"/>
        <w:shd w:val="clear" w:color="auto" w:fill="FFFFFF"/>
        <w:kinsoku/>
        <w:wordWrap/>
        <w:overflowPunct/>
        <w:topLinePunct w:val="0"/>
        <w:autoSpaceDE/>
        <w:autoSpaceDN/>
        <w:bidi w:val="0"/>
        <w:spacing w:beforeAutospacing="0" w:afterAutospacing="0"/>
        <w:ind w:firstLine="640" w:firstLineChars="200"/>
        <w:jc w:val="both"/>
        <w:textAlignment w:val="auto"/>
        <w:rPr>
          <w:rFonts w:ascii="微软雅黑" w:hAnsi="微软雅黑" w:eastAsia="微软雅黑" w:cs="微软雅黑"/>
          <w:sz w:val="21"/>
          <w:szCs w:val="21"/>
        </w:rPr>
      </w:pPr>
      <w:r>
        <w:rPr>
          <w:rFonts w:hint="eastAsia" w:ascii="仿宋_GB2312" w:hAnsi="微软雅黑" w:eastAsia="仿宋_GB2312" w:cs="仿宋_GB2312"/>
          <w:sz w:val="32"/>
          <w:szCs w:val="32"/>
          <w:shd w:val="clear" w:color="auto" w:fill="FFFFFF"/>
        </w:rPr>
        <w:t>（一）完善内部控制和风险管理制度，</w:t>
      </w:r>
      <w:r>
        <w:rPr>
          <w:rFonts w:hint="eastAsia" w:ascii="仿宋_GB2312" w:eastAsia="仿宋_GB2312"/>
          <w:bCs/>
          <w:sz w:val="32"/>
          <w:szCs w:val="32"/>
        </w:rPr>
        <w:t>制定银行内部专项资金业务操作规程并报市金融局备案</w:t>
      </w:r>
      <w:r>
        <w:rPr>
          <w:rFonts w:hint="eastAsia" w:ascii="仿宋_GB2312" w:hAnsi="微软雅黑" w:eastAsia="仿宋_GB2312" w:cs="仿宋_GB2312"/>
          <w:sz w:val="32"/>
          <w:szCs w:val="32"/>
          <w:shd w:val="clear" w:color="auto" w:fill="FFFFFF"/>
        </w:rPr>
        <w:t>；</w:t>
      </w:r>
    </w:p>
    <w:p>
      <w:pPr>
        <w:pStyle w:val="6"/>
        <w:keepNext w:val="0"/>
        <w:keepLines w:val="0"/>
        <w:pageBreakBefore w:val="0"/>
        <w:shd w:val="clear" w:color="auto" w:fill="FFFFFF"/>
        <w:kinsoku/>
        <w:wordWrap/>
        <w:overflowPunct/>
        <w:topLinePunct w:val="0"/>
        <w:autoSpaceDE/>
        <w:autoSpaceDN/>
        <w:bidi w:val="0"/>
        <w:spacing w:beforeAutospacing="0" w:afterAutospacing="0"/>
        <w:ind w:firstLine="640" w:firstLineChars="200"/>
        <w:jc w:val="both"/>
        <w:textAlignment w:val="auto"/>
        <w:rPr>
          <w:rFonts w:ascii="微软雅黑" w:hAnsi="微软雅黑" w:eastAsia="微软雅黑" w:cs="微软雅黑"/>
          <w:sz w:val="21"/>
          <w:szCs w:val="21"/>
        </w:rPr>
      </w:pPr>
      <w:r>
        <w:rPr>
          <w:rFonts w:hint="eastAsia" w:ascii="仿宋_GB2312" w:hAnsi="微软雅黑" w:eastAsia="仿宋_GB2312" w:cs="仿宋_GB2312"/>
          <w:sz w:val="32"/>
          <w:szCs w:val="32"/>
          <w:shd w:val="clear" w:color="auto" w:fill="FFFFFF"/>
        </w:rPr>
        <w:t>（二）保证转贷贷款发放时全封闭运行，并即时归还相对应的贷款，实行无缝对接；</w:t>
      </w:r>
    </w:p>
    <w:p>
      <w:pPr>
        <w:pStyle w:val="6"/>
        <w:keepNext w:val="0"/>
        <w:keepLines w:val="0"/>
        <w:pageBreakBefore w:val="0"/>
        <w:shd w:val="clear" w:color="auto" w:fill="FFFFFF"/>
        <w:kinsoku/>
        <w:wordWrap/>
        <w:overflowPunct/>
        <w:topLinePunct w:val="0"/>
        <w:autoSpaceDE/>
        <w:autoSpaceDN/>
        <w:bidi w:val="0"/>
        <w:spacing w:beforeAutospacing="0" w:afterAutospacing="0"/>
        <w:ind w:firstLine="640" w:firstLineChars="200"/>
        <w:jc w:val="both"/>
        <w:textAlignment w:val="auto"/>
        <w:rPr>
          <w:rFonts w:ascii="微软雅黑" w:hAnsi="微软雅黑" w:eastAsia="微软雅黑" w:cs="微软雅黑"/>
          <w:sz w:val="21"/>
          <w:szCs w:val="21"/>
        </w:rPr>
      </w:pPr>
      <w:r>
        <w:rPr>
          <w:rFonts w:hint="eastAsia" w:ascii="仿宋_GB2312" w:hAnsi="微软雅黑" w:eastAsia="仿宋_GB2312" w:cs="仿宋_GB2312"/>
          <w:sz w:val="32"/>
          <w:szCs w:val="32"/>
          <w:shd w:val="clear" w:color="auto" w:fill="FFFFFF"/>
        </w:rPr>
        <w:t>（三）优化内部考核机制，加大对专项资金的推广力度；</w:t>
      </w:r>
    </w:p>
    <w:p>
      <w:pPr>
        <w:pStyle w:val="6"/>
        <w:keepNext w:val="0"/>
        <w:keepLines w:val="0"/>
        <w:pageBreakBefore w:val="0"/>
        <w:shd w:val="clear" w:color="auto" w:fill="FFFFFF"/>
        <w:kinsoku/>
        <w:wordWrap/>
        <w:overflowPunct/>
        <w:topLinePunct w:val="0"/>
        <w:autoSpaceDE/>
        <w:autoSpaceDN/>
        <w:bidi w:val="0"/>
        <w:spacing w:beforeAutospacing="0" w:afterAutospacing="0"/>
        <w:ind w:firstLine="640" w:firstLineChars="200"/>
        <w:jc w:val="both"/>
        <w:textAlignment w:val="auto"/>
        <w:rPr>
          <w:rFonts w:ascii="仿宋_GB2312" w:hAnsi="微软雅黑" w:eastAsia="仿宋_GB2312" w:cs="仿宋_GB2312"/>
          <w:sz w:val="32"/>
          <w:szCs w:val="32"/>
          <w:shd w:val="clear" w:color="auto" w:fill="FFFFFF"/>
        </w:rPr>
      </w:pPr>
      <w:r>
        <w:rPr>
          <w:rFonts w:hint="eastAsia" w:ascii="仿宋_GB2312" w:hAnsi="微软雅黑" w:eastAsia="仿宋_GB2312" w:cs="仿宋_GB2312"/>
          <w:sz w:val="32"/>
          <w:szCs w:val="32"/>
          <w:shd w:val="clear" w:color="auto" w:fill="FFFFFF"/>
        </w:rPr>
        <w:t>（四）积极支持转贷企业使用专项资金，不得推荐企业使用民间高利贷转贷，不得通过设置条件、降低评级来限制企业申请使用专项资金；</w:t>
      </w:r>
    </w:p>
    <w:p>
      <w:pPr>
        <w:keepNext w:val="0"/>
        <w:keepLines w:val="0"/>
        <w:pageBreakBefore w:val="0"/>
        <w:kinsoku/>
        <w:wordWrap/>
        <w:overflowPunct/>
        <w:topLinePunct w:val="0"/>
        <w:autoSpaceDE/>
        <w:autoSpaceDN/>
        <w:bidi w:val="0"/>
        <w:adjustRightInd w:val="0"/>
        <w:snapToGrid w:val="0"/>
        <w:spacing w:beforeAutospacing="0" w:afterAutospacing="0"/>
        <w:ind w:firstLine="640" w:firstLineChars="200"/>
        <w:textAlignment w:val="auto"/>
        <w:rPr>
          <w:rFonts w:ascii="仿宋_GB2312" w:eastAsia="仿宋_GB2312"/>
          <w:bCs/>
          <w:szCs w:val="32"/>
        </w:rPr>
      </w:pPr>
      <w:r>
        <w:rPr>
          <w:rFonts w:hint="eastAsia" w:ascii="仿宋_GB2312" w:hAnsi="微软雅黑" w:eastAsia="仿宋_GB2312" w:cs="仿宋_GB2312"/>
          <w:szCs w:val="32"/>
          <w:shd w:val="clear" w:color="auto" w:fill="FFFFFF"/>
        </w:rPr>
        <w:t>（五）</w:t>
      </w:r>
      <w:r>
        <w:rPr>
          <w:rFonts w:hint="eastAsia" w:ascii="仿宋_GB2312" w:eastAsia="仿宋_GB2312"/>
          <w:bCs/>
          <w:szCs w:val="32"/>
        </w:rPr>
        <w:t>同意按照本办法和有关实施细则规定参与专项资金合作，并按照与运营主体签订的合作协议履行相关责任义务。</w:t>
      </w:r>
    </w:p>
    <w:p>
      <w:pPr>
        <w:pStyle w:val="6"/>
        <w:keepNext w:val="0"/>
        <w:keepLines w:val="0"/>
        <w:pageBreakBefore w:val="0"/>
        <w:shd w:val="clear" w:color="auto" w:fill="FFFFFF"/>
        <w:kinsoku/>
        <w:wordWrap/>
        <w:overflowPunct/>
        <w:topLinePunct w:val="0"/>
        <w:autoSpaceDE/>
        <w:autoSpaceDN/>
        <w:bidi w:val="0"/>
        <w:spacing w:beforeAutospacing="0" w:afterAutospacing="0"/>
        <w:ind w:firstLine="643" w:firstLineChars="200"/>
        <w:jc w:val="both"/>
        <w:textAlignment w:val="auto"/>
        <w:rPr>
          <w:rFonts w:ascii="仿宋_GB2312" w:hAnsi="宋体" w:eastAsia="仿宋_GB2312" w:cs="仿宋_GB2312"/>
          <w:sz w:val="32"/>
          <w:szCs w:val="32"/>
          <w:shd w:val="clear" w:color="auto" w:fill="FFFFFF"/>
        </w:rPr>
      </w:pPr>
      <w:r>
        <w:rPr>
          <w:rStyle w:val="9"/>
          <w:rFonts w:hint="eastAsia" w:ascii="仿宋_GB2312" w:hAnsi="宋体" w:eastAsia="仿宋_GB2312" w:cs="仿宋_GB2312"/>
          <w:sz w:val="32"/>
          <w:szCs w:val="32"/>
          <w:shd w:val="clear" w:color="auto" w:fill="FFFFFF"/>
        </w:rPr>
        <w:t xml:space="preserve">第八条 </w:t>
      </w:r>
      <w:r>
        <w:rPr>
          <w:rFonts w:hint="eastAsia" w:ascii="仿宋_GB2312" w:hAnsi="宋体" w:eastAsia="仿宋_GB2312" w:cs="仿宋_GB2312"/>
          <w:sz w:val="32"/>
          <w:szCs w:val="32"/>
          <w:shd w:val="clear" w:color="auto" w:fill="FFFFFF"/>
        </w:rPr>
        <w:t>专项资金支持的主体应当符合以下条件：</w:t>
      </w:r>
    </w:p>
    <w:p>
      <w:pPr>
        <w:pStyle w:val="6"/>
        <w:keepNext w:val="0"/>
        <w:keepLines w:val="0"/>
        <w:pageBreakBefore w:val="0"/>
        <w:kinsoku/>
        <w:wordWrap/>
        <w:overflowPunct/>
        <w:topLinePunct w:val="0"/>
        <w:autoSpaceDE/>
        <w:autoSpaceDN/>
        <w:bidi w:val="0"/>
        <w:spacing w:beforeAutospacing="0" w:afterAutospacing="0"/>
        <w:ind w:firstLine="640" w:firstLineChars="200"/>
        <w:jc w:val="both"/>
        <w:textAlignment w:val="auto"/>
        <w:rPr>
          <w:rFonts w:ascii="仿宋_GB2312" w:hAnsi="宋体" w:eastAsia="仿宋_GB2312" w:cs="仿宋_GB2312"/>
          <w:spacing w:val="-2"/>
          <w:sz w:val="32"/>
          <w:szCs w:val="32"/>
          <w:shd w:val="clear" w:color="auto" w:fill="FFFFFF"/>
        </w:rPr>
      </w:pPr>
      <w:r>
        <w:rPr>
          <w:rFonts w:hint="eastAsia" w:ascii="仿宋_GB2312" w:hAnsi="宋体" w:eastAsia="仿宋_GB2312" w:cs="仿宋_GB2312"/>
          <w:sz w:val="32"/>
          <w:szCs w:val="32"/>
          <w:shd w:val="clear" w:color="auto" w:fill="FFFFFF"/>
        </w:rPr>
        <w:t>（</w:t>
      </w:r>
      <w:r>
        <w:rPr>
          <w:rFonts w:hint="eastAsia" w:ascii="仿宋_GB2312" w:hAnsi="宋体" w:eastAsia="仿宋_GB2312" w:cs="仿宋_GB2312"/>
          <w:spacing w:val="-2"/>
          <w:sz w:val="32"/>
          <w:szCs w:val="32"/>
          <w:shd w:val="clear" w:color="auto" w:fill="FFFFFF"/>
        </w:rPr>
        <w:t>一）依法在本市内进行商事登记，诚信经营和具备可持续发展能力的中小微市场主体，具体投向要符合国家产业政策导向，优先支持地方政府扶持的行业或群体中的中小微市场主体。严格按照国家工信部等四部门联合印发的《中小企业划型标准规定》（工信部联企业【2011】300号）的行业划分标准（若有更新划分依据，将以最新发文为准），结合本市实际情况，支持的行业范围主要包括：农林牧渔业、工业、建筑业、批发业、零售业、交通运输业、仓储业、住宿业、餐饮业、信息传输业、软件和信息技术服务业、物业管理与商务服务业等。</w:t>
      </w:r>
    </w:p>
    <w:p>
      <w:pPr>
        <w:pStyle w:val="6"/>
        <w:keepNext w:val="0"/>
        <w:keepLines w:val="0"/>
        <w:pageBreakBefore w:val="0"/>
        <w:shd w:val="clear" w:color="auto" w:fill="FFFFFF"/>
        <w:kinsoku/>
        <w:wordWrap/>
        <w:overflowPunct/>
        <w:topLinePunct w:val="0"/>
        <w:autoSpaceDE/>
        <w:autoSpaceDN/>
        <w:bidi w:val="0"/>
        <w:spacing w:beforeAutospacing="0" w:afterAutospacing="0"/>
        <w:ind w:firstLine="640" w:firstLineChars="200"/>
        <w:jc w:val="both"/>
        <w:textAlignment w:val="auto"/>
        <w:rPr>
          <w:rFonts w:ascii="仿宋_GB2312" w:hAnsi="宋体" w:eastAsia="仿宋_GB2312" w:cs="仿宋_GB2312"/>
          <w:spacing w:val="-2"/>
          <w:sz w:val="32"/>
          <w:szCs w:val="32"/>
          <w:shd w:val="clear" w:color="auto" w:fill="FFFFFF"/>
        </w:rPr>
      </w:pPr>
      <w:r>
        <w:rPr>
          <w:rFonts w:hint="eastAsia" w:ascii="仿宋_GB2312" w:hAnsi="宋体" w:eastAsia="仿宋_GB2312" w:cs="仿宋_GB2312"/>
          <w:sz w:val="32"/>
          <w:szCs w:val="32"/>
          <w:shd w:val="clear" w:color="auto" w:fill="FFFFFF"/>
        </w:rPr>
        <w:t>（</w:t>
      </w:r>
      <w:r>
        <w:rPr>
          <w:rFonts w:hint="eastAsia" w:ascii="仿宋_GB2312" w:hAnsi="宋体" w:eastAsia="仿宋_GB2312" w:cs="仿宋_GB2312"/>
          <w:spacing w:val="-2"/>
          <w:sz w:val="32"/>
          <w:szCs w:val="32"/>
          <w:shd w:val="clear" w:color="auto" w:fill="FFFFFF"/>
        </w:rPr>
        <w:t>二）无重大不良信用记录，</w:t>
      </w:r>
      <w:r>
        <w:rPr>
          <w:rFonts w:hint="eastAsia" w:ascii="仿宋_GB2312" w:eastAsia="仿宋_GB2312"/>
          <w:bCs/>
          <w:sz w:val="32"/>
          <w:szCs w:val="32"/>
        </w:rPr>
        <w:t>企业生产经营状况良好，</w:t>
      </w:r>
      <w:r>
        <w:rPr>
          <w:rFonts w:hint="eastAsia" w:ascii="仿宋_GB2312" w:hAnsi="宋体" w:eastAsia="仿宋_GB2312" w:cs="仿宋_GB2312"/>
          <w:spacing w:val="-2"/>
          <w:sz w:val="32"/>
          <w:szCs w:val="32"/>
          <w:shd w:val="clear" w:color="auto" w:fill="FFFFFF"/>
        </w:rPr>
        <w:t>无重大涉诉或查封冻结扣押财产等情形；</w:t>
      </w:r>
    </w:p>
    <w:p>
      <w:pPr>
        <w:pStyle w:val="6"/>
        <w:keepNext w:val="0"/>
        <w:keepLines w:val="0"/>
        <w:pageBreakBefore w:val="0"/>
        <w:shd w:val="clear" w:color="auto" w:fill="FFFFFF"/>
        <w:kinsoku/>
        <w:wordWrap/>
        <w:overflowPunct/>
        <w:topLinePunct w:val="0"/>
        <w:autoSpaceDE/>
        <w:autoSpaceDN/>
        <w:bidi w:val="0"/>
        <w:spacing w:beforeAutospacing="0" w:afterAutospacing="0"/>
        <w:ind w:firstLine="640" w:firstLineChars="200"/>
        <w:jc w:val="both"/>
        <w:textAlignment w:val="auto"/>
        <w:rPr>
          <w:rFonts w:ascii="仿宋_GB2312" w:hAnsi="微软雅黑" w:eastAsia="仿宋_GB2312" w:cs="仿宋_GB2312"/>
          <w:sz w:val="32"/>
          <w:szCs w:val="32"/>
          <w:shd w:val="clear" w:color="auto" w:fill="FFFFFF"/>
        </w:rPr>
      </w:pPr>
      <w:r>
        <w:rPr>
          <w:rFonts w:hint="eastAsia" w:ascii="仿宋_GB2312" w:hAnsi="微软雅黑" w:eastAsia="仿宋_GB2312" w:cs="仿宋_GB2312"/>
          <w:sz w:val="32"/>
          <w:szCs w:val="32"/>
          <w:shd w:val="clear" w:color="auto" w:fill="FFFFFF"/>
        </w:rPr>
        <w:t>（三）符合合作银行续贷、</w:t>
      </w:r>
      <w:r>
        <w:rPr>
          <w:rFonts w:hint="eastAsia" w:ascii="仿宋_GB2312" w:eastAsia="仿宋_GB2312"/>
          <w:bCs/>
          <w:kern w:val="2"/>
          <w:sz w:val="32"/>
          <w:szCs w:val="32"/>
        </w:rPr>
        <w:t>新贷条件</w:t>
      </w:r>
      <w:r>
        <w:rPr>
          <w:rFonts w:hint="eastAsia" w:ascii="仿宋_GB2312" w:hAnsi="微软雅黑" w:eastAsia="仿宋_GB2312" w:cs="仿宋_GB2312"/>
          <w:sz w:val="32"/>
          <w:szCs w:val="32"/>
          <w:shd w:val="clear" w:color="auto" w:fill="FFFFFF"/>
        </w:rPr>
        <w:t>；</w:t>
      </w:r>
    </w:p>
    <w:p>
      <w:pPr>
        <w:keepNext w:val="0"/>
        <w:keepLines w:val="0"/>
        <w:pageBreakBefore w:val="0"/>
        <w:kinsoku/>
        <w:wordWrap/>
        <w:overflowPunct/>
        <w:topLinePunct w:val="0"/>
        <w:autoSpaceDE/>
        <w:autoSpaceDN/>
        <w:bidi w:val="0"/>
        <w:adjustRightInd w:val="0"/>
        <w:snapToGrid w:val="0"/>
        <w:spacing w:beforeAutospacing="0" w:afterAutospacing="0"/>
        <w:ind w:firstLine="640" w:firstLineChars="200"/>
        <w:textAlignment w:val="auto"/>
        <w:rPr>
          <w:rFonts w:ascii="仿宋_GB2312" w:eastAsia="仿宋_GB2312"/>
          <w:bCs/>
          <w:szCs w:val="32"/>
        </w:rPr>
      </w:pPr>
      <w:r>
        <w:rPr>
          <w:rFonts w:hint="eastAsia" w:ascii="仿宋_GB2312" w:eastAsia="仿宋_GB2312"/>
          <w:bCs/>
          <w:szCs w:val="32"/>
        </w:rPr>
        <w:t>（四）无参与高利贷活动，无购买期货等高风险产品，且其实际控制人（及其配偶）无涉黑涉恶等违法行为。申请使用专项资金的中小微企业或个人需出具书面承诺。</w:t>
      </w:r>
    </w:p>
    <w:p>
      <w:pPr>
        <w:keepNext w:val="0"/>
        <w:keepLines w:val="0"/>
        <w:pageBreakBefore w:val="0"/>
        <w:kinsoku/>
        <w:wordWrap/>
        <w:overflowPunct/>
        <w:topLinePunct w:val="0"/>
        <w:autoSpaceDE/>
        <w:autoSpaceDN/>
        <w:bidi w:val="0"/>
        <w:adjustRightInd w:val="0"/>
        <w:snapToGrid w:val="0"/>
        <w:spacing w:beforeAutospacing="0" w:afterAutospacing="0"/>
        <w:ind w:firstLine="640" w:firstLineChars="200"/>
        <w:textAlignment w:val="auto"/>
        <w:rPr>
          <w:rFonts w:ascii="仿宋_GB2312" w:eastAsia="仿宋_GB2312"/>
          <w:bCs/>
          <w:szCs w:val="32"/>
        </w:rPr>
      </w:pPr>
      <w:r>
        <w:rPr>
          <w:rFonts w:ascii="仿宋_GB2312" w:eastAsia="仿宋_GB2312"/>
          <w:bCs/>
          <w:szCs w:val="32"/>
        </w:rPr>
        <w:t>（五）若新旧贷款涉及不同借款主体的，需于</w:t>
      </w:r>
      <w:r>
        <w:rPr>
          <w:rFonts w:hint="eastAsia" w:ascii="仿宋_GB2312" w:eastAsia="仿宋_GB2312"/>
          <w:bCs/>
          <w:szCs w:val="32"/>
        </w:rPr>
        <w:t>各种</w:t>
      </w:r>
      <w:r>
        <w:rPr>
          <w:rFonts w:ascii="仿宋_GB2312" w:eastAsia="仿宋_GB2312"/>
          <w:bCs/>
          <w:color w:val="auto"/>
          <w:szCs w:val="32"/>
        </w:rPr>
        <w:t>核查系统（包括但不限于工商登记信息系统）核查新</w:t>
      </w:r>
      <w:r>
        <w:rPr>
          <w:rFonts w:ascii="仿宋_GB2312" w:eastAsia="仿宋_GB2312"/>
          <w:bCs/>
          <w:szCs w:val="32"/>
        </w:rPr>
        <w:t>旧贷款主体的关联性，包括但不限于为同一实际控制人</w:t>
      </w:r>
      <w:r>
        <w:rPr>
          <w:rFonts w:hint="eastAsia" w:ascii="仿宋_GB2312" w:eastAsia="仿宋_GB2312"/>
          <w:bCs/>
          <w:szCs w:val="32"/>
        </w:rPr>
        <w:t>、企业借款与企业主个人借款等关联性的相关查询依据</w:t>
      </w:r>
      <w:r>
        <w:rPr>
          <w:rFonts w:ascii="仿宋_GB2312" w:eastAsia="仿宋_GB2312"/>
          <w:bCs/>
          <w:szCs w:val="32"/>
        </w:rPr>
        <w:t>。</w:t>
      </w:r>
    </w:p>
    <w:p>
      <w:pPr>
        <w:pStyle w:val="6"/>
        <w:keepNext w:val="0"/>
        <w:keepLines w:val="0"/>
        <w:pageBreakBefore w:val="0"/>
        <w:shd w:val="clear" w:color="auto" w:fill="FFFFFF"/>
        <w:kinsoku/>
        <w:wordWrap/>
        <w:overflowPunct/>
        <w:topLinePunct w:val="0"/>
        <w:autoSpaceDE/>
        <w:autoSpaceDN/>
        <w:bidi w:val="0"/>
        <w:spacing w:beforeAutospacing="0" w:afterAutospacing="0"/>
        <w:ind w:firstLine="643" w:firstLineChars="200"/>
        <w:jc w:val="both"/>
        <w:textAlignment w:val="auto"/>
        <w:rPr>
          <w:rFonts w:ascii="仿宋_GB2312" w:hAnsi="宋体" w:eastAsia="仿宋_GB2312" w:cs="仿宋_GB2312"/>
          <w:sz w:val="32"/>
          <w:szCs w:val="32"/>
          <w:shd w:val="clear" w:color="auto" w:fill="FFFFFF"/>
        </w:rPr>
      </w:pPr>
      <w:r>
        <w:rPr>
          <w:rStyle w:val="9"/>
          <w:rFonts w:hint="eastAsia" w:ascii="仿宋_GB2312" w:hAnsi="宋体" w:eastAsia="仿宋_GB2312" w:cs="仿宋_GB2312"/>
          <w:sz w:val="32"/>
          <w:szCs w:val="32"/>
          <w:shd w:val="clear" w:color="auto" w:fill="FFFFFF"/>
        </w:rPr>
        <w:t xml:space="preserve">第九条 </w:t>
      </w:r>
      <w:r>
        <w:rPr>
          <w:rFonts w:hint="eastAsia" w:ascii="仿宋_GB2312" w:hAnsi="宋体" w:eastAsia="仿宋_GB2312" w:cs="仿宋_GB2312"/>
          <w:spacing w:val="-2"/>
          <w:sz w:val="32"/>
          <w:szCs w:val="32"/>
          <w:shd w:val="clear" w:color="auto" w:fill="FFFFFF"/>
        </w:rPr>
        <w:t>单户单笔专项资金使用额度原则上不超过</w:t>
      </w:r>
      <w:r>
        <w:rPr>
          <w:rFonts w:ascii="仿宋_GB2312" w:hAnsi="宋体" w:eastAsia="仿宋_GB2312" w:cs="仿宋_GB2312"/>
          <w:spacing w:val="-2"/>
          <w:sz w:val="32"/>
          <w:szCs w:val="32"/>
          <w:shd w:val="clear" w:color="auto" w:fill="FFFFFF"/>
        </w:rPr>
        <w:t>1000万元。单笔资金使用时间原则上不超过7个自然日，特殊情况下一般不超过30个自然日。</w:t>
      </w:r>
    </w:p>
    <w:p>
      <w:pPr>
        <w:keepNext w:val="0"/>
        <w:keepLines w:val="0"/>
        <w:pageBreakBefore w:val="0"/>
        <w:kinsoku/>
        <w:wordWrap/>
        <w:overflowPunct/>
        <w:topLinePunct w:val="0"/>
        <w:autoSpaceDE/>
        <w:autoSpaceDN/>
        <w:bidi w:val="0"/>
        <w:adjustRightInd w:val="0"/>
        <w:snapToGrid w:val="0"/>
        <w:spacing w:beforeAutospacing="0" w:afterAutospacing="0"/>
        <w:ind w:firstLine="643" w:firstLineChars="200"/>
        <w:textAlignment w:val="auto"/>
        <w:rPr>
          <w:rFonts w:ascii="仿宋_GB2312" w:hAnsi="仿宋_GB2312" w:eastAsia="仿宋_GB2312" w:cs="仿宋_GB2312"/>
          <w:szCs w:val="32"/>
        </w:rPr>
      </w:pPr>
      <w:r>
        <w:rPr>
          <w:rFonts w:hint="eastAsia" w:ascii="仿宋_GB2312" w:hAnsi="仿宋_GB2312" w:eastAsia="仿宋_GB2312" w:cs="仿宋_GB2312"/>
          <w:b/>
          <w:bCs/>
          <w:szCs w:val="32"/>
        </w:rPr>
        <w:t xml:space="preserve">第十条 </w:t>
      </w:r>
      <w:r>
        <w:rPr>
          <w:rFonts w:hint="eastAsia" w:ascii="仿宋_GB2312" w:hAnsi="仿宋_GB2312" w:eastAsia="仿宋_GB2312" w:cs="仿宋_GB2312"/>
          <w:szCs w:val="32"/>
        </w:rPr>
        <w:t>风险处置。专项资金未按上述时限（</w:t>
      </w:r>
      <w:r>
        <w:rPr>
          <w:rFonts w:ascii="仿宋_GB2312" w:hAnsi="仿宋_GB2312" w:eastAsia="仿宋_GB2312" w:cs="仿宋_GB2312"/>
          <w:szCs w:val="32"/>
        </w:rPr>
        <w:t>30个自然日）完成转贷并转回资金账户的，合作银行需根据本办法、实施细则、合作银行与运营主体签订的合作协议，履行相关责任义务，无条件足额偿还专项资金。在专项资金使用期限内，若发生不可抗力因素（如发生台风、冰雹、地震等自然灾害），导致银行无法正常发放贷款的，银行不承担无条件偿还责任。</w:t>
      </w:r>
    </w:p>
    <w:p>
      <w:pPr>
        <w:keepNext w:val="0"/>
        <w:keepLines w:val="0"/>
        <w:pageBreakBefore w:val="0"/>
        <w:kinsoku/>
        <w:wordWrap/>
        <w:overflowPunct/>
        <w:topLinePunct w:val="0"/>
        <w:autoSpaceDE/>
        <w:autoSpaceDN/>
        <w:bidi w:val="0"/>
        <w:adjustRightInd w:val="0"/>
        <w:snapToGrid w:val="0"/>
        <w:spacing w:beforeAutospacing="0" w:afterAutospacing="0"/>
        <w:ind w:firstLine="643" w:firstLineChars="200"/>
        <w:textAlignment w:val="auto"/>
        <w:rPr>
          <w:rFonts w:ascii="仿宋_GB2312" w:eastAsia="仿宋_GB2312"/>
          <w:bCs/>
          <w:szCs w:val="32"/>
        </w:rPr>
      </w:pPr>
      <w:r>
        <w:rPr>
          <w:rFonts w:hint="eastAsia" w:ascii="仿宋_GB2312" w:hAnsi="仿宋_GB2312" w:eastAsia="仿宋_GB2312" w:cs="仿宋_GB2312"/>
          <w:b/>
          <w:bCs/>
          <w:szCs w:val="32"/>
        </w:rPr>
        <w:t xml:space="preserve">第十一条 </w:t>
      </w:r>
      <w:r>
        <w:rPr>
          <w:rFonts w:hint="eastAsia" w:ascii="仿宋_GB2312" w:hAnsi="仿宋_GB2312" w:eastAsia="仿宋_GB2312" w:cs="仿宋_GB2312"/>
          <w:szCs w:val="32"/>
        </w:rPr>
        <w:t>使用专项资金的中小微企业应支付使用费。为充分提高专项资金的运转效率，使用费按天收取，并采取差别化收费方式。专项资金</w:t>
      </w:r>
      <w:r>
        <w:rPr>
          <w:rFonts w:ascii="仿宋_GB2312" w:hAnsi="仿宋_GB2312" w:eastAsia="仿宋_GB2312" w:cs="仿宋_GB2312"/>
          <w:szCs w:val="32"/>
        </w:rPr>
        <w:t>7天（自然日，含7天）内的使用费，每天的使用费率为0.1‰（千分之零点一或万分之一），第8个自然日起，每天的使用费率为0.2‰（千分之零点二或万分之二）。使用费在专项资金划拨前由申请中小微企业市场主体先行预缴7天，由中小微企业市场主体直接缴交到专项资金专用账户，转贷、新贷完成后，按实际使用天数进行核算，多退少补。</w:t>
      </w:r>
    </w:p>
    <w:p>
      <w:pPr>
        <w:pStyle w:val="6"/>
        <w:keepNext w:val="0"/>
        <w:keepLines w:val="0"/>
        <w:pageBreakBefore w:val="0"/>
        <w:shd w:val="clear" w:color="auto" w:fill="FFFFFF"/>
        <w:kinsoku/>
        <w:wordWrap/>
        <w:overflowPunct/>
        <w:topLinePunct w:val="0"/>
        <w:autoSpaceDE/>
        <w:autoSpaceDN/>
        <w:bidi w:val="0"/>
        <w:spacing w:beforeAutospacing="0" w:afterAutospacing="0"/>
        <w:ind w:firstLine="643" w:firstLineChars="200"/>
        <w:jc w:val="both"/>
        <w:textAlignment w:val="auto"/>
        <w:rPr>
          <w:rFonts w:ascii="微软雅黑" w:hAnsi="微软雅黑" w:eastAsia="微软雅黑" w:cs="微软雅黑"/>
          <w:sz w:val="21"/>
          <w:szCs w:val="21"/>
        </w:rPr>
      </w:pPr>
      <w:r>
        <w:rPr>
          <w:rStyle w:val="9"/>
          <w:rFonts w:hint="eastAsia" w:ascii="仿宋_GB2312" w:hAnsi="宋体" w:eastAsia="仿宋_GB2312" w:cs="仿宋_GB2312"/>
          <w:sz w:val="32"/>
          <w:szCs w:val="32"/>
          <w:shd w:val="clear" w:color="auto" w:fill="FFFFFF"/>
        </w:rPr>
        <w:t xml:space="preserve">第十二条 </w:t>
      </w:r>
      <w:r>
        <w:rPr>
          <w:rFonts w:hint="eastAsia" w:ascii="仿宋_GB2312" w:hAnsi="宋体" w:eastAsia="仿宋_GB2312" w:cs="仿宋_GB2312"/>
          <w:sz w:val="32"/>
          <w:szCs w:val="32"/>
          <w:shd w:val="clear" w:color="auto" w:fill="FFFFFF"/>
        </w:rPr>
        <w:t>专项资金供不应求时，在遵循“公平、公正、公开”原则基础上，在同一时间内不超过专项资金总规模前提下，遵循以下原则对企业实施转贷扶持：</w:t>
      </w:r>
    </w:p>
    <w:p>
      <w:pPr>
        <w:pStyle w:val="6"/>
        <w:keepNext w:val="0"/>
        <w:keepLines w:val="0"/>
        <w:pageBreakBefore w:val="0"/>
        <w:shd w:val="clear" w:color="auto" w:fill="FFFFFF"/>
        <w:kinsoku/>
        <w:wordWrap/>
        <w:overflowPunct/>
        <w:topLinePunct w:val="0"/>
        <w:autoSpaceDE/>
        <w:autoSpaceDN/>
        <w:bidi w:val="0"/>
        <w:spacing w:beforeAutospacing="0" w:afterAutospacing="0"/>
        <w:ind w:firstLine="640" w:firstLineChars="200"/>
        <w:jc w:val="both"/>
        <w:textAlignment w:val="auto"/>
        <w:rPr>
          <w:rFonts w:ascii="微软雅黑" w:hAnsi="微软雅黑" w:eastAsia="微软雅黑" w:cs="微软雅黑"/>
          <w:sz w:val="21"/>
          <w:szCs w:val="21"/>
        </w:rPr>
      </w:pPr>
      <w:r>
        <w:rPr>
          <w:rFonts w:hint="eastAsia" w:ascii="仿宋_GB2312" w:hAnsi="微软雅黑" w:eastAsia="仿宋_GB2312" w:cs="仿宋_GB2312"/>
          <w:sz w:val="32"/>
          <w:szCs w:val="32"/>
          <w:shd w:val="clear" w:color="auto" w:fill="FFFFFF"/>
        </w:rPr>
        <w:t>（一）先到先得，按照申请时间先后顺序进行选定；</w:t>
      </w:r>
    </w:p>
    <w:p>
      <w:pPr>
        <w:pStyle w:val="6"/>
        <w:keepNext w:val="0"/>
        <w:keepLines w:val="0"/>
        <w:pageBreakBefore w:val="0"/>
        <w:shd w:val="clear" w:color="auto" w:fill="FFFFFF"/>
        <w:kinsoku/>
        <w:wordWrap/>
        <w:overflowPunct/>
        <w:topLinePunct w:val="0"/>
        <w:autoSpaceDE/>
        <w:autoSpaceDN/>
        <w:bidi w:val="0"/>
        <w:spacing w:beforeAutospacing="0" w:afterAutospacing="0"/>
        <w:ind w:firstLine="640" w:firstLineChars="200"/>
        <w:jc w:val="both"/>
        <w:textAlignment w:val="auto"/>
        <w:rPr>
          <w:rFonts w:ascii="仿宋_GB2312" w:hAnsi="微软雅黑" w:eastAsia="仿宋_GB2312" w:cs="仿宋_GB2312"/>
          <w:sz w:val="32"/>
          <w:szCs w:val="32"/>
          <w:shd w:val="clear" w:color="auto" w:fill="FFFFFF"/>
        </w:rPr>
      </w:pPr>
      <w:r>
        <w:rPr>
          <w:rFonts w:hint="eastAsia" w:ascii="仿宋_GB2312" w:hAnsi="微软雅黑" w:eastAsia="仿宋_GB2312" w:cs="仿宋_GB2312"/>
          <w:sz w:val="32"/>
          <w:szCs w:val="32"/>
          <w:shd w:val="clear" w:color="auto" w:fill="FFFFFF"/>
        </w:rPr>
        <w:t>（二）申请企业贷款先到期的优先安排；</w:t>
      </w:r>
    </w:p>
    <w:p>
      <w:pPr>
        <w:pStyle w:val="6"/>
        <w:keepNext w:val="0"/>
        <w:keepLines w:val="0"/>
        <w:pageBreakBefore w:val="0"/>
        <w:shd w:val="clear" w:color="auto" w:fill="FFFFFF"/>
        <w:kinsoku/>
        <w:wordWrap/>
        <w:overflowPunct/>
        <w:topLinePunct w:val="0"/>
        <w:autoSpaceDE/>
        <w:autoSpaceDN/>
        <w:bidi w:val="0"/>
        <w:spacing w:beforeAutospacing="0" w:afterAutospacing="0"/>
        <w:ind w:firstLine="640" w:firstLineChars="200"/>
        <w:jc w:val="both"/>
        <w:textAlignment w:val="auto"/>
        <w:rPr>
          <w:rFonts w:ascii="仿宋_GB2312" w:eastAsia="仿宋_GB2312"/>
          <w:bCs/>
          <w:sz w:val="32"/>
          <w:szCs w:val="32"/>
        </w:rPr>
      </w:pPr>
      <w:r>
        <w:rPr>
          <w:rFonts w:hint="eastAsia" w:ascii="仿宋_GB2312" w:hAnsi="微软雅黑" w:eastAsia="仿宋_GB2312" w:cs="仿宋_GB2312"/>
          <w:sz w:val="32"/>
          <w:szCs w:val="32"/>
          <w:shd w:val="clear" w:color="auto" w:fill="FFFFFF"/>
        </w:rPr>
        <w:t>（三）</w:t>
      </w:r>
      <w:r>
        <w:rPr>
          <w:rFonts w:hint="eastAsia" w:ascii="仿宋_GB2312" w:eastAsia="仿宋_GB2312"/>
          <w:bCs/>
          <w:sz w:val="32"/>
          <w:szCs w:val="32"/>
        </w:rPr>
        <w:t>拟上市企业、新三板及区域股权市场挂牌企业优先享受专项资金扶持。</w:t>
      </w:r>
    </w:p>
    <w:p>
      <w:pPr>
        <w:pStyle w:val="6"/>
        <w:keepNext w:val="0"/>
        <w:keepLines w:val="0"/>
        <w:pageBreakBefore w:val="0"/>
        <w:shd w:val="clear" w:color="auto" w:fill="FFFFFF"/>
        <w:kinsoku/>
        <w:wordWrap/>
        <w:overflowPunct/>
        <w:topLinePunct w:val="0"/>
        <w:autoSpaceDE/>
        <w:autoSpaceDN/>
        <w:bidi w:val="0"/>
        <w:spacing w:beforeAutospacing="0" w:afterAutospacing="0"/>
        <w:ind w:firstLine="643" w:firstLineChars="200"/>
        <w:jc w:val="both"/>
        <w:textAlignment w:val="auto"/>
        <w:rPr>
          <w:rFonts w:ascii="仿宋_GB2312" w:hAnsi="宋体" w:eastAsia="仿宋_GB2312" w:cs="仿宋_GB2312"/>
          <w:sz w:val="32"/>
          <w:szCs w:val="32"/>
          <w:shd w:val="clear" w:color="auto" w:fill="FFFFFF"/>
        </w:rPr>
      </w:pPr>
      <w:r>
        <w:rPr>
          <w:rStyle w:val="9"/>
          <w:rFonts w:hint="eastAsia" w:ascii="仿宋_GB2312" w:hAnsi="宋体" w:eastAsia="仿宋_GB2312" w:cs="仿宋_GB2312"/>
          <w:sz w:val="32"/>
          <w:szCs w:val="32"/>
          <w:shd w:val="clear" w:color="auto" w:fill="FFFFFF"/>
        </w:rPr>
        <w:t xml:space="preserve">第十三条 </w:t>
      </w:r>
      <w:r>
        <w:rPr>
          <w:rStyle w:val="9"/>
          <w:rFonts w:hint="eastAsia" w:ascii="仿宋_GB2312" w:hAnsi="宋体" w:eastAsia="仿宋_GB2312" w:cs="仿宋_GB2312"/>
          <w:b w:val="0"/>
          <w:bCs/>
          <w:sz w:val="32"/>
          <w:szCs w:val="32"/>
          <w:shd w:val="clear" w:color="auto" w:fill="FFFFFF"/>
        </w:rPr>
        <w:t>市政府委托第三方作为运营主体负责专项资金管理，按照公平、公正、公开的原则依法委托政府性融资担保公司粤财普惠金融</w:t>
      </w:r>
      <w:r>
        <w:rPr>
          <w:rStyle w:val="9"/>
          <w:rFonts w:ascii="仿宋_GB2312" w:hAnsi="宋体" w:eastAsia="仿宋_GB2312" w:cs="仿宋_GB2312"/>
          <w:b w:val="0"/>
          <w:bCs/>
          <w:sz w:val="32"/>
          <w:szCs w:val="32"/>
          <w:shd w:val="clear" w:color="auto" w:fill="FFFFFF"/>
        </w:rPr>
        <w:t>(汕尾)融资担保股份有限公司（下称“粤财普惠汕尾担保”）负责账户管理及专项资金划拨。前期由粤财普惠汕尾担保在一家合作银行开立专项资金专用存款账户，资金实行封闭运作、专款专用、专账管理，确保资金安全。以后视专项资金业务开展情况，增设专项资金账户和调整运营主体，增设专项资金账户由运营主体向市金融局报审批同意后增设，调整运营主体事宜具体由联席会议研究决定。</w:t>
      </w:r>
    </w:p>
    <w:p>
      <w:pPr>
        <w:pStyle w:val="6"/>
        <w:keepNext w:val="0"/>
        <w:keepLines w:val="0"/>
        <w:pageBreakBefore w:val="0"/>
        <w:shd w:val="clear" w:color="auto" w:fill="FFFFFF"/>
        <w:kinsoku/>
        <w:wordWrap/>
        <w:overflowPunct/>
        <w:topLinePunct w:val="0"/>
        <w:autoSpaceDE/>
        <w:autoSpaceDN/>
        <w:bidi w:val="0"/>
        <w:spacing w:beforeAutospacing="0" w:afterAutospacing="0"/>
        <w:ind w:firstLine="643" w:firstLineChars="200"/>
        <w:textAlignment w:val="auto"/>
        <w:rPr>
          <w:rFonts w:ascii="仿宋_GB2312" w:hAnsi="宋体" w:eastAsia="仿宋_GB2312" w:cs="仿宋_GB2312"/>
          <w:sz w:val="32"/>
          <w:szCs w:val="32"/>
          <w:shd w:val="clear" w:color="auto" w:fill="FFFFFF"/>
        </w:rPr>
      </w:pPr>
      <w:r>
        <w:rPr>
          <w:rStyle w:val="9"/>
          <w:rFonts w:hint="eastAsia" w:ascii="仿宋_GB2312" w:hAnsi="宋体" w:eastAsia="仿宋_GB2312" w:cs="仿宋_GB2312"/>
          <w:sz w:val="32"/>
          <w:szCs w:val="32"/>
          <w:shd w:val="clear" w:color="auto" w:fill="FFFFFF"/>
        </w:rPr>
        <w:t xml:space="preserve">第十四条 </w:t>
      </w:r>
      <w:r>
        <w:rPr>
          <w:rFonts w:hint="eastAsia" w:ascii="仿宋_GB2312" w:hAnsi="宋体" w:eastAsia="仿宋_GB2312" w:cs="仿宋_GB2312"/>
          <w:sz w:val="32"/>
          <w:szCs w:val="32"/>
          <w:shd w:val="clear" w:color="auto" w:fill="FFFFFF"/>
        </w:rPr>
        <w:t>运营主体要负责控制运营风险，制定配套业务制度和流程，审查相关法律合同文件，防范和控制法律风险。运营主体与相关银行就本办法的合作事宜签订合作协议或补充协议。</w:t>
      </w:r>
    </w:p>
    <w:p>
      <w:pPr>
        <w:pStyle w:val="6"/>
        <w:keepNext w:val="0"/>
        <w:keepLines w:val="0"/>
        <w:pageBreakBefore w:val="0"/>
        <w:widowControl/>
        <w:shd w:val="clear" w:color="auto" w:fill="FFFFFF"/>
        <w:kinsoku/>
        <w:wordWrap/>
        <w:overflowPunct/>
        <w:topLinePunct w:val="0"/>
        <w:autoSpaceDE/>
        <w:autoSpaceDN/>
        <w:bidi w:val="0"/>
        <w:spacing w:beforeAutospacing="0" w:afterAutospacing="0"/>
        <w:ind w:firstLine="643" w:firstLineChars="200"/>
        <w:jc w:val="both"/>
        <w:textAlignment w:val="auto"/>
        <w:rPr>
          <w:rFonts w:ascii="仿宋_GB2312" w:hAnsi="宋体" w:eastAsia="仿宋_GB2312" w:cs="仿宋_GB2312"/>
          <w:sz w:val="32"/>
          <w:szCs w:val="32"/>
          <w:shd w:val="clear" w:color="auto" w:fill="FFFFFF"/>
        </w:rPr>
      </w:pPr>
      <w:r>
        <w:rPr>
          <w:rStyle w:val="9"/>
          <w:rFonts w:hint="eastAsia" w:ascii="仿宋_GB2312" w:hAnsi="宋体" w:eastAsia="仿宋_GB2312" w:cs="仿宋_GB2312"/>
          <w:kern w:val="2"/>
          <w:sz w:val="32"/>
          <w:szCs w:val="32"/>
          <w:shd w:val="clear" w:color="auto" w:fill="FFFFFF"/>
        </w:rPr>
        <w:t xml:space="preserve">第十五条 </w:t>
      </w:r>
      <w:r>
        <w:rPr>
          <w:rStyle w:val="9"/>
          <w:rFonts w:hint="eastAsia" w:ascii="仿宋_GB2312" w:hAnsi="宋体" w:eastAsia="仿宋_GB2312" w:cs="仿宋_GB2312"/>
          <w:b w:val="0"/>
          <w:bCs/>
          <w:sz w:val="32"/>
          <w:szCs w:val="32"/>
          <w:shd w:val="clear" w:color="auto" w:fill="FFFFFF"/>
        </w:rPr>
        <w:t>运营主体定期将已使用专项资金的中小微企业名单，报市金融局备案。</w:t>
      </w:r>
    </w:p>
    <w:p>
      <w:pPr>
        <w:keepNext w:val="0"/>
        <w:keepLines w:val="0"/>
        <w:pageBreakBefore w:val="0"/>
        <w:kinsoku/>
        <w:wordWrap/>
        <w:overflowPunct/>
        <w:topLinePunct w:val="0"/>
        <w:autoSpaceDE/>
        <w:autoSpaceDN/>
        <w:bidi w:val="0"/>
        <w:adjustRightInd w:val="0"/>
        <w:snapToGrid w:val="0"/>
        <w:spacing w:beforeAutospacing="0" w:afterAutospacing="0"/>
        <w:ind w:firstLine="643" w:firstLineChars="200"/>
        <w:textAlignment w:val="auto"/>
        <w:rPr>
          <w:rFonts w:ascii="仿宋_GB2312" w:eastAsia="仿宋_GB2312"/>
          <w:bCs/>
          <w:szCs w:val="32"/>
        </w:rPr>
      </w:pPr>
      <w:r>
        <w:rPr>
          <w:rStyle w:val="9"/>
          <w:rFonts w:hint="eastAsia" w:ascii="仿宋_GB2312" w:hAnsi="宋体" w:eastAsia="仿宋_GB2312" w:cs="仿宋_GB2312"/>
          <w:szCs w:val="32"/>
          <w:shd w:val="clear" w:color="auto" w:fill="FFFFFF"/>
        </w:rPr>
        <w:t xml:space="preserve">第十六条 </w:t>
      </w:r>
      <w:r>
        <w:rPr>
          <w:rFonts w:hint="eastAsia" w:ascii="仿宋_GB2312" w:eastAsia="仿宋_GB2312"/>
          <w:szCs w:val="32"/>
        </w:rPr>
        <w:t>专项资金管理费用。</w:t>
      </w:r>
      <w:r>
        <w:rPr>
          <w:rFonts w:hint="eastAsia" w:ascii="仿宋_GB2312" w:hAnsi="宋体" w:eastAsia="仿宋_GB2312" w:cs="仿宋_GB2312"/>
          <w:szCs w:val="32"/>
          <w:shd w:val="clear" w:color="auto" w:fill="FFFFFF"/>
        </w:rPr>
        <w:t>运营主体</w:t>
      </w:r>
      <w:r>
        <w:rPr>
          <w:rFonts w:hint="eastAsia" w:ascii="仿宋_GB2312" w:eastAsia="仿宋_GB2312"/>
          <w:bCs/>
          <w:szCs w:val="32"/>
        </w:rPr>
        <w:t>按年收取专项资金委托管理费用，用于专项资金日常运营工作的人力成本、交通等相关经费开支。管理费用为专项资金累计发生金额的0.1%，且每年不高于</w:t>
      </w:r>
      <w:r>
        <w:rPr>
          <w:rFonts w:ascii="仿宋_GB2312" w:eastAsia="仿宋_GB2312"/>
          <w:bCs/>
          <w:szCs w:val="32"/>
        </w:rPr>
        <w:t>25</w:t>
      </w:r>
      <w:r>
        <w:rPr>
          <w:rFonts w:hint="eastAsia" w:ascii="仿宋_GB2312" w:eastAsia="仿宋_GB2312"/>
          <w:bCs/>
          <w:szCs w:val="32"/>
        </w:rPr>
        <w:t>万元，以后逐年视业务发展情况，由联席会议研究作必要调整；由</w:t>
      </w:r>
      <w:r>
        <w:rPr>
          <w:rFonts w:hint="eastAsia" w:ascii="仿宋_GB2312" w:hAnsi="宋体" w:eastAsia="仿宋_GB2312" w:cs="仿宋_GB2312"/>
          <w:szCs w:val="32"/>
          <w:shd w:val="clear" w:color="auto" w:fill="FFFFFF"/>
        </w:rPr>
        <w:t>运营主体</w:t>
      </w:r>
      <w:r>
        <w:rPr>
          <w:rFonts w:hint="eastAsia" w:ascii="仿宋_GB2312" w:eastAsia="仿宋_GB2312"/>
          <w:bCs/>
          <w:szCs w:val="32"/>
        </w:rPr>
        <w:t>于次年1月底前按照上年度累计发生金额核算，经联席会议办公室同意后从专项资金账户产生的利息和收取的资金使用费、违约金中支付。如有不足，由市金融局向市财政局提出申请补足。</w:t>
      </w:r>
    </w:p>
    <w:p>
      <w:pPr>
        <w:pStyle w:val="6"/>
        <w:keepNext w:val="0"/>
        <w:keepLines w:val="0"/>
        <w:pageBreakBefore w:val="0"/>
        <w:shd w:val="clear" w:color="auto" w:fill="FFFFFF"/>
        <w:kinsoku/>
        <w:wordWrap/>
        <w:overflowPunct/>
        <w:topLinePunct w:val="0"/>
        <w:autoSpaceDE/>
        <w:autoSpaceDN/>
        <w:bidi w:val="0"/>
        <w:spacing w:beforeAutospacing="0" w:afterAutospacing="0"/>
        <w:ind w:firstLine="643" w:firstLineChars="200"/>
        <w:jc w:val="both"/>
        <w:textAlignment w:val="auto"/>
        <w:rPr>
          <w:rStyle w:val="9"/>
          <w:rFonts w:ascii="仿宋_GB2312" w:hAnsi="宋体" w:eastAsia="仿宋_GB2312" w:cs="仿宋_GB2312"/>
          <w:sz w:val="32"/>
          <w:szCs w:val="32"/>
          <w:shd w:val="clear" w:color="auto" w:fill="FFFFFF"/>
        </w:rPr>
      </w:pPr>
      <w:r>
        <w:rPr>
          <w:rStyle w:val="9"/>
          <w:rFonts w:hint="eastAsia" w:ascii="仿宋_GB2312" w:hAnsi="宋体" w:eastAsia="仿宋_GB2312" w:cs="仿宋_GB2312"/>
          <w:sz w:val="32"/>
          <w:szCs w:val="32"/>
          <w:shd w:val="clear" w:color="auto" w:fill="FFFFFF"/>
        </w:rPr>
        <w:t xml:space="preserve">第十七条 </w:t>
      </w:r>
      <w:r>
        <w:rPr>
          <w:rFonts w:hint="eastAsia" w:ascii="仿宋_GB2312" w:eastAsia="仿宋_GB2312"/>
          <w:sz w:val="32"/>
          <w:szCs w:val="32"/>
        </w:rPr>
        <w:t>风险准备金。</w:t>
      </w:r>
      <w:r>
        <w:rPr>
          <w:rFonts w:hint="eastAsia" w:ascii="仿宋_GB2312" w:eastAsia="仿宋_GB2312"/>
          <w:bCs/>
          <w:sz w:val="32"/>
          <w:szCs w:val="32"/>
        </w:rPr>
        <w:t>专项资金每个年度发生的资金使用费、产生的利息在扣除税费、审计费、管理费用后，结余部分于每年1月末转作风险准备金。风险准备金专项用于回补专项资金在开展转贷业务中发生的本金损失。</w:t>
      </w:r>
      <w:r>
        <w:rPr>
          <w:rStyle w:val="9"/>
          <w:rFonts w:hint="eastAsia" w:ascii="仿宋_GB2312" w:hAnsi="宋体" w:eastAsia="仿宋_GB2312" w:cs="仿宋_GB2312"/>
          <w:sz w:val="32"/>
          <w:szCs w:val="32"/>
          <w:shd w:val="clear" w:color="auto" w:fill="FFFFFF"/>
        </w:rPr>
        <w:t xml:space="preserve"> </w:t>
      </w:r>
    </w:p>
    <w:p>
      <w:pPr>
        <w:pStyle w:val="6"/>
        <w:keepNext w:val="0"/>
        <w:keepLines w:val="0"/>
        <w:pageBreakBefore w:val="0"/>
        <w:shd w:val="clear" w:color="auto" w:fill="FFFFFF"/>
        <w:kinsoku/>
        <w:wordWrap/>
        <w:overflowPunct/>
        <w:topLinePunct w:val="0"/>
        <w:autoSpaceDE/>
        <w:autoSpaceDN/>
        <w:bidi w:val="0"/>
        <w:spacing w:beforeAutospacing="0" w:afterAutospacing="0"/>
        <w:ind w:firstLine="643" w:firstLineChars="200"/>
        <w:jc w:val="both"/>
        <w:textAlignment w:val="auto"/>
        <w:rPr>
          <w:rFonts w:ascii="微软雅黑" w:hAnsi="微软雅黑" w:eastAsia="微软雅黑" w:cs="微软雅黑"/>
          <w:sz w:val="21"/>
          <w:szCs w:val="21"/>
        </w:rPr>
      </w:pPr>
      <w:r>
        <w:rPr>
          <w:rStyle w:val="9"/>
          <w:rFonts w:hint="eastAsia" w:ascii="仿宋_GB2312" w:hAnsi="宋体" w:eastAsia="仿宋_GB2312" w:cs="仿宋_GB2312"/>
          <w:sz w:val="32"/>
          <w:szCs w:val="32"/>
          <w:shd w:val="clear" w:color="auto" w:fill="FFFFFF"/>
        </w:rPr>
        <w:t xml:space="preserve">第十八条 </w:t>
      </w:r>
      <w:r>
        <w:rPr>
          <w:rFonts w:hint="eastAsia" w:ascii="仿宋_GB2312" w:hAnsi="微软雅黑" w:eastAsia="仿宋_GB2312" w:cs="仿宋_GB2312"/>
          <w:sz w:val="32"/>
          <w:szCs w:val="32"/>
          <w:shd w:val="clear" w:color="auto" w:fill="FFFFFF"/>
        </w:rPr>
        <w:t>运营主体</w:t>
      </w:r>
      <w:r>
        <w:rPr>
          <w:rFonts w:hint="eastAsia" w:ascii="仿宋_GB2312" w:hAnsi="宋体" w:eastAsia="仿宋_GB2312" w:cs="仿宋_GB2312"/>
          <w:sz w:val="32"/>
          <w:szCs w:val="32"/>
          <w:shd w:val="clear" w:color="auto" w:fill="FFFFFF"/>
        </w:rPr>
        <w:t>应建立和完善管理制度，并报</w:t>
      </w:r>
      <w:r>
        <w:rPr>
          <w:rFonts w:hint="eastAsia" w:ascii="仿宋_GB2312" w:eastAsia="仿宋_GB2312"/>
          <w:bCs/>
          <w:sz w:val="32"/>
          <w:szCs w:val="32"/>
        </w:rPr>
        <w:t>联席会议办公室备案</w:t>
      </w:r>
      <w:r>
        <w:rPr>
          <w:rFonts w:hint="eastAsia" w:ascii="仿宋_GB2312" w:hAnsi="宋体" w:eastAsia="仿宋_GB2312" w:cs="仿宋_GB2312"/>
          <w:sz w:val="32"/>
          <w:szCs w:val="32"/>
          <w:shd w:val="clear" w:color="auto" w:fill="FFFFFF"/>
        </w:rPr>
        <w:t>，自觉接受</w:t>
      </w:r>
      <w:r>
        <w:rPr>
          <w:rFonts w:hint="eastAsia" w:ascii="仿宋_GB2312" w:eastAsia="仿宋_GB2312"/>
          <w:bCs/>
          <w:sz w:val="32"/>
          <w:szCs w:val="32"/>
        </w:rPr>
        <w:t>联席会议办公室和有关部门</w:t>
      </w:r>
      <w:r>
        <w:rPr>
          <w:rFonts w:hint="eastAsia" w:ascii="仿宋_GB2312" w:hAnsi="宋体" w:eastAsia="仿宋_GB2312" w:cs="仿宋_GB2312"/>
          <w:sz w:val="32"/>
          <w:szCs w:val="32"/>
          <w:shd w:val="clear" w:color="auto" w:fill="FFFFFF"/>
        </w:rPr>
        <w:t>的监督检查；建立必要的专项资金需求企业预警机制，对在审批过程中发现的申请企业负面信息，应当及时通知贷款银行，以帮助贷款银行控制审批风险；严格履行流程审批和复核手续，督促相关合作银行尽快办理转贷手续，及时划转专项资金，提高资金使用效率。</w:t>
      </w:r>
    </w:p>
    <w:p>
      <w:pPr>
        <w:pStyle w:val="6"/>
        <w:keepNext w:val="0"/>
        <w:keepLines w:val="0"/>
        <w:pageBreakBefore w:val="0"/>
        <w:shd w:val="clear" w:color="auto" w:fill="FFFFFF"/>
        <w:kinsoku/>
        <w:wordWrap/>
        <w:overflowPunct/>
        <w:topLinePunct w:val="0"/>
        <w:autoSpaceDE/>
        <w:autoSpaceDN/>
        <w:bidi w:val="0"/>
        <w:spacing w:beforeAutospacing="0" w:afterAutospacing="0"/>
        <w:ind w:firstLine="643" w:firstLineChars="200"/>
        <w:jc w:val="both"/>
        <w:textAlignment w:val="auto"/>
        <w:rPr>
          <w:rFonts w:ascii="微软雅黑" w:hAnsi="微软雅黑" w:eastAsia="微软雅黑" w:cs="微软雅黑"/>
          <w:sz w:val="21"/>
          <w:szCs w:val="21"/>
        </w:rPr>
      </w:pPr>
      <w:r>
        <w:rPr>
          <w:rStyle w:val="9"/>
          <w:rFonts w:hint="eastAsia" w:ascii="仿宋_GB2312" w:hAnsi="宋体" w:eastAsia="仿宋_GB2312" w:cs="仿宋_GB2312"/>
          <w:sz w:val="32"/>
          <w:szCs w:val="32"/>
          <w:shd w:val="clear" w:color="auto" w:fill="FFFFFF"/>
        </w:rPr>
        <w:t xml:space="preserve">第十九条 </w:t>
      </w:r>
      <w:r>
        <w:rPr>
          <w:rFonts w:hint="eastAsia" w:ascii="仿宋_GB2312" w:hAnsi="仿宋_GB2312" w:eastAsia="仿宋_GB2312" w:cs="仿宋_GB2312"/>
          <w:sz w:val="32"/>
          <w:szCs w:val="32"/>
          <w:shd w:val="clear" w:color="auto" w:fill="FFFFFF"/>
        </w:rPr>
        <w:t>贷款银行应当建立需求企业预警机制，在同</w:t>
      </w:r>
      <w:r>
        <w:rPr>
          <w:rFonts w:hint="eastAsia" w:ascii="仿宋_GB2312" w:hAnsi="微软雅黑" w:eastAsia="仿宋_GB2312" w:cs="仿宋_GB2312"/>
          <w:sz w:val="32"/>
          <w:szCs w:val="32"/>
          <w:shd w:val="clear" w:color="auto" w:fill="FFFFFF"/>
        </w:rPr>
        <w:t>意续贷后至资金划拨前，若发现借款企业发生重大风险情况（如借款企业涉及诉讼、法院查封账户等），应当及时报告运营主体和</w:t>
      </w:r>
      <w:r>
        <w:rPr>
          <w:rFonts w:hint="eastAsia" w:ascii="仿宋_GB2312" w:eastAsia="仿宋_GB2312"/>
          <w:bCs/>
          <w:sz w:val="32"/>
          <w:szCs w:val="32"/>
        </w:rPr>
        <w:t>联席会议办公室</w:t>
      </w:r>
      <w:r>
        <w:rPr>
          <w:rFonts w:hint="eastAsia" w:ascii="仿宋_GB2312" w:hAnsi="微软雅黑" w:eastAsia="仿宋_GB2312" w:cs="仿宋_GB2312"/>
          <w:sz w:val="32"/>
          <w:szCs w:val="32"/>
          <w:shd w:val="clear" w:color="auto" w:fill="FFFFFF"/>
        </w:rPr>
        <w:t>。</w:t>
      </w:r>
    </w:p>
    <w:p>
      <w:pPr>
        <w:pStyle w:val="6"/>
        <w:keepNext w:val="0"/>
        <w:keepLines w:val="0"/>
        <w:pageBreakBefore w:val="0"/>
        <w:shd w:val="clear" w:color="auto" w:fill="FFFFFF"/>
        <w:kinsoku/>
        <w:wordWrap/>
        <w:overflowPunct/>
        <w:topLinePunct w:val="0"/>
        <w:autoSpaceDE/>
        <w:autoSpaceDN/>
        <w:bidi w:val="0"/>
        <w:spacing w:beforeAutospacing="0" w:afterAutospacing="0"/>
        <w:ind w:firstLine="643" w:firstLineChars="200"/>
        <w:jc w:val="both"/>
        <w:textAlignment w:val="auto"/>
        <w:rPr>
          <w:rFonts w:ascii="微软雅黑" w:hAnsi="微软雅黑" w:eastAsia="微软雅黑" w:cs="微软雅黑"/>
          <w:sz w:val="21"/>
          <w:szCs w:val="21"/>
        </w:rPr>
      </w:pPr>
      <w:r>
        <w:rPr>
          <w:rStyle w:val="9"/>
          <w:rFonts w:hint="eastAsia" w:ascii="仿宋_GB2312" w:hAnsi="宋体" w:eastAsia="仿宋_GB2312" w:cs="仿宋_GB2312"/>
          <w:sz w:val="32"/>
          <w:szCs w:val="32"/>
          <w:shd w:val="clear" w:color="auto" w:fill="FFFFFF"/>
        </w:rPr>
        <w:t xml:space="preserve">第二十条 </w:t>
      </w:r>
      <w:r>
        <w:rPr>
          <w:rFonts w:hint="eastAsia" w:ascii="仿宋_GB2312" w:hAnsi="微软雅黑" w:eastAsia="仿宋_GB2312" w:cs="仿宋_GB2312"/>
          <w:sz w:val="32"/>
          <w:szCs w:val="32"/>
          <w:shd w:val="clear" w:color="auto" w:fill="FFFFFF"/>
        </w:rPr>
        <w:t>运营主体</w:t>
      </w:r>
      <w:r>
        <w:rPr>
          <w:rFonts w:hint="eastAsia" w:ascii="仿宋_GB2312" w:hAnsi="宋体" w:eastAsia="仿宋_GB2312" w:cs="仿宋_GB2312"/>
          <w:sz w:val="32"/>
          <w:szCs w:val="32"/>
          <w:shd w:val="clear" w:color="auto" w:fill="FFFFFF"/>
        </w:rPr>
        <w:t>应当每月向市金融局和财政局报送专项资金的使用情况，每季度向</w:t>
      </w:r>
      <w:r>
        <w:rPr>
          <w:rFonts w:hint="eastAsia" w:ascii="仿宋_GB2312" w:eastAsia="仿宋_GB2312"/>
          <w:bCs/>
          <w:sz w:val="32"/>
          <w:szCs w:val="32"/>
        </w:rPr>
        <w:t>联席会议总召集人</w:t>
      </w:r>
      <w:r>
        <w:rPr>
          <w:rFonts w:hint="eastAsia" w:ascii="仿宋_GB2312" w:hAnsi="宋体" w:eastAsia="仿宋_GB2312" w:cs="仿宋_GB2312"/>
          <w:sz w:val="32"/>
          <w:szCs w:val="32"/>
          <w:shd w:val="clear" w:color="auto" w:fill="FFFFFF"/>
        </w:rPr>
        <w:t>汇报专项资金的业务开展情况。运营主体对逾期不能归还的专项资金，应当详细分析原因并提出追偿方案，落实追偿措施，及时报告</w:t>
      </w:r>
      <w:r>
        <w:rPr>
          <w:rFonts w:hint="eastAsia" w:ascii="仿宋_GB2312" w:eastAsia="仿宋_GB2312"/>
          <w:bCs/>
          <w:sz w:val="32"/>
          <w:szCs w:val="32"/>
        </w:rPr>
        <w:t>联席会议总召集人</w:t>
      </w:r>
      <w:r>
        <w:rPr>
          <w:rFonts w:hint="eastAsia" w:ascii="仿宋_GB2312" w:hAnsi="宋体" w:eastAsia="仿宋_GB2312" w:cs="仿宋_GB2312"/>
          <w:sz w:val="32"/>
          <w:szCs w:val="32"/>
          <w:shd w:val="clear" w:color="auto" w:fill="FFFFFF"/>
        </w:rPr>
        <w:t>。</w:t>
      </w:r>
    </w:p>
    <w:p>
      <w:pPr>
        <w:pStyle w:val="6"/>
        <w:keepNext w:val="0"/>
        <w:keepLines w:val="0"/>
        <w:pageBreakBefore w:val="0"/>
        <w:shd w:val="clear" w:color="auto" w:fill="FFFFFF"/>
        <w:kinsoku/>
        <w:wordWrap/>
        <w:overflowPunct/>
        <w:topLinePunct w:val="0"/>
        <w:autoSpaceDE/>
        <w:autoSpaceDN/>
        <w:bidi w:val="0"/>
        <w:spacing w:beforeAutospacing="0" w:afterAutospacing="0"/>
        <w:ind w:firstLine="643" w:firstLineChars="200"/>
        <w:jc w:val="both"/>
        <w:textAlignment w:val="auto"/>
        <w:rPr>
          <w:rFonts w:ascii="微软雅黑" w:hAnsi="微软雅黑" w:eastAsia="微软雅黑" w:cs="微软雅黑"/>
          <w:sz w:val="21"/>
          <w:szCs w:val="21"/>
        </w:rPr>
      </w:pPr>
      <w:r>
        <w:rPr>
          <w:rStyle w:val="9"/>
          <w:rFonts w:hint="eastAsia" w:ascii="仿宋_GB2312" w:hAnsi="宋体" w:eastAsia="仿宋_GB2312" w:cs="仿宋_GB2312"/>
          <w:sz w:val="32"/>
          <w:szCs w:val="32"/>
          <w:shd w:val="clear" w:color="auto" w:fill="FFFFFF"/>
        </w:rPr>
        <w:t xml:space="preserve">第二十一条 </w:t>
      </w:r>
      <w:r>
        <w:rPr>
          <w:rFonts w:hint="eastAsia" w:ascii="仿宋_GB2312" w:hAnsi="宋体" w:eastAsia="仿宋_GB2312" w:cs="仿宋_GB2312"/>
          <w:sz w:val="32"/>
          <w:szCs w:val="32"/>
          <w:shd w:val="clear" w:color="auto" w:fill="FFFFFF"/>
        </w:rPr>
        <w:t>对于企业或者个人采取虚报、瞒报等手段骗取或者拖欠专项资金的，要依法追缴专项资金，并对违法行为采取相应的法律措施。企业和个人相关不良记录应当录入市征信中心征信系统，</w:t>
      </w:r>
      <w:r>
        <w:rPr>
          <w:rFonts w:hint="eastAsia" w:ascii="仿宋_GB2312" w:hAnsi="Calibri" w:eastAsia="仿宋_GB2312" w:cs="仿宋_GB2312"/>
          <w:sz w:val="32"/>
          <w:szCs w:val="32"/>
          <w:shd w:val="clear" w:color="auto" w:fill="FFFFFF"/>
        </w:rPr>
        <w:t>3</w:t>
      </w:r>
      <w:r>
        <w:rPr>
          <w:rFonts w:hint="eastAsia" w:ascii="仿宋_GB2312" w:hAnsi="宋体" w:eastAsia="仿宋_GB2312" w:cs="仿宋_GB2312"/>
          <w:sz w:val="32"/>
          <w:szCs w:val="32"/>
          <w:shd w:val="clear" w:color="auto" w:fill="FFFFFF"/>
        </w:rPr>
        <w:t>年内不得申请使用本资金。</w:t>
      </w:r>
    </w:p>
    <w:p>
      <w:pPr>
        <w:pStyle w:val="6"/>
        <w:keepNext w:val="0"/>
        <w:keepLines w:val="0"/>
        <w:pageBreakBefore w:val="0"/>
        <w:shd w:val="clear" w:color="auto" w:fill="FFFFFF"/>
        <w:kinsoku/>
        <w:wordWrap/>
        <w:overflowPunct/>
        <w:topLinePunct w:val="0"/>
        <w:autoSpaceDE/>
        <w:autoSpaceDN/>
        <w:bidi w:val="0"/>
        <w:spacing w:beforeAutospacing="0" w:afterAutospacing="0"/>
        <w:ind w:firstLine="643" w:firstLineChars="200"/>
        <w:jc w:val="both"/>
        <w:textAlignment w:val="auto"/>
        <w:rPr>
          <w:rFonts w:ascii="仿宋_GB2312" w:hAnsi="宋体" w:eastAsia="仿宋_GB2312" w:cs="仿宋_GB2312"/>
          <w:sz w:val="32"/>
          <w:szCs w:val="32"/>
          <w:shd w:val="clear" w:color="auto" w:fill="FFFFFF"/>
        </w:rPr>
      </w:pPr>
      <w:r>
        <w:rPr>
          <w:rStyle w:val="9"/>
          <w:rFonts w:hint="eastAsia" w:ascii="仿宋_GB2312" w:hAnsi="宋体" w:eastAsia="仿宋_GB2312" w:cs="仿宋_GB2312"/>
          <w:sz w:val="32"/>
          <w:szCs w:val="32"/>
          <w:shd w:val="clear" w:color="auto" w:fill="FFFFFF"/>
        </w:rPr>
        <w:t xml:space="preserve">第二十二条 </w:t>
      </w:r>
      <w:r>
        <w:rPr>
          <w:rFonts w:hint="eastAsia" w:ascii="仿宋_GB2312" w:hAnsi="宋体" w:eastAsia="仿宋_GB2312" w:cs="仿宋_GB2312"/>
          <w:sz w:val="32"/>
          <w:szCs w:val="32"/>
          <w:shd w:val="clear" w:color="auto" w:fill="FFFFFF"/>
        </w:rPr>
        <w:t>对于相关部门、合作银行及其工作人员弄虚作假、审查把关不严、违反规定程序办理专项资金业务造成损失的，依法按照有关规定予以处理；构成犯罪的，依法追究刑事责任。</w:t>
      </w:r>
    </w:p>
    <w:p>
      <w:pPr>
        <w:pStyle w:val="6"/>
        <w:keepNext w:val="0"/>
        <w:keepLines w:val="0"/>
        <w:pageBreakBefore w:val="0"/>
        <w:shd w:val="clear" w:color="auto" w:fill="FFFFFF"/>
        <w:kinsoku/>
        <w:wordWrap/>
        <w:overflowPunct/>
        <w:topLinePunct w:val="0"/>
        <w:autoSpaceDE/>
        <w:autoSpaceDN/>
        <w:bidi w:val="0"/>
        <w:spacing w:beforeAutospacing="0" w:afterAutospacing="0"/>
        <w:ind w:firstLine="643" w:firstLineChars="200"/>
        <w:jc w:val="both"/>
        <w:textAlignment w:val="auto"/>
        <w:rPr>
          <w:rStyle w:val="9"/>
          <w:rFonts w:ascii="仿宋_GB2312" w:hAnsi="宋体" w:eastAsia="仿宋_GB2312" w:cs="仿宋_GB2312"/>
          <w:b w:val="0"/>
          <w:bCs/>
          <w:sz w:val="32"/>
          <w:szCs w:val="32"/>
          <w:shd w:val="clear" w:color="auto" w:fill="FFFFFF"/>
        </w:rPr>
      </w:pPr>
      <w:r>
        <w:rPr>
          <w:rStyle w:val="9"/>
          <w:rFonts w:hint="eastAsia" w:ascii="仿宋_GB2312" w:hAnsi="宋体" w:eastAsia="仿宋_GB2312" w:cs="仿宋_GB2312"/>
          <w:sz w:val="32"/>
          <w:szCs w:val="32"/>
          <w:shd w:val="clear" w:color="auto" w:fill="FFFFFF"/>
        </w:rPr>
        <w:t xml:space="preserve">第二十三条 </w:t>
      </w:r>
      <w:r>
        <w:rPr>
          <w:rStyle w:val="9"/>
          <w:rFonts w:hint="eastAsia" w:ascii="仿宋_GB2312" w:hAnsi="宋体" w:eastAsia="仿宋_GB2312" w:cs="仿宋_GB2312"/>
          <w:b w:val="0"/>
          <w:sz w:val="32"/>
          <w:szCs w:val="32"/>
          <w:shd w:val="clear" w:color="auto" w:fill="FFFFFF"/>
        </w:rPr>
        <w:t>专项资金出资各方按照出资份额比例共享收益，期满后将结余资</w:t>
      </w:r>
      <w:r>
        <w:rPr>
          <w:rStyle w:val="9"/>
          <w:rFonts w:hint="eastAsia" w:ascii="仿宋_GB2312" w:hAnsi="宋体" w:eastAsia="仿宋_GB2312" w:cs="仿宋_GB2312"/>
          <w:b w:val="0"/>
          <w:bCs/>
          <w:sz w:val="32"/>
          <w:szCs w:val="32"/>
          <w:shd w:val="clear" w:color="auto" w:fill="FFFFFF"/>
        </w:rPr>
        <w:t>金按出资比例相应划归各方国库。</w:t>
      </w:r>
    </w:p>
    <w:p>
      <w:pPr>
        <w:pStyle w:val="6"/>
        <w:keepNext w:val="0"/>
        <w:keepLines w:val="0"/>
        <w:pageBreakBefore w:val="0"/>
        <w:shd w:val="clear" w:color="auto" w:fill="FFFFFF"/>
        <w:kinsoku/>
        <w:wordWrap/>
        <w:overflowPunct/>
        <w:topLinePunct w:val="0"/>
        <w:autoSpaceDE/>
        <w:autoSpaceDN/>
        <w:bidi w:val="0"/>
        <w:spacing w:beforeAutospacing="0" w:afterAutospacing="0"/>
        <w:ind w:firstLine="643" w:firstLineChars="200"/>
        <w:jc w:val="both"/>
        <w:textAlignment w:val="auto"/>
        <w:rPr>
          <w:rStyle w:val="9"/>
          <w:rFonts w:ascii="仿宋_GB2312" w:hAnsi="宋体" w:eastAsia="仿宋_GB2312" w:cs="仿宋_GB2312"/>
          <w:b w:val="0"/>
          <w:bCs/>
          <w:sz w:val="32"/>
          <w:szCs w:val="32"/>
          <w:shd w:val="clear" w:color="auto" w:fill="FFFFFF"/>
        </w:rPr>
      </w:pPr>
      <w:r>
        <w:rPr>
          <w:rStyle w:val="9"/>
          <w:rFonts w:hint="eastAsia" w:ascii="仿宋_GB2312" w:hAnsi="宋体" w:eastAsia="仿宋_GB2312" w:cs="仿宋_GB2312"/>
          <w:sz w:val="32"/>
          <w:szCs w:val="32"/>
          <w:shd w:val="clear" w:color="auto" w:fill="FFFFFF"/>
        </w:rPr>
        <w:t>第二十四条</w:t>
      </w:r>
      <w:r>
        <w:rPr>
          <w:rStyle w:val="9"/>
          <w:rFonts w:hint="eastAsia" w:ascii="仿宋_GB2312" w:hAnsi="宋体" w:eastAsia="仿宋_GB2312" w:cs="仿宋_GB2312"/>
          <w:b w:val="0"/>
          <w:bCs/>
          <w:sz w:val="32"/>
          <w:szCs w:val="32"/>
          <w:shd w:val="clear" w:color="auto" w:fill="FFFFFF"/>
        </w:rPr>
        <w:t xml:space="preserve"> 市金融局根据本办法制定具体的实施细则。</w:t>
      </w:r>
    </w:p>
    <w:p>
      <w:pPr>
        <w:pStyle w:val="6"/>
        <w:keepNext w:val="0"/>
        <w:keepLines w:val="0"/>
        <w:pageBreakBefore w:val="0"/>
        <w:shd w:val="clear" w:color="auto" w:fill="FFFFFF"/>
        <w:kinsoku/>
        <w:wordWrap/>
        <w:overflowPunct/>
        <w:topLinePunct w:val="0"/>
        <w:autoSpaceDE/>
        <w:autoSpaceDN/>
        <w:bidi w:val="0"/>
        <w:spacing w:beforeAutospacing="0" w:afterAutospacing="0"/>
        <w:ind w:firstLine="643" w:firstLineChars="200"/>
        <w:jc w:val="both"/>
        <w:textAlignment w:val="auto"/>
      </w:pPr>
      <w:r>
        <w:rPr>
          <w:rStyle w:val="9"/>
          <w:rFonts w:hint="eastAsia" w:ascii="仿宋_GB2312" w:hAnsi="宋体" w:eastAsia="仿宋_GB2312" w:cs="仿宋_GB2312"/>
          <w:sz w:val="32"/>
          <w:szCs w:val="32"/>
          <w:shd w:val="clear" w:color="auto" w:fill="FFFFFF"/>
        </w:rPr>
        <w:t xml:space="preserve">第二十五条 </w:t>
      </w:r>
      <w:r>
        <w:rPr>
          <w:rFonts w:hint="eastAsia" w:ascii="仿宋_GB2312" w:hAnsi="宋体" w:eastAsia="仿宋_GB2312" w:cs="仿宋_GB2312"/>
          <w:sz w:val="32"/>
          <w:szCs w:val="32"/>
          <w:shd w:val="clear" w:color="auto" w:fill="FFFFFF"/>
        </w:rPr>
        <w:t>本办法自</w:t>
      </w:r>
      <w:r>
        <w:rPr>
          <w:rFonts w:hint="eastAsia" w:ascii="仿宋_GB2312" w:hAnsi="Calibri" w:eastAsia="仿宋_GB2312" w:cs="仿宋_GB2312"/>
          <w:sz w:val="32"/>
          <w:szCs w:val="32"/>
          <w:shd w:val="clear" w:color="auto" w:fill="FFFFFF"/>
        </w:rPr>
        <w:t>颁布之</w:t>
      </w:r>
      <w:r>
        <w:rPr>
          <w:rFonts w:hint="eastAsia" w:ascii="仿宋_GB2312" w:hAnsi="宋体" w:eastAsia="仿宋_GB2312" w:cs="仿宋_GB2312"/>
          <w:sz w:val="32"/>
          <w:szCs w:val="32"/>
          <w:shd w:val="clear" w:color="auto" w:fill="FFFFFF"/>
        </w:rPr>
        <w:t>日</w:t>
      </w:r>
      <w:r>
        <w:rPr>
          <w:rFonts w:hint="eastAsia" w:ascii="仿宋_GB2312" w:hAnsi="Calibri" w:eastAsia="仿宋_GB2312" w:cs="仿宋_GB2312"/>
          <w:sz w:val="32"/>
          <w:szCs w:val="32"/>
          <w:shd w:val="clear" w:color="auto" w:fill="FFFFFF"/>
        </w:rPr>
        <w:t>起实施，有效期</w:t>
      </w:r>
      <w:r>
        <w:rPr>
          <w:rFonts w:hint="eastAsia" w:ascii="仿宋_GB2312" w:hAnsi="Calibri" w:eastAsia="仿宋_GB2312" w:cs="仿宋_GB2312"/>
          <w:sz w:val="32"/>
          <w:szCs w:val="32"/>
          <w:shd w:val="clear" w:color="auto" w:fill="FFFFFF"/>
          <w:lang w:val="en-US" w:eastAsia="zh-CN"/>
        </w:rPr>
        <w:t>与《汕尾市人民政府办公室关于印发汕尾市支持中小微企业融资专项资金管理办法的通知》保持一致</w:t>
      </w:r>
      <w:r>
        <w:rPr>
          <w:rFonts w:hint="eastAsia" w:ascii="仿宋_GB2312" w:hAnsi="Calibri" w:eastAsia="仿宋_GB2312" w:cs="仿宋_GB2312"/>
          <w:sz w:val="32"/>
          <w:szCs w:val="32"/>
          <w:shd w:val="clear" w:color="auto" w:fill="FFFFFF"/>
        </w:rPr>
        <w:t>。</w:t>
      </w:r>
    </w:p>
    <w:sectPr>
      <w:footerReference r:id="rId5" w:type="default"/>
      <w:pgSz w:w="11906" w:h="16838"/>
      <w:pgMar w:top="1440" w:right="1800" w:bottom="1440" w:left="1800"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4HF0wAgAAY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eEybMsbPXO&#10;8ggd5fF2dQyQs1M5itIrge7EDWav69PwTuJw/7nvoh7/Dc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FB4HF0wAgAAYwQAAA4AAAAAAAAAAQAgAAAAHwEAAGRycy9lMm9Eb2MueG1sUEsFBgAA&#10;AAAGAAYAWQEAAMEFAAAAAA==&#10;">
              <v:fill on="f" focussize="0,0"/>
              <v:stroke on="f" weight="0.5pt"/>
              <v:imagedata o:title=""/>
              <o:lock v:ext="edit" aspectratio="f"/>
              <v:textbox inset="0mm,0mm,0mm,0mm" style="mso-fit-shape-to-text:t;">
                <w:txbxContent>
                  <w:p>
                    <w:pPr>
                      <w:pStyle w:val="4"/>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5381"/>
    <w:rsid w:val="000D4045"/>
    <w:rsid w:val="000F2B56"/>
    <w:rsid w:val="001A0895"/>
    <w:rsid w:val="001A1AA0"/>
    <w:rsid w:val="001B092A"/>
    <w:rsid w:val="00267E66"/>
    <w:rsid w:val="00272C68"/>
    <w:rsid w:val="00316AC9"/>
    <w:rsid w:val="003F0E03"/>
    <w:rsid w:val="00526702"/>
    <w:rsid w:val="00574113"/>
    <w:rsid w:val="005C230D"/>
    <w:rsid w:val="00621912"/>
    <w:rsid w:val="006D48FF"/>
    <w:rsid w:val="00722820"/>
    <w:rsid w:val="00751282"/>
    <w:rsid w:val="00765381"/>
    <w:rsid w:val="007D39A0"/>
    <w:rsid w:val="008213FC"/>
    <w:rsid w:val="00862743"/>
    <w:rsid w:val="008B76B4"/>
    <w:rsid w:val="008C7440"/>
    <w:rsid w:val="008F0A3B"/>
    <w:rsid w:val="008F40F7"/>
    <w:rsid w:val="0092665A"/>
    <w:rsid w:val="00992488"/>
    <w:rsid w:val="009B0D60"/>
    <w:rsid w:val="009C1EC7"/>
    <w:rsid w:val="009F3EA3"/>
    <w:rsid w:val="00A006A6"/>
    <w:rsid w:val="00A258CB"/>
    <w:rsid w:val="00A678E5"/>
    <w:rsid w:val="00A84A9F"/>
    <w:rsid w:val="00A91178"/>
    <w:rsid w:val="00AA3F71"/>
    <w:rsid w:val="00AD399F"/>
    <w:rsid w:val="00B82242"/>
    <w:rsid w:val="00C04557"/>
    <w:rsid w:val="00C74732"/>
    <w:rsid w:val="00C911EE"/>
    <w:rsid w:val="00CB1329"/>
    <w:rsid w:val="00CE7488"/>
    <w:rsid w:val="00D24FDA"/>
    <w:rsid w:val="00D263CF"/>
    <w:rsid w:val="00D55AC6"/>
    <w:rsid w:val="00D64195"/>
    <w:rsid w:val="00D9244F"/>
    <w:rsid w:val="00DB0099"/>
    <w:rsid w:val="00DC327C"/>
    <w:rsid w:val="00E60A0C"/>
    <w:rsid w:val="00E63EED"/>
    <w:rsid w:val="00EE4A9F"/>
    <w:rsid w:val="00F40DEE"/>
    <w:rsid w:val="00F73D41"/>
    <w:rsid w:val="01AF0C1F"/>
    <w:rsid w:val="0379119F"/>
    <w:rsid w:val="04280DD8"/>
    <w:rsid w:val="049470EC"/>
    <w:rsid w:val="053D69A8"/>
    <w:rsid w:val="059E3204"/>
    <w:rsid w:val="07563E01"/>
    <w:rsid w:val="0A757895"/>
    <w:rsid w:val="0AF33E10"/>
    <w:rsid w:val="0BE42DC7"/>
    <w:rsid w:val="0DCC59EC"/>
    <w:rsid w:val="0FED7DA6"/>
    <w:rsid w:val="10BF7F1C"/>
    <w:rsid w:val="10F354E1"/>
    <w:rsid w:val="12A1332E"/>
    <w:rsid w:val="13050C6D"/>
    <w:rsid w:val="132D612D"/>
    <w:rsid w:val="13A81A79"/>
    <w:rsid w:val="146F1865"/>
    <w:rsid w:val="16223A12"/>
    <w:rsid w:val="18843424"/>
    <w:rsid w:val="18F05D86"/>
    <w:rsid w:val="199B22D7"/>
    <w:rsid w:val="19A401D9"/>
    <w:rsid w:val="1A4D2E49"/>
    <w:rsid w:val="1DC86E37"/>
    <w:rsid w:val="1E232B03"/>
    <w:rsid w:val="1EB32776"/>
    <w:rsid w:val="1EB906D8"/>
    <w:rsid w:val="1F0B19DB"/>
    <w:rsid w:val="1FC57B80"/>
    <w:rsid w:val="209E4E59"/>
    <w:rsid w:val="224B5633"/>
    <w:rsid w:val="23754AB7"/>
    <w:rsid w:val="25EB18A2"/>
    <w:rsid w:val="2701389F"/>
    <w:rsid w:val="29931B89"/>
    <w:rsid w:val="29F542A3"/>
    <w:rsid w:val="2A731D46"/>
    <w:rsid w:val="2B8230CF"/>
    <w:rsid w:val="2D267184"/>
    <w:rsid w:val="2E067128"/>
    <w:rsid w:val="2E994D55"/>
    <w:rsid w:val="2EAB30E3"/>
    <w:rsid w:val="32952D82"/>
    <w:rsid w:val="356A4676"/>
    <w:rsid w:val="37AC4E5F"/>
    <w:rsid w:val="38251A3C"/>
    <w:rsid w:val="39902062"/>
    <w:rsid w:val="39A355B6"/>
    <w:rsid w:val="3A1F0919"/>
    <w:rsid w:val="3B8566EC"/>
    <w:rsid w:val="3C161432"/>
    <w:rsid w:val="3E876385"/>
    <w:rsid w:val="4070206D"/>
    <w:rsid w:val="41660976"/>
    <w:rsid w:val="41FE0E76"/>
    <w:rsid w:val="425F122B"/>
    <w:rsid w:val="438B5743"/>
    <w:rsid w:val="43967011"/>
    <w:rsid w:val="43FA7CC8"/>
    <w:rsid w:val="444D01F9"/>
    <w:rsid w:val="44931205"/>
    <w:rsid w:val="457C686B"/>
    <w:rsid w:val="4A0A1871"/>
    <w:rsid w:val="4A536729"/>
    <w:rsid w:val="4CE10BD3"/>
    <w:rsid w:val="4D6A1C73"/>
    <w:rsid w:val="4D785528"/>
    <w:rsid w:val="4FAD6160"/>
    <w:rsid w:val="50461298"/>
    <w:rsid w:val="50793E41"/>
    <w:rsid w:val="50826F29"/>
    <w:rsid w:val="52C44177"/>
    <w:rsid w:val="5408424B"/>
    <w:rsid w:val="54CF5992"/>
    <w:rsid w:val="553D7246"/>
    <w:rsid w:val="56A93B0C"/>
    <w:rsid w:val="56F163D9"/>
    <w:rsid w:val="57621D92"/>
    <w:rsid w:val="58341983"/>
    <w:rsid w:val="5B090C55"/>
    <w:rsid w:val="5CC71E4A"/>
    <w:rsid w:val="5D6B0350"/>
    <w:rsid w:val="5DE37D65"/>
    <w:rsid w:val="5EC16FBB"/>
    <w:rsid w:val="606E776A"/>
    <w:rsid w:val="61A03A57"/>
    <w:rsid w:val="61D25875"/>
    <w:rsid w:val="62A03267"/>
    <w:rsid w:val="63270246"/>
    <w:rsid w:val="633374D7"/>
    <w:rsid w:val="63712F95"/>
    <w:rsid w:val="649D1EAC"/>
    <w:rsid w:val="64A96A0C"/>
    <w:rsid w:val="66540737"/>
    <w:rsid w:val="67AC05EC"/>
    <w:rsid w:val="67E66714"/>
    <w:rsid w:val="687E7ECC"/>
    <w:rsid w:val="688142E3"/>
    <w:rsid w:val="689C4F74"/>
    <w:rsid w:val="6A4F75C9"/>
    <w:rsid w:val="6C620A15"/>
    <w:rsid w:val="6D4A1AB6"/>
    <w:rsid w:val="6DE26E7E"/>
    <w:rsid w:val="6E1F0E74"/>
    <w:rsid w:val="6F042290"/>
    <w:rsid w:val="6FF41BD1"/>
    <w:rsid w:val="70322DA1"/>
    <w:rsid w:val="71A16474"/>
    <w:rsid w:val="71B475F2"/>
    <w:rsid w:val="71D16FCC"/>
    <w:rsid w:val="734634F1"/>
    <w:rsid w:val="75F372E9"/>
    <w:rsid w:val="761C7B15"/>
    <w:rsid w:val="76C93938"/>
    <w:rsid w:val="778617DD"/>
    <w:rsid w:val="785572C3"/>
    <w:rsid w:val="78803DA9"/>
    <w:rsid w:val="790173FA"/>
    <w:rsid w:val="79921F23"/>
    <w:rsid w:val="79EB152A"/>
    <w:rsid w:val="7AFE3F56"/>
    <w:rsid w:val="7B504741"/>
    <w:rsid w:val="7C8E46F1"/>
    <w:rsid w:val="7D07370E"/>
    <w:rsid w:val="7DA02F5C"/>
    <w:rsid w:val="7E3C6F4A"/>
    <w:rsid w:val="7E4800CB"/>
    <w:rsid w:val="7E492631"/>
    <w:rsid w:val="7FEA03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600" w:lineRule="exact"/>
      <w:jc w:val="both"/>
    </w:pPr>
    <w:rPr>
      <w:rFonts w:ascii="仿宋" w:hAnsi="仿宋" w:eastAsia="仿宋" w:cs="Times New Roman"/>
      <w:kern w:val="2"/>
      <w:sz w:val="32"/>
      <w:szCs w:val="24"/>
      <w:lang w:val="en-US" w:eastAsia="zh-CN" w:bidi="ar-SA"/>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alloon Text"/>
    <w:basedOn w:val="1"/>
    <w:link w:val="10"/>
    <w:uiPriority w:val="0"/>
    <w:pPr>
      <w:spacing w:line="240" w:lineRule="auto"/>
    </w:pPr>
    <w:rPr>
      <w:sz w:val="18"/>
      <w:szCs w:val="1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pPr>
    <w:rPr>
      <w:sz w:val="18"/>
    </w:rPr>
  </w:style>
  <w:style w:type="paragraph" w:styleId="6">
    <w:name w:val="Normal (Web)"/>
    <w:basedOn w:val="1"/>
    <w:qFormat/>
    <w:uiPriority w:val="0"/>
    <w:pPr>
      <w:spacing w:beforeAutospacing="1" w:afterAutospacing="1"/>
      <w:jc w:val="left"/>
    </w:pPr>
    <w:rPr>
      <w:kern w:val="0"/>
      <w:sz w:val="24"/>
    </w:rPr>
  </w:style>
  <w:style w:type="character" w:styleId="9">
    <w:name w:val="Strong"/>
    <w:qFormat/>
    <w:uiPriority w:val="0"/>
    <w:rPr>
      <w:b/>
    </w:rPr>
  </w:style>
  <w:style w:type="character" w:customStyle="1" w:styleId="10">
    <w:name w:val="批注框文本 Char"/>
    <w:basedOn w:val="8"/>
    <w:link w:val="3"/>
    <w:uiPriority w:val="0"/>
    <w:rPr>
      <w:rFonts w:ascii="仿宋" w:hAnsi="仿宋" w:eastAsia="仿宋"/>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F053004-4152-47AB-8776-54FE6D1542E4}">
  <ds:schemaRefs/>
</ds:datastoreItem>
</file>

<file path=docProps/app.xml><?xml version="1.0" encoding="utf-8"?>
<Properties xmlns="http://schemas.openxmlformats.org/officeDocument/2006/extended-properties" xmlns:vt="http://schemas.openxmlformats.org/officeDocument/2006/docPropsVTypes">
  <Template>Normal</Template>
  <Pages>12</Pages>
  <Words>908</Words>
  <Characters>5182</Characters>
  <Lines>43</Lines>
  <Paragraphs>12</Paragraphs>
  <TotalTime>0</TotalTime>
  <ScaleCrop>false</ScaleCrop>
  <LinksUpToDate>false</LinksUpToDate>
  <CharactersWithSpaces>6078</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2019-11-11T06:33:00Z</dcterms:created>
  <dc:creator>jrj2</dc:creator>
  <cp:lastModifiedBy>叶小胖zi</cp:lastModifiedBy>
  <cp:lastPrinted>2020-10-28T07:04:00Z</cp:lastPrinted>
  <dcterms:modified xsi:type="dcterms:W3CDTF">2022-05-17T02:35:47Z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ribbonExt">
    <vt:lpwstr>{"WPSExtOfficeTab":{"OnGetEnabled":false,"OnGetVisible":false}}</vt:lpwstr>
  </property>
  <property fmtid="{D5CDD505-2E9C-101B-9397-08002B2CF9AE}" pid="4" name="ICV">
    <vt:lpwstr>700D81F79C0548BBB708B32DFB5AF2AE</vt:lpwstr>
  </property>
</Properties>
</file>