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560" w:lineRule="exact"/>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8</w:t>
      </w:r>
      <w:bookmarkStart w:id="1" w:name="_GoBack"/>
      <w:bookmarkEnd w:id="1"/>
    </w:p>
    <w:p>
      <w:pPr>
        <w:tabs>
          <w:tab w:val="left" w:pos="1080"/>
        </w:tabs>
        <w:spacing w:line="56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汕尾</w:t>
      </w:r>
      <w:r>
        <w:rPr>
          <w:rFonts w:hint="eastAsia" w:ascii="方正小标宋简体" w:hAnsi="方正小标宋简体" w:eastAsia="方正小标宋简体" w:cs="方正小标宋简体"/>
          <w:kern w:val="0"/>
          <w:sz w:val="44"/>
          <w:szCs w:val="44"/>
        </w:rPr>
        <w:t>市</w:t>
      </w:r>
      <w:r>
        <w:rPr>
          <w:rFonts w:hint="eastAsia" w:ascii="方正小标宋简体" w:hAnsi="方正小标宋简体" w:eastAsia="方正小标宋简体" w:cs="方正小标宋简体"/>
          <w:kern w:val="0"/>
          <w:sz w:val="44"/>
          <w:szCs w:val="44"/>
          <w:lang w:eastAsia="zh-CN"/>
        </w:rPr>
        <w:t>塑料管材</w:t>
      </w:r>
      <w:r>
        <w:rPr>
          <w:rFonts w:hint="eastAsia" w:ascii="方正小标宋简体" w:hAnsi="方正小标宋简体" w:eastAsia="方正小标宋简体" w:cs="方正小标宋简体"/>
          <w:kern w:val="0"/>
          <w:sz w:val="44"/>
          <w:szCs w:val="44"/>
        </w:rPr>
        <w:t>产品质量</w:t>
      </w:r>
    </w:p>
    <w:p>
      <w:pPr>
        <w:tabs>
          <w:tab w:val="left" w:pos="1080"/>
        </w:tabs>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rPr>
        <w:t>监督抽</w:t>
      </w:r>
      <w:r>
        <w:rPr>
          <w:rFonts w:hint="eastAsia" w:ascii="方正小标宋简体" w:hAnsi="方正小标宋简体" w:eastAsia="方正小标宋简体" w:cs="方正小标宋简体"/>
          <w:sz w:val="44"/>
          <w:szCs w:val="44"/>
        </w:rPr>
        <w:t>查</w:t>
      </w:r>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spacing w:line="560" w:lineRule="exact"/>
        <w:rPr>
          <w:rFonts w:ascii="仿宋_GB2312" w:hAnsi="仿宋_GB2312" w:eastAsia="仿宋_GB2312" w:cs="仿宋_GB2312"/>
          <w:sz w:val="32"/>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抽查数量：随机抽取2组同款样品（根据产品抽取同品种、型号(货号)或同款式、同生产批次的产品）第1组用于检验，第2组用于备样。抽样数量见下表。</w:t>
      </w:r>
    </w:p>
    <w:p>
      <w:pPr>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塑料管材：建筑排水用硬聚氯乙烯（PVC-U）管材；建筑排水用硬聚氯乙烯（PVC-U）管件等。</w:t>
      </w:r>
    </w:p>
    <w:tbl>
      <w:tblPr>
        <w:tblStyle w:val="2"/>
        <w:tblW w:w="7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436"/>
        <w:gridCol w:w="2237"/>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序号</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产品名称</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第1组数量</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1</w:t>
            </w:r>
          </w:p>
        </w:tc>
        <w:tc>
          <w:tcPr>
            <w:tcW w:w="2436" w:type="dxa"/>
            <w:vAlign w:val="center"/>
          </w:tcPr>
          <w:p>
            <w:pPr>
              <w:adjustRightInd w:val="0"/>
              <w:snapToGrid w:val="0"/>
              <w:jc w:val="center"/>
              <w:rPr>
                <w:rFonts w:ascii="Times New Roman" w:hAnsi="Times New Roman" w:eastAsia="仿宋_GB2312" w:cs="仿宋_GB2312"/>
                <w:sz w:val="28"/>
                <w:szCs w:val="28"/>
              </w:rPr>
            </w:pPr>
            <w:r>
              <w:rPr>
                <w:rFonts w:hint="eastAsia" w:ascii="宋体" w:hAnsi="宋体" w:eastAsia="宋体" w:cs="宋体"/>
                <w:sz w:val="21"/>
                <w:szCs w:val="21"/>
              </w:rPr>
              <w:t>排水用硬聚氯乙烯（PVC-U）管材</w:t>
            </w:r>
          </w:p>
        </w:tc>
        <w:tc>
          <w:tcPr>
            <w:tcW w:w="2237" w:type="dxa"/>
            <w:vAlign w:val="center"/>
          </w:tcPr>
          <w:p>
            <w:pPr>
              <w:adjustRightInd w:val="0"/>
              <w:snapToGrid w:val="0"/>
              <w:jc w:val="center"/>
              <w:rPr>
                <w:rFonts w:ascii="Times New Roman" w:hAnsi="Times New Roman" w:eastAsia="仿宋_GB2312" w:cs="仿宋_GB2312"/>
                <w:sz w:val="28"/>
                <w:szCs w:val="28"/>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rPr>
              <w:t>10段</w:t>
            </w:r>
          </w:p>
        </w:tc>
        <w:tc>
          <w:tcPr>
            <w:tcW w:w="2280" w:type="dxa"/>
            <w:vAlign w:val="center"/>
          </w:tcPr>
          <w:p>
            <w:pPr>
              <w:adjustRightInd w:val="0"/>
              <w:snapToGrid w:val="0"/>
              <w:jc w:val="center"/>
              <w:rPr>
                <w:rFonts w:ascii="Times New Roman" w:hAnsi="Times New Roman" w:eastAsia="仿宋_GB2312" w:cs="仿宋_GB2312"/>
                <w:sz w:val="28"/>
                <w:szCs w:val="28"/>
              </w:rPr>
            </w:pPr>
            <w:r>
              <w:rPr>
                <w:rFonts w:hint="eastAsia" w:ascii="宋体" w:hAnsi="宋体" w:eastAsia="宋体" w:cs="宋体"/>
                <w:sz w:val="21"/>
                <w:szCs w:val="21"/>
              </w:rPr>
              <w:t>1.0m</w:t>
            </w:r>
            <w:r>
              <w:rPr>
                <w:rFonts w:hint="eastAsia" w:ascii="宋体" w:hAnsi="宋体" w:eastAsia="宋体" w:cs="宋体"/>
                <w:sz w:val="21"/>
                <w:szCs w:val="21"/>
              </w:rPr>
              <w:sym w:font="Symbol" w:char="F0B4"/>
            </w:r>
            <w:r>
              <w:rPr>
                <w:rFonts w:hint="eastAsia" w:ascii="宋体" w:hAnsi="宋体" w:eastAsia="宋体" w:cs="宋体"/>
                <w:sz w:val="21"/>
                <w:szCs w:val="21"/>
              </w:rPr>
              <w:t>5段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2</w:t>
            </w:r>
          </w:p>
        </w:tc>
        <w:tc>
          <w:tcPr>
            <w:tcW w:w="2436" w:type="dxa"/>
            <w:vAlign w:val="center"/>
          </w:tcPr>
          <w:p>
            <w:pPr>
              <w:adjustRightInd w:val="0"/>
              <w:snapToGrid w:val="0"/>
              <w:jc w:val="center"/>
              <w:rPr>
                <w:rFonts w:ascii="Times New Roman" w:hAnsi="Times New Roman" w:eastAsia="仿宋_GB2312" w:cs="仿宋_GB2312"/>
                <w:sz w:val="28"/>
                <w:szCs w:val="28"/>
              </w:rPr>
            </w:pPr>
            <w:r>
              <w:rPr>
                <w:rFonts w:hint="eastAsia" w:ascii="宋体" w:hAnsi="宋体" w:eastAsia="宋体" w:cs="宋体"/>
                <w:sz w:val="21"/>
                <w:szCs w:val="21"/>
              </w:rPr>
              <w:t>排水用硬聚氯乙烯（PVC-U）管件</w:t>
            </w:r>
          </w:p>
        </w:tc>
        <w:tc>
          <w:tcPr>
            <w:tcW w:w="2237" w:type="dxa"/>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32个</w:t>
            </w:r>
          </w:p>
          <w:p>
            <w:pPr>
              <w:adjustRightInd w:val="0"/>
              <w:snapToGrid w:val="0"/>
              <w:jc w:val="center"/>
              <w:rPr>
                <w:rFonts w:ascii="Times New Roman" w:hAnsi="Times New Roman" w:eastAsia="仿宋_GB2312" w:cs="仿宋_GB2312"/>
                <w:sz w:val="28"/>
                <w:szCs w:val="28"/>
              </w:rPr>
            </w:pPr>
            <w:r>
              <w:rPr>
                <w:rFonts w:hint="eastAsia" w:ascii="宋体" w:hAnsi="宋体" w:eastAsia="宋体" w:cs="宋体"/>
                <w:sz w:val="21"/>
                <w:szCs w:val="21"/>
              </w:rPr>
              <w:t>(含1个外包装箱)</w:t>
            </w:r>
          </w:p>
        </w:tc>
        <w:tc>
          <w:tcPr>
            <w:tcW w:w="2280" w:type="dxa"/>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16个</w:t>
            </w:r>
          </w:p>
          <w:p>
            <w:pPr>
              <w:adjustRightInd w:val="0"/>
              <w:snapToGrid w:val="0"/>
              <w:jc w:val="center"/>
              <w:rPr>
                <w:rFonts w:ascii="Times New Roman" w:hAnsi="Times New Roman" w:eastAsia="仿宋_GB2312" w:cs="仿宋_GB2312"/>
                <w:sz w:val="28"/>
                <w:szCs w:val="28"/>
              </w:rPr>
            </w:pPr>
            <w:r>
              <w:rPr>
                <w:rFonts w:hint="eastAsia" w:ascii="宋体" w:hAnsi="宋体" w:eastAsia="宋体" w:cs="宋体"/>
                <w:sz w:val="21"/>
                <w:szCs w:val="21"/>
              </w:rPr>
              <w:t>(含1个外包装箱)</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在生产企业抽样时，如果样品标注的信息不全，必须与生产企业进行确认该产品的质量等级。样品明示的执行标准明显不适用时，应在抽样单中注明适用的标准，并与生产企业进行确认。</w:t>
      </w:r>
    </w:p>
    <w:p>
      <w:pPr>
        <w:spacing w:before="156" w:beforeLines="50" w:line="560" w:lineRule="exact"/>
        <w:ind w:firstLine="640" w:firstLineChars="200"/>
        <w:rPr>
          <w:rFonts w:eastAsia="黑体"/>
          <w:sz w:val="32"/>
          <w:szCs w:val="32"/>
        </w:rPr>
      </w:pPr>
      <w:r>
        <w:rPr>
          <w:rFonts w:hint="eastAsia" w:eastAsia="黑体"/>
          <w:sz w:val="32"/>
          <w:szCs w:val="32"/>
          <w:lang w:eastAsia="zh-CN"/>
        </w:rPr>
        <w:t>二</w:t>
      </w:r>
      <w:r>
        <w:rPr>
          <w:rFonts w:eastAsia="黑体"/>
          <w:sz w:val="32"/>
          <w:szCs w:val="32"/>
        </w:rPr>
        <w:t>、主要检验项目及</w:t>
      </w:r>
      <w:r>
        <w:rPr>
          <w:rFonts w:hint="eastAsia" w:eastAsia="黑体"/>
          <w:sz w:val="32"/>
          <w:szCs w:val="32"/>
        </w:rPr>
        <w:t>不合格类别的划分指标</w:t>
      </w:r>
    </w:p>
    <w:p>
      <w:pPr>
        <w:spacing w:line="560" w:lineRule="exact"/>
        <w:rPr>
          <w:rFonts w:hint="eastAsia" w:ascii="楷体" w:hAnsi="楷体" w:eastAsia="楷体"/>
          <w:sz w:val="32"/>
          <w:szCs w:val="32"/>
        </w:rPr>
      </w:pPr>
      <w:r>
        <w:rPr>
          <w:rFonts w:hint="eastAsia" w:ascii="楷体" w:hAnsi="楷体" w:eastAsia="楷体"/>
          <w:sz w:val="32"/>
          <w:szCs w:val="32"/>
        </w:rPr>
        <w:t>1．</w:t>
      </w:r>
      <w:r>
        <w:rPr>
          <w:rFonts w:hint="eastAsia" w:ascii="楷体" w:hAnsi="楷体" w:eastAsia="楷体"/>
          <w:sz w:val="32"/>
          <w:szCs w:val="32"/>
          <w:lang w:val="en-US" w:eastAsia="zh-CN"/>
        </w:rPr>
        <w:t>建筑排水用硬聚氯乙烯管材</w:t>
      </w:r>
      <w:r>
        <w:rPr>
          <w:rFonts w:hint="eastAsia" w:ascii="楷体" w:hAnsi="楷体" w:eastAsia="楷体"/>
          <w:sz w:val="32"/>
          <w:szCs w:val="32"/>
        </w:rPr>
        <w:t>检验项目及重要性划分表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01"/>
        <w:gridCol w:w="2165"/>
        <w:gridCol w:w="1798"/>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75" w:type="dxa"/>
            <w:vMerge w:val="restart"/>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序</w:t>
            </w:r>
          </w:p>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号</w:t>
            </w:r>
          </w:p>
        </w:tc>
        <w:tc>
          <w:tcPr>
            <w:tcW w:w="1701" w:type="dxa"/>
            <w:vMerge w:val="restart"/>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165" w:type="dxa"/>
            <w:vMerge w:val="restart"/>
            <w:noWrap w:val="0"/>
            <w:vAlign w:val="center"/>
          </w:tcPr>
          <w:p>
            <w:pPr>
              <w:spacing w:line="36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检测方法</w:t>
            </w:r>
          </w:p>
        </w:tc>
        <w:tc>
          <w:tcPr>
            <w:tcW w:w="3733" w:type="dxa"/>
            <w:gridSpan w:val="2"/>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重要程度</w:t>
            </w:r>
            <w:r>
              <w:rPr>
                <w:rFonts w:hint="eastAsia" w:ascii="宋体" w:hAnsi="宋体" w:eastAsia="宋体" w:cs="宋体"/>
                <w:sz w:val="21"/>
                <w:szCs w:val="21"/>
                <w:lang w:eastAsia="zh-CN"/>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675" w:type="dxa"/>
            <w:vMerge w:val="continue"/>
            <w:noWrap w:val="0"/>
            <w:vAlign w:val="center"/>
          </w:tcPr>
          <w:p>
            <w:pPr>
              <w:spacing w:line="360" w:lineRule="exact"/>
              <w:jc w:val="center"/>
              <w:rPr>
                <w:rFonts w:hint="eastAsia" w:ascii="宋体" w:hAnsi="宋体" w:eastAsia="宋体" w:cs="宋体"/>
                <w:sz w:val="21"/>
                <w:szCs w:val="21"/>
              </w:rPr>
            </w:pPr>
          </w:p>
        </w:tc>
        <w:tc>
          <w:tcPr>
            <w:tcW w:w="1701" w:type="dxa"/>
            <w:vMerge w:val="continue"/>
            <w:noWrap w:val="0"/>
            <w:vAlign w:val="center"/>
          </w:tcPr>
          <w:p>
            <w:pPr>
              <w:spacing w:line="360" w:lineRule="exact"/>
              <w:jc w:val="center"/>
              <w:rPr>
                <w:rFonts w:hint="eastAsia" w:ascii="宋体" w:hAnsi="宋体" w:eastAsia="宋体" w:cs="宋体"/>
                <w:sz w:val="21"/>
                <w:szCs w:val="21"/>
              </w:rPr>
            </w:pPr>
          </w:p>
        </w:tc>
        <w:tc>
          <w:tcPr>
            <w:tcW w:w="2165" w:type="dxa"/>
            <w:vMerge w:val="continue"/>
            <w:noWrap w:val="0"/>
            <w:vAlign w:val="center"/>
          </w:tcPr>
          <w:p>
            <w:pPr>
              <w:spacing w:line="360" w:lineRule="exact"/>
              <w:jc w:val="center"/>
              <w:rPr>
                <w:rFonts w:hint="eastAsia" w:ascii="宋体" w:hAnsi="宋体" w:eastAsia="宋体" w:cs="宋体"/>
                <w:sz w:val="21"/>
                <w:szCs w:val="21"/>
              </w:rPr>
            </w:pPr>
          </w:p>
        </w:tc>
        <w:tc>
          <w:tcPr>
            <w:tcW w:w="1798"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A类</w:t>
            </w:r>
          </w:p>
        </w:tc>
        <w:tc>
          <w:tcPr>
            <w:tcW w:w="193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管材外径</w:t>
            </w:r>
          </w:p>
        </w:tc>
        <w:tc>
          <w:tcPr>
            <w:tcW w:w="216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GB/T 8806-2008</w:t>
            </w:r>
          </w:p>
        </w:tc>
        <w:tc>
          <w:tcPr>
            <w:tcW w:w="1798" w:type="dxa"/>
            <w:noWrap w:val="0"/>
            <w:vAlign w:val="center"/>
          </w:tcPr>
          <w:p>
            <w:pPr>
              <w:spacing w:line="360" w:lineRule="exact"/>
              <w:jc w:val="center"/>
              <w:rPr>
                <w:rFonts w:hint="eastAsia" w:ascii="宋体" w:hAnsi="宋体" w:eastAsia="宋体" w:cs="宋体"/>
                <w:sz w:val="21"/>
                <w:szCs w:val="21"/>
              </w:rPr>
            </w:pPr>
          </w:p>
        </w:tc>
        <w:tc>
          <w:tcPr>
            <w:tcW w:w="193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壁厚</w:t>
            </w:r>
          </w:p>
        </w:tc>
        <w:tc>
          <w:tcPr>
            <w:tcW w:w="216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GB/T 8806-2008</w:t>
            </w:r>
          </w:p>
        </w:tc>
        <w:tc>
          <w:tcPr>
            <w:tcW w:w="1798" w:type="dxa"/>
            <w:noWrap w:val="0"/>
            <w:vAlign w:val="center"/>
          </w:tcPr>
          <w:p>
            <w:pPr>
              <w:spacing w:line="360" w:lineRule="exact"/>
              <w:jc w:val="center"/>
              <w:rPr>
                <w:rFonts w:hint="eastAsia" w:ascii="宋体" w:hAnsi="宋体" w:eastAsia="宋体" w:cs="宋体"/>
                <w:sz w:val="21"/>
                <w:szCs w:val="21"/>
              </w:rPr>
            </w:pPr>
          </w:p>
        </w:tc>
        <w:tc>
          <w:tcPr>
            <w:tcW w:w="193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密度</w:t>
            </w:r>
          </w:p>
        </w:tc>
        <w:tc>
          <w:tcPr>
            <w:tcW w:w="216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GB/T 1033.1-2008</w:t>
            </w:r>
          </w:p>
        </w:tc>
        <w:tc>
          <w:tcPr>
            <w:tcW w:w="1798" w:type="dxa"/>
            <w:noWrap w:val="0"/>
            <w:vAlign w:val="center"/>
          </w:tcPr>
          <w:p>
            <w:pPr>
              <w:jc w:val="center"/>
              <w:rPr>
                <w:rFonts w:hint="eastAsia" w:ascii="宋体" w:hAnsi="宋体" w:eastAsia="宋体" w:cs="宋体"/>
                <w:sz w:val="21"/>
                <w:szCs w:val="21"/>
              </w:rPr>
            </w:pPr>
          </w:p>
        </w:tc>
        <w:tc>
          <w:tcPr>
            <w:tcW w:w="193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拉伸屈服强度</w:t>
            </w:r>
          </w:p>
        </w:tc>
        <w:tc>
          <w:tcPr>
            <w:tcW w:w="216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GB/T 8804.2-2003</w:t>
            </w:r>
          </w:p>
        </w:tc>
        <w:tc>
          <w:tcPr>
            <w:tcW w:w="1798"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1935"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1701" w:type="dxa"/>
            <w:noWrap w:val="0"/>
            <w:vAlign w:val="center"/>
          </w:tcPr>
          <w:p>
            <w:pPr>
              <w:spacing w:line="32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纵向回缩率</w:t>
            </w:r>
          </w:p>
        </w:tc>
        <w:tc>
          <w:tcPr>
            <w:tcW w:w="2165"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6671-2001</w:t>
            </w:r>
          </w:p>
        </w:tc>
        <w:tc>
          <w:tcPr>
            <w:tcW w:w="1798" w:type="dxa"/>
            <w:noWrap w:val="0"/>
            <w:vAlign w:val="center"/>
          </w:tcPr>
          <w:p>
            <w:pPr>
              <w:spacing w:line="360" w:lineRule="exact"/>
              <w:jc w:val="center"/>
              <w:rPr>
                <w:rFonts w:hint="eastAsia" w:ascii="宋体" w:hAnsi="宋体" w:eastAsia="宋体" w:cs="宋体"/>
                <w:kern w:val="2"/>
                <w:sz w:val="21"/>
                <w:szCs w:val="21"/>
                <w:lang w:val="en-US" w:eastAsia="zh-CN" w:bidi="ar-SA"/>
              </w:rPr>
            </w:pPr>
          </w:p>
        </w:tc>
        <w:tc>
          <w:tcPr>
            <w:tcW w:w="1935"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6</w:t>
            </w:r>
          </w:p>
        </w:tc>
        <w:tc>
          <w:tcPr>
            <w:tcW w:w="1701" w:type="dxa"/>
            <w:noWrap w:val="0"/>
            <w:vAlign w:val="center"/>
          </w:tcPr>
          <w:p>
            <w:pPr>
              <w:spacing w:line="32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维卡软化温度</w:t>
            </w:r>
          </w:p>
        </w:tc>
        <w:tc>
          <w:tcPr>
            <w:tcW w:w="2165"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8802-2001</w:t>
            </w:r>
          </w:p>
        </w:tc>
        <w:tc>
          <w:tcPr>
            <w:tcW w:w="1798" w:type="dxa"/>
            <w:noWrap w:val="0"/>
            <w:vAlign w:val="center"/>
          </w:tcPr>
          <w:p>
            <w:pPr>
              <w:spacing w:line="360" w:lineRule="exact"/>
              <w:jc w:val="center"/>
              <w:rPr>
                <w:rFonts w:hint="eastAsia" w:ascii="宋体" w:hAnsi="宋体" w:eastAsia="宋体" w:cs="宋体"/>
                <w:kern w:val="2"/>
                <w:sz w:val="21"/>
                <w:szCs w:val="21"/>
                <w:lang w:val="en-US" w:eastAsia="zh-CN" w:bidi="ar-SA"/>
              </w:rPr>
            </w:pPr>
          </w:p>
        </w:tc>
        <w:tc>
          <w:tcPr>
            <w:tcW w:w="1935"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7</w:t>
            </w:r>
          </w:p>
        </w:tc>
        <w:tc>
          <w:tcPr>
            <w:tcW w:w="1701" w:type="dxa"/>
            <w:noWrap w:val="0"/>
            <w:vAlign w:val="center"/>
          </w:tcPr>
          <w:p>
            <w:pPr>
              <w:spacing w:line="32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样品制备</w:t>
            </w:r>
          </w:p>
        </w:tc>
        <w:tc>
          <w:tcPr>
            <w:tcW w:w="2165" w:type="dxa"/>
            <w:noWrap w:val="0"/>
            <w:vAlign w:val="center"/>
          </w:tcPr>
          <w:p>
            <w:pPr>
              <w:spacing w:line="36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5836.1-2018</w:t>
            </w:r>
          </w:p>
        </w:tc>
        <w:tc>
          <w:tcPr>
            <w:tcW w:w="1798" w:type="dxa"/>
            <w:noWrap w:val="0"/>
            <w:vAlign w:val="center"/>
          </w:tcPr>
          <w:p>
            <w:pPr>
              <w:spacing w:line="360" w:lineRule="exact"/>
              <w:jc w:val="center"/>
              <w:rPr>
                <w:rFonts w:hint="eastAsia" w:ascii="宋体" w:hAnsi="宋体" w:eastAsia="宋体" w:cs="宋体"/>
                <w:kern w:val="2"/>
                <w:sz w:val="21"/>
                <w:szCs w:val="21"/>
                <w:lang w:val="en-US" w:eastAsia="zh-CN" w:bidi="ar-SA"/>
              </w:rPr>
            </w:pPr>
          </w:p>
        </w:tc>
        <w:tc>
          <w:tcPr>
            <w:tcW w:w="1935" w:type="dxa"/>
            <w:noWrap w:val="0"/>
            <w:vAlign w:val="center"/>
          </w:tcPr>
          <w:p>
            <w:pPr>
              <w:jc w:val="center"/>
              <w:rPr>
                <w:rFonts w:hint="eastAsia"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8</w:t>
            </w:r>
          </w:p>
        </w:tc>
        <w:tc>
          <w:tcPr>
            <w:tcW w:w="1701" w:type="dxa"/>
            <w:noWrap w:val="0"/>
            <w:vAlign w:val="center"/>
          </w:tcPr>
          <w:p>
            <w:pPr>
              <w:spacing w:line="32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试样</w:t>
            </w:r>
            <w:r>
              <w:rPr>
                <w:rFonts w:hint="eastAsia" w:ascii="宋体" w:hAnsi="宋体" w:eastAsia="宋体" w:cs="宋体"/>
                <w:sz w:val="21"/>
                <w:szCs w:val="21"/>
                <w:lang w:eastAsia="zh-CN"/>
              </w:rPr>
              <w:t>状态调节</w:t>
            </w:r>
          </w:p>
        </w:tc>
        <w:tc>
          <w:tcPr>
            <w:tcW w:w="2165"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2918-1998</w:t>
            </w:r>
          </w:p>
        </w:tc>
        <w:tc>
          <w:tcPr>
            <w:tcW w:w="1798" w:type="dxa"/>
            <w:noWrap w:val="0"/>
            <w:vAlign w:val="center"/>
          </w:tcPr>
          <w:p>
            <w:pPr>
              <w:spacing w:line="360" w:lineRule="exact"/>
              <w:jc w:val="center"/>
              <w:rPr>
                <w:rFonts w:hint="eastAsia" w:ascii="宋体" w:hAnsi="宋体" w:eastAsia="宋体" w:cs="宋体"/>
                <w:kern w:val="2"/>
                <w:sz w:val="21"/>
                <w:szCs w:val="21"/>
                <w:lang w:val="en-US" w:eastAsia="zh-CN" w:bidi="ar-SA"/>
              </w:rPr>
            </w:pPr>
          </w:p>
        </w:tc>
        <w:tc>
          <w:tcPr>
            <w:tcW w:w="1935" w:type="dxa"/>
            <w:noWrap w:val="0"/>
            <w:vAlign w:val="center"/>
          </w:tcPr>
          <w:p>
            <w:pPr>
              <w:spacing w:line="360" w:lineRule="exact"/>
              <w:jc w:val="center"/>
              <w:rPr>
                <w:rFonts w:hint="eastAsia" w:ascii="宋体" w:hAnsi="宋体" w:eastAsia="宋体" w:cs="宋体"/>
                <w:kern w:val="2"/>
                <w:sz w:val="21"/>
                <w:szCs w:val="21"/>
                <w:lang w:val="en-US" w:eastAsia="zh-CN" w:bidi="ar-SA"/>
              </w:rPr>
            </w:pPr>
          </w:p>
        </w:tc>
      </w:tr>
    </w:tbl>
    <w:p>
      <w:pPr>
        <w:spacing w:line="560" w:lineRule="exact"/>
        <w:rPr>
          <w:rFonts w:hint="eastAsia" w:ascii="宋体" w:hAnsi="宋体" w:eastAsia="宋体" w:cs="宋体"/>
          <w:sz w:val="24"/>
          <w:szCs w:val="24"/>
          <w:lang w:val="en-US" w:eastAsia="zh-CN"/>
        </w:rPr>
      </w:pPr>
      <w:r>
        <w:rPr>
          <w:rFonts w:hint="eastAsia" w:ascii="楷体" w:hAnsi="楷体" w:eastAsia="楷体"/>
          <w:sz w:val="32"/>
          <w:szCs w:val="32"/>
          <w:lang w:val="en-US" w:eastAsia="zh-CN"/>
        </w:rPr>
        <w:t>2</w:t>
      </w:r>
      <w:r>
        <w:rPr>
          <w:rFonts w:hint="eastAsia" w:ascii="楷体" w:hAnsi="楷体" w:eastAsia="楷体"/>
          <w:sz w:val="32"/>
          <w:szCs w:val="32"/>
        </w:rPr>
        <w:t>．建筑排水用硬聚氯乙烯管件检验项目及重要性划分表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01"/>
        <w:gridCol w:w="2405"/>
        <w:gridCol w:w="1573"/>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75" w:type="dxa"/>
            <w:vMerge w:val="restart"/>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序</w:t>
            </w:r>
          </w:p>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号</w:t>
            </w:r>
          </w:p>
        </w:tc>
        <w:tc>
          <w:tcPr>
            <w:tcW w:w="1701" w:type="dxa"/>
            <w:vMerge w:val="restart"/>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405" w:type="dxa"/>
            <w:vMerge w:val="restart"/>
            <w:noWrap w:val="0"/>
            <w:vAlign w:val="center"/>
          </w:tcPr>
          <w:p>
            <w:pPr>
              <w:spacing w:line="360"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检测方法</w:t>
            </w:r>
          </w:p>
        </w:tc>
        <w:tc>
          <w:tcPr>
            <w:tcW w:w="3493" w:type="dxa"/>
            <w:gridSpan w:val="2"/>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重要程度</w:t>
            </w:r>
            <w:r>
              <w:rPr>
                <w:rFonts w:hint="eastAsia" w:ascii="宋体" w:hAnsi="宋体" w:eastAsia="宋体" w:cs="宋体"/>
                <w:sz w:val="21"/>
                <w:szCs w:val="21"/>
                <w:lang w:eastAsia="zh-CN"/>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675" w:type="dxa"/>
            <w:vMerge w:val="continue"/>
            <w:noWrap w:val="0"/>
            <w:vAlign w:val="center"/>
          </w:tcPr>
          <w:p>
            <w:pPr>
              <w:spacing w:line="360" w:lineRule="exact"/>
              <w:jc w:val="center"/>
              <w:rPr>
                <w:rFonts w:hint="eastAsia" w:ascii="宋体" w:hAnsi="宋体" w:eastAsia="宋体" w:cs="宋体"/>
                <w:sz w:val="21"/>
                <w:szCs w:val="21"/>
              </w:rPr>
            </w:pPr>
          </w:p>
        </w:tc>
        <w:tc>
          <w:tcPr>
            <w:tcW w:w="1701" w:type="dxa"/>
            <w:vMerge w:val="continue"/>
            <w:noWrap w:val="0"/>
            <w:vAlign w:val="center"/>
          </w:tcPr>
          <w:p>
            <w:pPr>
              <w:spacing w:line="360" w:lineRule="exact"/>
              <w:jc w:val="center"/>
              <w:rPr>
                <w:rFonts w:hint="eastAsia" w:ascii="宋体" w:hAnsi="宋体" w:eastAsia="宋体" w:cs="宋体"/>
                <w:sz w:val="21"/>
                <w:szCs w:val="21"/>
              </w:rPr>
            </w:pPr>
          </w:p>
        </w:tc>
        <w:tc>
          <w:tcPr>
            <w:tcW w:w="2405" w:type="dxa"/>
            <w:vMerge w:val="continue"/>
            <w:noWrap w:val="0"/>
            <w:vAlign w:val="center"/>
          </w:tcPr>
          <w:p>
            <w:pPr>
              <w:spacing w:line="360" w:lineRule="exact"/>
              <w:jc w:val="center"/>
              <w:rPr>
                <w:rFonts w:hint="eastAsia" w:ascii="宋体" w:hAnsi="宋体" w:eastAsia="宋体" w:cs="宋体"/>
                <w:sz w:val="21"/>
                <w:szCs w:val="21"/>
              </w:rPr>
            </w:pPr>
          </w:p>
        </w:tc>
        <w:tc>
          <w:tcPr>
            <w:tcW w:w="1573"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A类</w:t>
            </w:r>
          </w:p>
        </w:tc>
        <w:tc>
          <w:tcPr>
            <w:tcW w:w="1920"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壁厚</w:t>
            </w:r>
          </w:p>
        </w:tc>
        <w:tc>
          <w:tcPr>
            <w:tcW w:w="240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GB/T 8806-2008</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插口外径</w:t>
            </w:r>
          </w:p>
        </w:tc>
        <w:tc>
          <w:tcPr>
            <w:tcW w:w="240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GB/T 8806-2008</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承口内径</w:t>
            </w:r>
          </w:p>
        </w:tc>
        <w:tc>
          <w:tcPr>
            <w:tcW w:w="240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GB/T 5836.2</w:t>
            </w:r>
            <w:r>
              <w:rPr>
                <w:rFonts w:hint="eastAsia" w:ascii="宋体" w:hAnsi="宋体" w:eastAsia="宋体" w:cs="宋体"/>
                <w:sz w:val="21"/>
                <w:szCs w:val="21"/>
                <w:lang w:val="en-US" w:eastAsia="zh-CN"/>
              </w:rPr>
              <w:t>-2006</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承插口深度</w:t>
            </w:r>
          </w:p>
        </w:tc>
        <w:tc>
          <w:tcPr>
            <w:tcW w:w="240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GB/T 5836.2</w:t>
            </w:r>
            <w:r>
              <w:rPr>
                <w:rFonts w:hint="eastAsia" w:ascii="宋体" w:hAnsi="宋体" w:eastAsia="宋体" w:cs="宋体"/>
                <w:sz w:val="21"/>
                <w:szCs w:val="21"/>
                <w:lang w:val="en-US" w:eastAsia="zh-CN"/>
              </w:rPr>
              <w:t>-2006</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烘箱试验</w:t>
            </w:r>
          </w:p>
        </w:tc>
        <w:tc>
          <w:tcPr>
            <w:tcW w:w="240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GB/T 8803-2001</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6</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坠落试验</w:t>
            </w:r>
          </w:p>
        </w:tc>
        <w:tc>
          <w:tcPr>
            <w:tcW w:w="240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8801-2007</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7</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密度</w:t>
            </w:r>
          </w:p>
        </w:tc>
        <w:tc>
          <w:tcPr>
            <w:tcW w:w="240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GB/T 1033.1-2008</w:t>
            </w:r>
          </w:p>
        </w:tc>
        <w:tc>
          <w:tcPr>
            <w:tcW w:w="1573" w:type="dxa"/>
            <w:noWrap w:val="0"/>
            <w:vAlign w:val="center"/>
          </w:tcPr>
          <w:p>
            <w:pPr>
              <w:jc w:val="center"/>
              <w:rPr>
                <w:rFonts w:hint="eastAsia" w:ascii="宋体" w:hAnsi="宋体" w:eastAsia="宋体" w:cs="宋体"/>
                <w:sz w:val="21"/>
                <w:szCs w:val="21"/>
              </w:rPr>
            </w:pPr>
          </w:p>
        </w:tc>
        <w:tc>
          <w:tcPr>
            <w:tcW w:w="1920"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8</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维卡软化温度</w:t>
            </w:r>
          </w:p>
        </w:tc>
        <w:tc>
          <w:tcPr>
            <w:tcW w:w="2405"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GB/T 8802-2001</w:t>
            </w:r>
          </w:p>
        </w:tc>
        <w:tc>
          <w:tcPr>
            <w:tcW w:w="1573"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1920"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9</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样品制备</w:t>
            </w:r>
          </w:p>
        </w:tc>
        <w:tc>
          <w:tcPr>
            <w:tcW w:w="240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GB/T 5836.2-2018</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10</w:t>
            </w:r>
          </w:p>
        </w:tc>
        <w:tc>
          <w:tcPr>
            <w:tcW w:w="1701" w:type="dxa"/>
            <w:noWrap w:val="0"/>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试样预处理</w:t>
            </w:r>
          </w:p>
        </w:tc>
        <w:tc>
          <w:tcPr>
            <w:tcW w:w="2405"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GB/T 5836.2-2018</w:t>
            </w:r>
          </w:p>
        </w:tc>
        <w:tc>
          <w:tcPr>
            <w:tcW w:w="1573" w:type="dxa"/>
            <w:noWrap w:val="0"/>
            <w:vAlign w:val="center"/>
          </w:tcPr>
          <w:p>
            <w:pPr>
              <w:spacing w:line="360" w:lineRule="exact"/>
              <w:jc w:val="center"/>
              <w:rPr>
                <w:rFonts w:hint="eastAsia" w:ascii="宋体" w:hAnsi="宋体" w:eastAsia="宋体" w:cs="宋体"/>
                <w:sz w:val="21"/>
                <w:szCs w:val="21"/>
              </w:rPr>
            </w:pPr>
          </w:p>
        </w:tc>
        <w:tc>
          <w:tcPr>
            <w:tcW w:w="1920" w:type="dxa"/>
            <w:noWrap w:val="0"/>
            <w:vAlign w:val="center"/>
          </w:tcPr>
          <w:p>
            <w:pPr>
              <w:spacing w:line="360" w:lineRule="exact"/>
              <w:jc w:val="center"/>
              <w:rPr>
                <w:rFonts w:hint="eastAsia" w:ascii="宋体" w:hAnsi="宋体" w:eastAsia="宋体" w:cs="宋体"/>
                <w:sz w:val="21"/>
                <w:szCs w:val="21"/>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56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本类产品的强制性国家标准。</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无</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标示执行的标准或产品明示指标。产品标示执行的标准或产品明示指标劣于相关强制性标准的，以相关强制性标准作为依据；被抽样产品未能提供经备案有效的企业标准的，按相关国家或行业推荐性标准进行判定。</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相关产品推荐性标准如下：</w:t>
      </w:r>
    </w:p>
    <w:p>
      <w:pPr>
        <w:spacing w:line="560" w:lineRule="exact"/>
        <w:ind w:firstLine="640" w:firstLineChars="200"/>
        <w:rPr>
          <w:rFonts w:hint="eastAsia" w:ascii="仿宋_GB2312" w:hAnsi="仿宋_GB2312" w:eastAsia="仿宋_GB2312" w:cs="仿宋_GB2312"/>
          <w:kern w:val="0"/>
          <w:sz w:val="32"/>
          <w:szCs w:val="32"/>
          <w:lang w:val="en-US" w:eastAsia="zh-CN"/>
        </w:rPr>
      </w:pPr>
      <w:bookmarkStart w:id="0" w:name="OLE_LINK9"/>
      <w:r>
        <w:rPr>
          <w:rFonts w:hint="eastAsia" w:ascii="仿宋_GB2312" w:hAnsi="仿宋_GB2312" w:eastAsia="仿宋_GB2312" w:cs="仿宋_GB2312"/>
          <w:kern w:val="0"/>
          <w:sz w:val="32"/>
          <w:szCs w:val="32"/>
        </w:rPr>
        <w:t>GB/T 5836.1-2018 建筑排水用硬聚氯乙烯(PVC-U)管材</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GB/T 5836.2-2018 建筑排水用硬聚氯乙烯(PVC-U)管件</w:t>
      </w:r>
    </w:p>
    <w:bookmarkEnd w:id="0"/>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经备案现行有效的企业标准及产品明示质量指标和要求</w:t>
      </w:r>
      <w:r>
        <w:rPr>
          <w:rFonts w:hint="eastAsia" w:ascii="仿宋_GB2312" w:hAnsi="仿宋_GB2312" w:eastAsia="仿宋_GB2312" w:cs="仿宋_GB2312"/>
          <w:kern w:val="0"/>
          <w:sz w:val="32"/>
          <w:szCs w:val="32"/>
          <w:lang w:eastAsia="zh-CN"/>
        </w:rPr>
        <w:t>。</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样本判定。</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依据所检质量指标的重要程度及不合格的严重程度，对样本进行综合判定。对于不合格的样本，判定结果分为严重不合格和不合格两类。样本不合格程度分类如下表所示：</w:t>
      </w:r>
    </w:p>
    <w:tbl>
      <w:tblPr>
        <w:tblStyle w:val="2"/>
        <w:tblW w:w="8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662"/>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52" w:type="dxa"/>
            <w:gridSpan w:val="2"/>
            <w:vAlign w:val="center"/>
          </w:tcPr>
          <w:p>
            <w:pPr>
              <w:jc w:val="center"/>
              <w:rPr>
                <w:rFonts w:eastAsia="仿宋"/>
                <w:sz w:val="24"/>
              </w:rPr>
            </w:pPr>
            <w:r>
              <w:rPr>
                <w:rFonts w:hint="eastAsia" w:eastAsia="仿宋"/>
                <w:sz w:val="24"/>
              </w:rPr>
              <w:t>质量指标重要程度及不合格严重程度</w:t>
            </w:r>
          </w:p>
        </w:tc>
        <w:tc>
          <w:tcPr>
            <w:tcW w:w="1750" w:type="dxa"/>
            <w:vMerge w:val="restart"/>
            <w:vAlign w:val="center"/>
          </w:tcPr>
          <w:p>
            <w:pPr>
              <w:jc w:val="center"/>
              <w:rPr>
                <w:rFonts w:eastAsia="仿宋"/>
                <w:sz w:val="24"/>
              </w:rPr>
            </w:pPr>
            <w:r>
              <w:rPr>
                <w:rFonts w:eastAsia="仿宋"/>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4390" w:type="dxa"/>
            <w:vAlign w:val="center"/>
          </w:tcPr>
          <w:p>
            <w:pPr>
              <w:jc w:val="center"/>
              <w:rPr>
                <w:rFonts w:eastAsia="仿宋"/>
                <w:sz w:val="24"/>
              </w:rPr>
            </w:pPr>
            <w:r>
              <w:rPr>
                <w:rFonts w:hint="eastAsia" w:eastAsia="仿宋"/>
                <w:sz w:val="24"/>
              </w:rPr>
              <w:t>定量型质量指标</w:t>
            </w:r>
          </w:p>
        </w:tc>
        <w:tc>
          <w:tcPr>
            <w:tcW w:w="2662" w:type="dxa"/>
            <w:vAlign w:val="center"/>
          </w:tcPr>
          <w:p>
            <w:pPr>
              <w:jc w:val="center"/>
              <w:rPr>
                <w:rFonts w:eastAsia="仿宋"/>
                <w:sz w:val="24"/>
              </w:rPr>
            </w:pPr>
            <w:r>
              <w:rPr>
                <w:rFonts w:hint="eastAsia" w:eastAsia="仿宋"/>
                <w:sz w:val="24"/>
              </w:rPr>
              <w:t>定性型质量指标</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严重不合格</w:t>
            </w:r>
          </w:p>
        </w:tc>
        <w:tc>
          <w:tcPr>
            <w:tcW w:w="2662" w:type="dxa"/>
            <w:vAlign w:val="center"/>
          </w:tcPr>
          <w:p>
            <w:pPr>
              <w:rPr>
                <w:rFonts w:eastAsia="仿宋"/>
                <w:sz w:val="24"/>
              </w:rPr>
            </w:pPr>
            <w:r>
              <w:rPr>
                <w:rFonts w:eastAsia="仿宋"/>
                <w:sz w:val="24"/>
              </w:rPr>
              <w:t>重要</w:t>
            </w:r>
            <w:r>
              <w:rPr>
                <w:rFonts w:hint="eastAsia" w:eastAsia="仿宋"/>
                <w:sz w:val="24"/>
              </w:rPr>
              <w:t>质量指标</w:t>
            </w:r>
            <w:r>
              <w:rPr>
                <w:rFonts w:eastAsia="仿宋"/>
                <w:sz w:val="24"/>
              </w:rPr>
              <w:t>不合格</w:t>
            </w:r>
          </w:p>
        </w:tc>
        <w:tc>
          <w:tcPr>
            <w:tcW w:w="1750" w:type="dxa"/>
            <w:vAlign w:val="center"/>
          </w:tcPr>
          <w:p>
            <w:pPr>
              <w:jc w:val="center"/>
              <w:rPr>
                <w:rFonts w:eastAsia="仿宋"/>
                <w:sz w:val="24"/>
              </w:rPr>
            </w:pPr>
            <w:r>
              <w:rPr>
                <w:rFonts w:hint="eastAsia" w:eastAsia="仿宋"/>
                <w:sz w:val="24"/>
              </w:rPr>
              <w:t>严重</w:t>
            </w: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不合格</w:t>
            </w:r>
          </w:p>
        </w:tc>
        <w:tc>
          <w:tcPr>
            <w:tcW w:w="2662" w:type="dxa"/>
            <w:vMerge w:val="restart"/>
            <w:vAlign w:val="center"/>
          </w:tcPr>
          <w:p>
            <w:pPr>
              <w:rPr>
                <w:rFonts w:eastAsia="仿宋"/>
                <w:sz w:val="24"/>
              </w:rPr>
            </w:pPr>
            <w:r>
              <w:rPr>
                <w:rFonts w:hint="eastAsia" w:eastAsia="仿宋"/>
                <w:sz w:val="24"/>
              </w:rPr>
              <w:t>较</w:t>
            </w:r>
            <w:r>
              <w:rPr>
                <w:rFonts w:eastAsia="仿宋"/>
                <w:sz w:val="24"/>
              </w:rPr>
              <w:t>重要</w:t>
            </w:r>
            <w:r>
              <w:rPr>
                <w:rFonts w:hint="eastAsia" w:eastAsia="仿宋"/>
                <w:sz w:val="24"/>
              </w:rPr>
              <w:t>质量指标</w:t>
            </w:r>
            <w:r>
              <w:rPr>
                <w:rFonts w:eastAsia="仿宋"/>
                <w:sz w:val="24"/>
              </w:rPr>
              <w:t>不合格</w:t>
            </w:r>
          </w:p>
        </w:tc>
        <w:tc>
          <w:tcPr>
            <w:tcW w:w="1750" w:type="dxa"/>
            <w:vMerge w:val="restart"/>
            <w:vAlign w:val="center"/>
          </w:tcPr>
          <w:p>
            <w:pPr>
              <w:jc w:val="center"/>
              <w:rPr>
                <w:rFonts w:eastAsia="仿宋"/>
                <w:sz w:val="24"/>
              </w:rPr>
            </w:pP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390" w:type="dxa"/>
            <w:vAlign w:val="center"/>
          </w:tcPr>
          <w:p>
            <w:pPr>
              <w:jc w:val="center"/>
              <w:rPr>
                <w:rFonts w:eastAsia="仿宋"/>
                <w:sz w:val="24"/>
              </w:rPr>
            </w:pPr>
            <w:r>
              <w:rPr>
                <w:rFonts w:eastAsia="仿宋"/>
                <w:sz w:val="24"/>
              </w:rPr>
              <w:t>较重要质量</w:t>
            </w:r>
            <w:r>
              <w:rPr>
                <w:rFonts w:hint="eastAsia" w:eastAsia="仿宋"/>
                <w:sz w:val="24"/>
              </w:rPr>
              <w:t>指标</w:t>
            </w:r>
            <w:r>
              <w:rPr>
                <w:rFonts w:eastAsia="仿宋"/>
                <w:sz w:val="24"/>
              </w:rPr>
              <w:t>严重不合格</w:t>
            </w:r>
            <w:r>
              <w:rPr>
                <w:rFonts w:hint="eastAsia" w:eastAsia="仿宋"/>
                <w:sz w:val="24"/>
              </w:rPr>
              <w:t>或不合格</w:t>
            </w:r>
          </w:p>
        </w:tc>
        <w:tc>
          <w:tcPr>
            <w:tcW w:w="2662" w:type="dxa"/>
            <w:vMerge w:val="continue"/>
            <w:vAlign w:val="center"/>
          </w:tcPr>
          <w:p>
            <w:pPr>
              <w:ind w:firstLine="480" w:firstLineChars="200"/>
              <w:rPr>
                <w:rFonts w:eastAsia="仿宋"/>
                <w:sz w:val="24"/>
              </w:rPr>
            </w:pP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390" w:type="dxa"/>
            <w:vAlign w:val="center"/>
          </w:tcPr>
          <w:p>
            <w:pPr>
              <w:ind w:firstLine="480" w:firstLineChars="200"/>
              <w:rPr>
                <w:rFonts w:eastAsia="仿宋"/>
                <w:sz w:val="24"/>
              </w:rPr>
            </w:pPr>
            <w:r>
              <w:rPr>
                <w:rFonts w:eastAsia="仿宋"/>
                <w:sz w:val="24"/>
              </w:rPr>
              <w:t>次要质量</w:t>
            </w:r>
            <w:r>
              <w:rPr>
                <w:rFonts w:hint="eastAsia" w:eastAsia="仿宋"/>
                <w:sz w:val="24"/>
              </w:rPr>
              <w:t>指标严重</w:t>
            </w:r>
            <w:r>
              <w:rPr>
                <w:rFonts w:eastAsia="仿宋"/>
                <w:sz w:val="24"/>
              </w:rPr>
              <w:t>不合格</w:t>
            </w:r>
            <w:r>
              <w:rPr>
                <w:rFonts w:hint="eastAsia" w:eastAsia="仿宋"/>
                <w:sz w:val="24"/>
              </w:rPr>
              <w:t>或不合格</w:t>
            </w:r>
          </w:p>
        </w:tc>
        <w:tc>
          <w:tcPr>
            <w:tcW w:w="2662" w:type="dxa"/>
            <w:vAlign w:val="center"/>
          </w:tcPr>
          <w:p>
            <w:pPr>
              <w:rPr>
                <w:rFonts w:eastAsia="仿宋"/>
                <w:sz w:val="24"/>
              </w:rPr>
            </w:pPr>
            <w:r>
              <w:rPr>
                <w:rFonts w:hint="eastAsia" w:eastAsia="仿宋"/>
                <w:sz w:val="24"/>
              </w:rPr>
              <w:t>次要质量指标不合格</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802" w:type="dxa"/>
            <w:gridSpan w:val="3"/>
            <w:vAlign w:val="center"/>
          </w:tcPr>
          <w:p>
            <w:pPr>
              <w:rPr>
                <w:rFonts w:eastAsia="仿宋"/>
                <w:szCs w:val="21"/>
              </w:rPr>
            </w:pPr>
            <w:r>
              <w:rPr>
                <w:rFonts w:hint="eastAsia" w:eastAsia="仿宋"/>
                <w:szCs w:val="21"/>
              </w:rPr>
              <w:t>注：样本中累积出现3个及以上定量型的较重要质量指标严重不合格或重要质量指标不合格，宜判定样本为严重不合格。</w:t>
            </w:r>
          </w:p>
        </w:tc>
      </w:tr>
    </w:tbl>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在样本单元上，存在重要定量型质量指标严重不合格或重要定性型质量指标不合格时，判定样本单元为严重不合格；存在重要定量型质量指标不合格，或较重要定量型质量指标严重不合格或不合格，或次要定量型指标严重不合格或不合格，或存在较重要定性型质量指标不合格，或次要定性型质量指标不合格时，判定样本单元为不合格。</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2.监督总体判定。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若所检样本为严重不合格品，判定该监督总体为严重不合格；若所检样本为不合格，判定该监督总体为不合格若样本所检质量指标均合格， 判定为所检样本未发现不合格，不判定监督总本合格。 </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当被检样品明示的质量要求优于本方案中检验指标依据的标准要求时，应按被检样品明示的质量要求判定。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当被检样品明示的质量要求劣于或不包含本方案中检验指标依据的强制性标准要求时，应按照强制性标准要求判定。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当被检样品明示的质量要求劣于或包含本方案中检验项目依据的推荐性标准要求时，应以被检样品明示的质量要求判定，如相应检验结果不符合相关推荐标准要求时，应在检验报告中予以说明。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当被检样品明示的质量要求不包含本方案中检验指标依据的推荐性标准要求时，该指标不参与判定，但应在检验报告备注中进行说明。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当被检样品未能提供有效的企业标准时，按相关国家或行业标准进行判定。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按照产品质量相关法律法规的规定判定。</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A2223B"/>
    <w:rsid w:val="1C195368"/>
    <w:rsid w:val="22A2223B"/>
    <w:rsid w:val="427260B6"/>
    <w:rsid w:val="455B6ADD"/>
    <w:rsid w:val="653A4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2022-04-20T02:51:00Z</dcterms:created>
  <dc:creator>李文湘</dc:creator>
  <cp:lastModifiedBy>李文湘</cp:lastModifiedBy>
  <dcterms:modified xsi:type="dcterms:W3CDTF">2022-05-18T08:46:40Z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