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80"/>
        </w:tabs>
        <w:spacing w:line="560" w:lineRule="exact"/>
        <w:jc w:val="left"/>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10</w:t>
      </w:r>
      <w:bookmarkStart w:id="0" w:name="_GoBack"/>
      <w:bookmarkEnd w:id="0"/>
    </w:p>
    <w:p>
      <w:pPr>
        <w:tabs>
          <w:tab w:val="left" w:pos="1080"/>
        </w:tabs>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汕尾</w:t>
      </w:r>
      <w:r>
        <w:rPr>
          <w:rFonts w:hint="eastAsia" w:ascii="方正小标宋简体" w:hAnsi="方正小标宋简体" w:eastAsia="方正小标宋简体" w:cs="方正小标宋简体"/>
          <w:sz w:val="44"/>
          <w:szCs w:val="44"/>
        </w:rPr>
        <w:t>市</w:t>
      </w:r>
      <w:r>
        <w:rPr>
          <w:rFonts w:hint="eastAsia" w:ascii="方正小标宋简体" w:hAnsi="方正小标宋简体" w:eastAsia="方正小标宋简体" w:cs="方正小标宋简体"/>
          <w:sz w:val="44"/>
          <w:szCs w:val="44"/>
          <w:lang w:eastAsia="zh-CN"/>
        </w:rPr>
        <w:t>瓦楞纸箱（板）</w:t>
      </w:r>
      <w:r>
        <w:rPr>
          <w:rFonts w:hint="eastAsia" w:ascii="方正小标宋简体" w:hAnsi="方正小标宋简体" w:eastAsia="方正小标宋简体" w:cs="方正小标宋简体"/>
          <w:sz w:val="44"/>
          <w:szCs w:val="44"/>
        </w:rPr>
        <w:t>产品质量</w:t>
      </w:r>
    </w:p>
    <w:p>
      <w:pPr>
        <w:tabs>
          <w:tab w:val="left" w:pos="1080"/>
        </w:tabs>
        <w:spacing w:line="56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监督抽查</w:t>
      </w:r>
      <w:r>
        <w:rPr>
          <w:rFonts w:hint="eastAsia" w:ascii="方正小标宋简体" w:hAnsi="方正小标宋简体" w:eastAsia="方正小标宋简体" w:cs="方正小标宋简体"/>
          <w:sz w:val="44"/>
          <w:szCs w:val="44"/>
          <w:lang w:eastAsia="zh-CN"/>
        </w:rPr>
        <w:t>实施细则</w:t>
      </w:r>
    </w:p>
    <w:p>
      <w:pPr>
        <w:spacing w:line="560" w:lineRule="exact"/>
        <w:rPr>
          <w:rFonts w:ascii="仿宋_GB2312" w:hAnsi="仿宋_GB2312" w:eastAsia="仿宋_GB2312" w:cs="仿宋_GB2312"/>
          <w:sz w:val="32"/>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560" w:lineRule="exact"/>
        <w:ind w:firstLine="640" w:firstLineChars="200"/>
        <w:rPr>
          <w:rFonts w:ascii="仿宋_GB2312" w:hAnsi="楷体" w:eastAsia="仿宋_GB2312" w:cs="楷体"/>
          <w:sz w:val="32"/>
          <w:szCs w:val="32"/>
        </w:rPr>
      </w:pPr>
      <w:r>
        <w:rPr>
          <w:rFonts w:hint="eastAsia" w:ascii="仿宋_GB2312" w:hAnsi="仿宋_GB2312" w:eastAsia="仿宋_GB2312" w:cs="仿宋_GB2312"/>
          <w:color w:val="000000"/>
          <w:sz w:val="32"/>
          <w:szCs w:val="32"/>
          <w:lang w:eastAsia="zh-CN"/>
        </w:rPr>
        <w:t>抽查数量：</w:t>
      </w:r>
      <w:r>
        <w:rPr>
          <w:rFonts w:hint="eastAsia" w:ascii="仿宋_GB2312" w:hAnsi="楷体" w:eastAsia="仿宋_GB2312" w:cs="楷体"/>
          <w:sz w:val="32"/>
          <w:szCs w:val="32"/>
        </w:rPr>
        <w:t>随机抽取2组同款样品（根据产品抽取同品种、型号(货号)或同款式、同生产批次的产品）第1组用于检验，第2组用于备样。抽样数量见下表。</w:t>
      </w:r>
    </w:p>
    <w:tbl>
      <w:tblPr>
        <w:tblStyle w:val="3"/>
        <w:tblW w:w="78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436"/>
        <w:gridCol w:w="2237"/>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序号</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产品名称</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第1组数量</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 w:hRule="exact"/>
          <w:jc w:val="center"/>
        </w:trPr>
        <w:tc>
          <w:tcPr>
            <w:tcW w:w="864" w:type="dxa"/>
            <w:vAlign w:val="center"/>
          </w:tcPr>
          <w:p>
            <w:pPr>
              <w:adjustRightInd w:val="0"/>
              <w:snapToGrid w:val="0"/>
              <w:spacing w:line="590" w:lineRule="exact"/>
              <w:jc w:val="center"/>
              <w:rPr>
                <w:rFonts w:hint="eastAsia" w:ascii="Times New Roman" w:hAnsi="Times New Roman" w:eastAsia="仿宋_GB2312" w:cs="仿宋_GB2312"/>
                <w:sz w:val="28"/>
                <w:szCs w:val="28"/>
                <w:lang w:eastAsia="zh-CN"/>
              </w:rPr>
            </w:pPr>
            <w:r>
              <w:rPr>
                <w:rFonts w:hint="eastAsia" w:ascii="Times New Roman" w:hAnsi="Times New Roman" w:eastAsia="仿宋_GB2312" w:cs="仿宋_GB2312"/>
                <w:sz w:val="28"/>
                <w:szCs w:val="28"/>
                <w:lang w:val="en-US" w:eastAsia="zh-CN"/>
              </w:rPr>
              <w:t>1</w:t>
            </w:r>
          </w:p>
        </w:tc>
        <w:tc>
          <w:tcPr>
            <w:tcW w:w="2436" w:type="dxa"/>
            <w:vAlign w:val="center"/>
          </w:tcPr>
          <w:p>
            <w:pPr>
              <w:adjustRightInd w:val="0"/>
              <w:snapToGrid w:val="0"/>
              <w:jc w:val="center"/>
              <w:rPr>
                <w:rFonts w:hint="eastAsia" w:ascii="Times New Roman" w:hAnsi="Times New Roman" w:eastAsia="仿宋_GB2312" w:cs="仿宋_GB2312"/>
                <w:sz w:val="28"/>
                <w:szCs w:val="28"/>
                <w:lang w:eastAsia="zh-CN"/>
              </w:rPr>
            </w:pPr>
            <w:r>
              <w:rPr>
                <w:rFonts w:hint="eastAsia" w:ascii="仿宋_GB2312" w:hAnsi="宋体" w:eastAsia="仿宋_GB2312"/>
                <w:sz w:val="28"/>
                <w:szCs w:val="28"/>
              </w:rPr>
              <w:t>纸箱</w:t>
            </w:r>
            <w:r>
              <w:rPr>
                <w:rFonts w:hint="eastAsia" w:ascii="仿宋_GB2312" w:hAnsi="宋体" w:eastAsia="仿宋_GB2312"/>
                <w:sz w:val="28"/>
                <w:szCs w:val="28"/>
                <w:lang w:val="en-US" w:eastAsia="zh-CN"/>
              </w:rPr>
              <w:t>(</w:t>
            </w:r>
            <w:r>
              <w:rPr>
                <w:rFonts w:hint="eastAsia" w:ascii="仿宋_GB2312" w:hAnsi="宋体" w:eastAsia="仿宋_GB2312"/>
                <w:sz w:val="28"/>
                <w:szCs w:val="28"/>
              </w:rPr>
              <w:t>规格</w:t>
            </w:r>
            <w:r>
              <w:rPr>
                <w:rFonts w:hint="eastAsia" w:ascii="宋体" w:hAnsi="宋体"/>
                <w:color w:val="000000"/>
                <w:sz w:val="18"/>
                <w:szCs w:val="18"/>
              </w:rPr>
              <w:t>≥</w:t>
            </w:r>
            <w:r>
              <w:rPr>
                <w:rFonts w:hint="eastAsia" w:ascii="仿宋_GB2312" w:hAnsi="宋体" w:eastAsia="仿宋_GB2312"/>
                <w:sz w:val="28"/>
                <w:szCs w:val="28"/>
              </w:rPr>
              <w:t>(20×20×20) cm</w:t>
            </w:r>
            <w:r>
              <w:rPr>
                <w:rFonts w:hint="eastAsia" w:ascii="仿宋_GB2312" w:hAnsi="宋体" w:eastAsia="仿宋_GB2312"/>
                <w:sz w:val="28"/>
                <w:szCs w:val="28"/>
                <w:lang w:eastAsia="zh-CN"/>
              </w:rPr>
              <w:t>）</w:t>
            </w:r>
          </w:p>
        </w:tc>
        <w:tc>
          <w:tcPr>
            <w:tcW w:w="2237" w:type="dxa"/>
            <w:vAlign w:val="center"/>
          </w:tcPr>
          <w:p>
            <w:pPr>
              <w:adjustRightInd w:val="0"/>
              <w:snapToGrid w:val="0"/>
              <w:jc w:val="center"/>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8个</w:t>
            </w:r>
          </w:p>
        </w:tc>
        <w:tc>
          <w:tcPr>
            <w:tcW w:w="2280" w:type="dxa"/>
            <w:vAlign w:val="center"/>
          </w:tcPr>
          <w:p>
            <w:pPr>
              <w:adjustRightInd w:val="0"/>
              <w:snapToGrid w:val="0"/>
              <w:jc w:val="center"/>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7" w:hRule="exact"/>
          <w:jc w:val="center"/>
        </w:trPr>
        <w:tc>
          <w:tcPr>
            <w:tcW w:w="864" w:type="dxa"/>
            <w:vAlign w:val="center"/>
          </w:tcPr>
          <w:p>
            <w:pPr>
              <w:adjustRightInd w:val="0"/>
              <w:snapToGrid w:val="0"/>
              <w:spacing w:line="590" w:lineRule="exact"/>
              <w:jc w:val="center"/>
              <w:rPr>
                <w:rFonts w:hint="eastAsia" w:ascii="Times New Roman" w:hAnsi="Times New Roman" w:eastAsia="仿宋_GB2312" w:cs="仿宋_GB2312"/>
                <w:sz w:val="28"/>
                <w:szCs w:val="28"/>
                <w:lang w:eastAsia="zh-CN"/>
              </w:rPr>
            </w:pPr>
            <w:r>
              <w:rPr>
                <w:rFonts w:hint="eastAsia" w:ascii="Times New Roman" w:hAnsi="Times New Roman" w:eastAsia="仿宋_GB2312" w:cs="仿宋_GB2312"/>
                <w:sz w:val="28"/>
                <w:szCs w:val="28"/>
                <w:lang w:val="en-US" w:eastAsia="zh-CN"/>
              </w:rPr>
              <w:t>2</w:t>
            </w:r>
          </w:p>
        </w:tc>
        <w:tc>
          <w:tcPr>
            <w:tcW w:w="2436" w:type="dxa"/>
            <w:vAlign w:val="center"/>
          </w:tcPr>
          <w:p>
            <w:pPr>
              <w:adjustRightInd w:val="0"/>
              <w:snapToGrid w:val="0"/>
              <w:jc w:val="center"/>
              <w:rPr>
                <w:rFonts w:hint="eastAsia" w:ascii="Times New Roman" w:hAnsi="Times New Roman" w:eastAsia="仿宋_GB2312" w:cs="仿宋_GB2312"/>
                <w:sz w:val="28"/>
                <w:szCs w:val="28"/>
                <w:lang w:val="en-US" w:eastAsia="zh-CN"/>
              </w:rPr>
            </w:pPr>
            <w:r>
              <w:rPr>
                <w:rFonts w:hint="eastAsia" w:ascii="仿宋_GB2312" w:hAnsi="宋体" w:eastAsia="仿宋_GB2312"/>
                <w:sz w:val="28"/>
                <w:szCs w:val="28"/>
              </w:rPr>
              <w:t>纸箱</w:t>
            </w:r>
            <w:r>
              <w:rPr>
                <w:rFonts w:hint="eastAsia" w:ascii="仿宋_GB2312" w:hAnsi="宋体" w:eastAsia="仿宋_GB2312"/>
                <w:sz w:val="28"/>
                <w:szCs w:val="28"/>
                <w:lang w:val="en-US" w:eastAsia="zh-CN"/>
              </w:rPr>
              <w:t>(</w:t>
            </w:r>
            <w:r>
              <w:rPr>
                <w:rFonts w:hint="eastAsia" w:ascii="仿宋_GB2312" w:hAnsi="宋体" w:eastAsia="仿宋_GB2312"/>
                <w:sz w:val="28"/>
                <w:szCs w:val="28"/>
              </w:rPr>
              <w:t>规格</w:t>
            </w:r>
            <w:r>
              <w:rPr>
                <w:rFonts w:hint="eastAsia" w:ascii="宋体" w:hAnsi="宋体"/>
                <w:color w:val="000000"/>
                <w:sz w:val="18"/>
                <w:szCs w:val="18"/>
              </w:rPr>
              <w:t>＜</w:t>
            </w:r>
            <w:r>
              <w:rPr>
                <w:rFonts w:hint="eastAsia" w:ascii="仿宋_GB2312" w:hAnsi="宋体" w:eastAsia="仿宋_GB2312"/>
                <w:sz w:val="28"/>
                <w:szCs w:val="28"/>
              </w:rPr>
              <w:t>(20×20×20) cm</w:t>
            </w:r>
            <w:r>
              <w:rPr>
                <w:rFonts w:hint="eastAsia" w:ascii="仿宋_GB2312" w:hAnsi="宋体" w:eastAsia="仿宋_GB2312"/>
                <w:sz w:val="28"/>
                <w:szCs w:val="28"/>
                <w:lang w:val="en-US" w:eastAsia="zh-CN"/>
              </w:rPr>
              <w:t>)</w:t>
            </w:r>
          </w:p>
        </w:tc>
        <w:tc>
          <w:tcPr>
            <w:tcW w:w="2237" w:type="dxa"/>
            <w:vAlign w:val="center"/>
          </w:tcPr>
          <w:p>
            <w:pPr>
              <w:adjustRightInd w:val="0"/>
              <w:snapToGrid w:val="0"/>
              <w:jc w:val="center"/>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10个</w:t>
            </w:r>
          </w:p>
        </w:tc>
        <w:tc>
          <w:tcPr>
            <w:tcW w:w="2280" w:type="dxa"/>
            <w:vAlign w:val="center"/>
          </w:tcPr>
          <w:p>
            <w:pPr>
              <w:adjustRightInd w:val="0"/>
              <w:snapToGrid w:val="0"/>
              <w:jc w:val="center"/>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5个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exact"/>
          <w:jc w:val="center"/>
        </w:trPr>
        <w:tc>
          <w:tcPr>
            <w:tcW w:w="864" w:type="dxa"/>
            <w:vAlign w:val="center"/>
          </w:tcPr>
          <w:p>
            <w:pPr>
              <w:adjustRightInd w:val="0"/>
              <w:snapToGrid w:val="0"/>
              <w:spacing w:line="590" w:lineRule="exact"/>
              <w:jc w:val="center"/>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3</w:t>
            </w:r>
          </w:p>
        </w:tc>
        <w:tc>
          <w:tcPr>
            <w:tcW w:w="2436" w:type="dxa"/>
            <w:vAlign w:val="center"/>
          </w:tcPr>
          <w:p>
            <w:pPr>
              <w:adjustRightInd w:val="0"/>
              <w:snapToGrid w:val="0"/>
              <w:jc w:val="center"/>
              <w:rPr>
                <w:rFonts w:hint="eastAsia" w:ascii="宋体" w:hAnsi="宋体" w:eastAsia="仿宋_GB2312" w:cs="宋体"/>
                <w:sz w:val="21"/>
                <w:szCs w:val="21"/>
                <w:lang w:val="en-US" w:eastAsia="zh-CN"/>
              </w:rPr>
            </w:pPr>
            <w:r>
              <w:rPr>
                <w:rFonts w:hint="eastAsia" w:ascii="仿宋_GB2312" w:hAnsi="宋体" w:eastAsia="仿宋_GB2312"/>
                <w:sz w:val="28"/>
                <w:szCs w:val="28"/>
              </w:rPr>
              <w:t>纸板</w:t>
            </w:r>
            <w:r>
              <w:rPr>
                <w:rFonts w:hint="eastAsia" w:ascii="仿宋_GB2312" w:hAnsi="宋体" w:eastAsia="仿宋_GB2312"/>
                <w:sz w:val="28"/>
                <w:szCs w:val="28"/>
                <w:lang w:val="en-US" w:eastAsia="zh-CN"/>
              </w:rPr>
              <w:t>(</w:t>
            </w:r>
            <w:r>
              <w:rPr>
                <w:rFonts w:hint="eastAsia" w:ascii="仿宋_GB2312" w:hAnsi="宋体" w:eastAsia="仿宋_GB2312"/>
                <w:sz w:val="28"/>
                <w:szCs w:val="28"/>
              </w:rPr>
              <w:t>（50×50）cm</w:t>
            </w:r>
            <w:r>
              <w:rPr>
                <w:rFonts w:hint="eastAsia" w:ascii="仿宋_GB2312" w:hAnsi="宋体" w:eastAsia="仿宋_GB2312"/>
                <w:sz w:val="28"/>
                <w:szCs w:val="28"/>
                <w:lang w:val="en-US" w:eastAsia="zh-CN"/>
              </w:rPr>
              <w:t>)</w:t>
            </w:r>
          </w:p>
        </w:tc>
        <w:tc>
          <w:tcPr>
            <w:tcW w:w="2237" w:type="dxa"/>
            <w:vAlign w:val="center"/>
          </w:tcPr>
          <w:p>
            <w:pPr>
              <w:adjustRightInd w:val="0"/>
              <w:snapToGrid w:val="0"/>
              <w:jc w:val="center"/>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8块</w:t>
            </w:r>
          </w:p>
        </w:tc>
        <w:tc>
          <w:tcPr>
            <w:tcW w:w="2280" w:type="dxa"/>
            <w:vAlign w:val="center"/>
          </w:tcPr>
          <w:p>
            <w:pPr>
              <w:adjustRightInd w:val="0"/>
              <w:snapToGrid w:val="0"/>
              <w:jc w:val="center"/>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4块</w:t>
            </w:r>
          </w:p>
        </w:tc>
      </w:tr>
    </w:tbl>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组样品分别封样，抽样机构应采取防拆封措施。样品全部带回实验室。</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在生产企业抽样时，如果样品标注的信息不全，必须与生产企业进行确认该产品的质量等级。样品明示的执行标准明显不适用时，应在抽样单中注明适用的标准，并与生产企业进行确认。</w:t>
      </w:r>
    </w:p>
    <w:p>
      <w:pPr>
        <w:spacing w:before="156" w:beforeLines="50" w:line="560" w:lineRule="exact"/>
        <w:ind w:firstLine="640" w:firstLineChars="200"/>
        <w:rPr>
          <w:rFonts w:eastAsia="黑体"/>
          <w:sz w:val="32"/>
          <w:szCs w:val="32"/>
        </w:rPr>
      </w:pPr>
      <w:r>
        <w:rPr>
          <w:rFonts w:hint="eastAsia" w:eastAsia="黑体"/>
          <w:sz w:val="32"/>
          <w:szCs w:val="32"/>
          <w:lang w:eastAsia="zh-CN"/>
        </w:rPr>
        <w:t>二</w:t>
      </w:r>
      <w:r>
        <w:rPr>
          <w:rFonts w:eastAsia="黑体"/>
          <w:sz w:val="32"/>
          <w:szCs w:val="32"/>
        </w:rPr>
        <w:t>、主要检验项目及</w:t>
      </w:r>
      <w:r>
        <w:rPr>
          <w:rFonts w:hint="eastAsia" w:eastAsia="黑体"/>
          <w:sz w:val="32"/>
          <w:szCs w:val="32"/>
        </w:rPr>
        <w:t>不合格类别的划分指标</w:t>
      </w:r>
    </w:p>
    <w:p>
      <w:pPr>
        <w:spacing w:line="560" w:lineRule="exact"/>
        <w:ind w:firstLine="640" w:firstLineChars="200"/>
        <w:rPr>
          <w:rFonts w:eastAsia="黑体"/>
          <w:sz w:val="32"/>
          <w:szCs w:val="32"/>
        </w:rPr>
      </w:pPr>
      <w:r>
        <w:rPr>
          <w:rFonts w:hint="eastAsia" w:ascii="楷体" w:hAnsi="楷体" w:eastAsia="楷体"/>
          <w:sz w:val="32"/>
          <w:szCs w:val="32"/>
        </w:rPr>
        <w:t>内在质量检验项目及其重要性划分表。</w:t>
      </w:r>
    </w:p>
    <w:tbl>
      <w:tblPr>
        <w:tblStyle w:val="3"/>
        <w:tblW w:w="8691"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34"/>
        <w:gridCol w:w="2923"/>
        <w:gridCol w:w="2024"/>
        <w:gridCol w:w="1184"/>
        <w:gridCol w:w="2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3" w:hRule="atLeast"/>
        </w:trPr>
        <w:tc>
          <w:tcPr>
            <w:tcW w:w="307" w:type="pct"/>
            <w:vMerge w:val="restart"/>
            <w:noWrap w:val="0"/>
            <w:vAlign w:val="center"/>
          </w:tcPr>
          <w:p>
            <w:pPr>
              <w:spacing w:line="32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序号</w:t>
            </w:r>
          </w:p>
        </w:tc>
        <w:tc>
          <w:tcPr>
            <w:tcW w:w="1681" w:type="pct"/>
            <w:vMerge w:val="restart"/>
            <w:noWrap w:val="0"/>
            <w:vAlign w:val="center"/>
          </w:tcPr>
          <w:p>
            <w:pPr>
              <w:spacing w:line="32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检验项目</w:t>
            </w:r>
          </w:p>
        </w:tc>
        <w:tc>
          <w:tcPr>
            <w:tcW w:w="1164" w:type="pct"/>
            <w:vMerge w:val="restart"/>
            <w:noWrap w:val="0"/>
            <w:vAlign w:val="center"/>
          </w:tcPr>
          <w:p>
            <w:pPr>
              <w:spacing w:line="320" w:lineRule="exact"/>
              <w:ind w:right="-540" w:rightChars="-257"/>
              <w:jc w:val="center"/>
              <w:rPr>
                <w:rFonts w:hint="eastAsia" w:ascii="仿宋_GB2312" w:hAnsi="宋体" w:eastAsia="仿宋_GB2312" w:cs="宋体"/>
                <w:kern w:val="0"/>
                <w:sz w:val="24"/>
              </w:rPr>
            </w:pPr>
            <w:r>
              <w:rPr>
                <w:rFonts w:hint="eastAsia" w:ascii="仿宋_GB2312" w:hAnsi="宋体" w:eastAsia="仿宋_GB2312"/>
                <w:sz w:val="24"/>
              </w:rPr>
              <w:t>检验依据</w:t>
            </w:r>
          </w:p>
        </w:tc>
        <w:tc>
          <w:tcPr>
            <w:tcW w:w="1846" w:type="pct"/>
            <w:gridSpan w:val="2"/>
            <w:noWrap w:val="0"/>
            <w:vAlign w:val="center"/>
          </w:tcPr>
          <w:p>
            <w:pPr>
              <w:spacing w:line="320" w:lineRule="exact"/>
              <w:ind w:right="-540" w:rightChars="-257" w:firstLine="360" w:firstLineChars="150"/>
              <w:rPr>
                <w:rFonts w:hint="eastAsia" w:ascii="仿宋_GB2312" w:hAnsi="宋体" w:eastAsia="仿宋_GB2312" w:cs="宋体"/>
                <w:kern w:val="0"/>
                <w:sz w:val="24"/>
              </w:rPr>
            </w:pPr>
            <w:r>
              <w:rPr>
                <w:rFonts w:hint="eastAsia" w:ascii="仿宋_GB2312" w:hAnsi="宋体" w:eastAsia="仿宋_GB2312"/>
                <w:sz w:val="24"/>
              </w:rPr>
              <w:t>重要程度分类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2" w:hRule="atLeast"/>
        </w:trPr>
        <w:tc>
          <w:tcPr>
            <w:tcW w:w="307" w:type="pct"/>
            <w:vMerge w:val="continue"/>
            <w:noWrap w:val="0"/>
            <w:vAlign w:val="center"/>
          </w:tcPr>
          <w:p>
            <w:pPr>
              <w:spacing w:line="320" w:lineRule="exact"/>
              <w:jc w:val="center"/>
              <w:rPr>
                <w:rFonts w:hint="eastAsia" w:ascii="仿宋_GB2312" w:hAnsi="宋体" w:eastAsia="仿宋_GB2312" w:cs="宋体"/>
                <w:kern w:val="0"/>
                <w:sz w:val="24"/>
              </w:rPr>
            </w:pPr>
          </w:p>
        </w:tc>
        <w:tc>
          <w:tcPr>
            <w:tcW w:w="1681" w:type="pct"/>
            <w:vMerge w:val="continue"/>
            <w:noWrap w:val="0"/>
            <w:vAlign w:val="center"/>
          </w:tcPr>
          <w:p>
            <w:pPr>
              <w:spacing w:line="320" w:lineRule="exact"/>
              <w:jc w:val="center"/>
              <w:rPr>
                <w:rFonts w:hint="eastAsia" w:ascii="仿宋_GB2312" w:hAnsi="宋体" w:eastAsia="仿宋_GB2312" w:cs="宋体"/>
                <w:kern w:val="0"/>
                <w:sz w:val="24"/>
              </w:rPr>
            </w:pPr>
          </w:p>
        </w:tc>
        <w:tc>
          <w:tcPr>
            <w:tcW w:w="1164" w:type="pct"/>
            <w:vMerge w:val="continue"/>
            <w:noWrap w:val="0"/>
            <w:vAlign w:val="center"/>
          </w:tcPr>
          <w:p>
            <w:pPr>
              <w:spacing w:line="320" w:lineRule="exact"/>
              <w:ind w:right="-540" w:rightChars="-257"/>
              <w:jc w:val="center"/>
              <w:rPr>
                <w:rFonts w:hint="eastAsia" w:ascii="仿宋_GB2312" w:hAnsi="宋体" w:eastAsia="仿宋_GB2312" w:cs="宋体"/>
                <w:kern w:val="0"/>
                <w:sz w:val="24"/>
              </w:rPr>
            </w:pPr>
          </w:p>
        </w:tc>
        <w:tc>
          <w:tcPr>
            <w:tcW w:w="681" w:type="pct"/>
            <w:noWrap w:val="0"/>
            <w:vAlign w:val="center"/>
          </w:tcPr>
          <w:p>
            <w:pPr>
              <w:spacing w:line="360" w:lineRule="exact"/>
              <w:ind w:firstLine="240" w:firstLineChars="100"/>
              <w:jc w:val="center"/>
              <w:rPr>
                <w:rFonts w:hint="eastAsia" w:ascii="仿宋_GB2312" w:hAnsi="宋体" w:eastAsia="仿宋_GB2312"/>
                <w:sz w:val="24"/>
              </w:rPr>
            </w:pPr>
            <w:r>
              <w:rPr>
                <w:rFonts w:hint="eastAsia" w:ascii="仿宋_GB2312" w:hAnsi="宋体" w:eastAsia="仿宋_GB2312"/>
                <w:sz w:val="24"/>
              </w:rPr>
              <w:t>A类</w:t>
            </w:r>
          </w:p>
        </w:tc>
        <w:tc>
          <w:tcPr>
            <w:tcW w:w="1165" w:type="pct"/>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07" w:type="pct"/>
            <w:noWrap w:val="0"/>
            <w:vAlign w:val="center"/>
          </w:tcPr>
          <w:p>
            <w:pPr>
              <w:widowControl/>
              <w:spacing w:before="150" w:after="150"/>
              <w:jc w:val="center"/>
              <w:rPr>
                <w:rFonts w:hint="eastAsia" w:ascii="仿宋_GB2312" w:hAnsi="Verdana" w:eastAsia="仿宋_GB2312" w:cs="宋体"/>
                <w:kern w:val="0"/>
                <w:sz w:val="24"/>
              </w:rPr>
            </w:pPr>
            <w:r>
              <w:rPr>
                <w:rFonts w:hint="eastAsia" w:ascii="仿宋_GB2312" w:hAnsi="Verdana" w:eastAsia="仿宋_GB2312" w:cs="宋体"/>
                <w:kern w:val="0"/>
                <w:sz w:val="24"/>
              </w:rPr>
              <w:t>1</w:t>
            </w:r>
          </w:p>
        </w:tc>
        <w:tc>
          <w:tcPr>
            <w:tcW w:w="1681" w:type="pct"/>
            <w:noWrap w:val="0"/>
            <w:vAlign w:val="center"/>
          </w:tcPr>
          <w:p>
            <w:pPr>
              <w:pStyle w:val="2"/>
              <w:snapToGrid w:val="0"/>
              <w:rPr>
                <w:rFonts w:hint="eastAsia" w:ascii="仿宋_GB2312" w:hAnsi="宋体" w:eastAsia="仿宋_GB2312" w:cs="Arial"/>
                <w:color w:val="000000"/>
                <w:sz w:val="24"/>
                <w:szCs w:val="24"/>
              </w:rPr>
            </w:pPr>
            <w:r>
              <w:rPr>
                <w:rFonts w:hint="eastAsia" w:ascii="仿宋_GB2312" w:hAnsi="宋体" w:eastAsia="仿宋_GB2312" w:cs="Arial"/>
                <w:color w:val="000000"/>
                <w:sz w:val="24"/>
                <w:szCs w:val="24"/>
              </w:rPr>
              <w:t>边压强度</w:t>
            </w:r>
          </w:p>
        </w:tc>
        <w:tc>
          <w:tcPr>
            <w:tcW w:w="1164" w:type="pct"/>
            <w:noWrap w:val="0"/>
            <w:vAlign w:val="center"/>
          </w:tcPr>
          <w:p>
            <w:pPr>
              <w:autoSpaceDE w:val="0"/>
              <w:autoSpaceDN w:val="0"/>
              <w:rPr>
                <w:rFonts w:hint="eastAsia" w:ascii="仿宋_GB2312" w:hAnsi="宋体" w:eastAsia="仿宋_GB2312"/>
                <w:color w:val="000000"/>
                <w:kern w:val="0"/>
                <w:sz w:val="24"/>
              </w:rPr>
            </w:pPr>
            <w:r>
              <w:rPr>
                <w:rFonts w:hint="eastAsia" w:ascii="仿宋_GB2312" w:hAnsi="宋体" w:eastAsia="仿宋_GB2312"/>
                <w:color w:val="000000"/>
                <w:kern w:val="0"/>
                <w:sz w:val="24"/>
              </w:rPr>
              <w:t>GB/T 6546-1998</w:t>
            </w:r>
          </w:p>
        </w:tc>
        <w:tc>
          <w:tcPr>
            <w:tcW w:w="681" w:type="pct"/>
            <w:noWrap w:val="0"/>
            <w:vAlign w:val="center"/>
          </w:tcPr>
          <w:p>
            <w:pPr>
              <w:autoSpaceDE w:val="0"/>
              <w:autoSpaceDN w:val="0"/>
              <w:jc w:val="center"/>
              <w:rPr>
                <w:rFonts w:hint="eastAsia" w:ascii="仿宋_GB2312" w:hAnsi="宋体" w:eastAsia="仿宋_GB2312"/>
                <w:color w:val="000000"/>
                <w:kern w:val="0"/>
                <w:sz w:val="24"/>
              </w:rPr>
            </w:pPr>
            <w:r>
              <w:rPr>
                <w:rFonts w:hint="eastAsia" w:ascii="仿宋_GB2312" w:hAnsi="宋体" w:eastAsia="仿宋_GB2312"/>
                <w:color w:val="000000"/>
                <w:sz w:val="24"/>
              </w:rPr>
              <w:t>●</w:t>
            </w:r>
          </w:p>
        </w:tc>
        <w:tc>
          <w:tcPr>
            <w:tcW w:w="1165" w:type="pct"/>
            <w:noWrap w:val="0"/>
            <w:vAlign w:val="center"/>
          </w:tcPr>
          <w:p>
            <w:pPr>
              <w:autoSpaceDE w:val="0"/>
              <w:autoSpaceDN w:val="0"/>
              <w:jc w:val="center"/>
              <w:rPr>
                <w:rFonts w:hint="eastAsia"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07" w:type="pct"/>
            <w:noWrap w:val="0"/>
            <w:vAlign w:val="center"/>
          </w:tcPr>
          <w:p>
            <w:pPr>
              <w:widowControl/>
              <w:spacing w:before="150" w:after="150"/>
              <w:jc w:val="center"/>
              <w:rPr>
                <w:rFonts w:hint="eastAsia" w:ascii="仿宋_GB2312" w:hAnsi="Verdana" w:eastAsia="仿宋_GB2312" w:cs="宋体"/>
                <w:kern w:val="0"/>
                <w:sz w:val="24"/>
              </w:rPr>
            </w:pPr>
            <w:r>
              <w:rPr>
                <w:rFonts w:hint="eastAsia" w:ascii="仿宋_GB2312" w:hAnsi="Verdana" w:eastAsia="仿宋_GB2312" w:cs="宋体"/>
                <w:kern w:val="0"/>
                <w:sz w:val="24"/>
              </w:rPr>
              <w:t>2</w:t>
            </w:r>
          </w:p>
        </w:tc>
        <w:tc>
          <w:tcPr>
            <w:tcW w:w="1681" w:type="pct"/>
            <w:noWrap w:val="0"/>
            <w:vAlign w:val="center"/>
          </w:tcPr>
          <w:p>
            <w:pPr>
              <w:pStyle w:val="2"/>
              <w:snapToGrid w:val="0"/>
              <w:rPr>
                <w:rFonts w:hint="eastAsia" w:ascii="仿宋_GB2312" w:hAnsi="宋体" w:eastAsia="仿宋_GB2312" w:cs="Arial"/>
                <w:sz w:val="24"/>
                <w:szCs w:val="24"/>
              </w:rPr>
            </w:pPr>
            <w:r>
              <w:rPr>
                <w:rFonts w:hint="eastAsia" w:ascii="仿宋_GB2312" w:hAnsi="Times New Roman" w:eastAsia="仿宋_GB2312" w:cs="Arial"/>
                <w:sz w:val="24"/>
                <w:szCs w:val="24"/>
              </w:rPr>
              <w:t>耐破强度</w:t>
            </w:r>
          </w:p>
        </w:tc>
        <w:tc>
          <w:tcPr>
            <w:tcW w:w="1164" w:type="pct"/>
            <w:noWrap w:val="0"/>
            <w:vAlign w:val="center"/>
          </w:tcPr>
          <w:p>
            <w:pPr>
              <w:autoSpaceDE w:val="0"/>
              <w:autoSpaceDN w:val="0"/>
              <w:rPr>
                <w:rFonts w:hint="eastAsia" w:ascii="仿宋_GB2312" w:hAnsi="宋体" w:eastAsia="仿宋_GB2312"/>
                <w:color w:val="000000"/>
                <w:kern w:val="0"/>
                <w:sz w:val="24"/>
              </w:rPr>
            </w:pPr>
            <w:r>
              <w:rPr>
                <w:rFonts w:hint="eastAsia" w:ascii="仿宋_GB2312" w:hAnsi="宋体" w:eastAsia="仿宋_GB2312"/>
                <w:color w:val="000000"/>
                <w:kern w:val="0"/>
                <w:sz w:val="24"/>
              </w:rPr>
              <w:t>GB/T 6545-1998</w:t>
            </w:r>
          </w:p>
        </w:tc>
        <w:tc>
          <w:tcPr>
            <w:tcW w:w="681" w:type="pct"/>
            <w:noWrap w:val="0"/>
            <w:vAlign w:val="center"/>
          </w:tcPr>
          <w:p>
            <w:pPr>
              <w:autoSpaceDE w:val="0"/>
              <w:autoSpaceDN w:val="0"/>
              <w:jc w:val="center"/>
              <w:rPr>
                <w:rFonts w:hint="eastAsia" w:ascii="仿宋_GB2312" w:hAnsi="宋体" w:eastAsia="仿宋_GB2312"/>
                <w:color w:val="000000"/>
                <w:kern w:val="0"/>
                <w:sz w:val="24"/>
              </w:rPr>
            </w:pPr>
            <w:r>
              <w:rPr>
                <w:rFonts w:hint="eastAsia" w:ascii="仿宋_GB2312" w:hAnsi="宋体" w:eastAsia="仿宋_GB2312"/>
                <w:color w:val="000000"/>
                <w:sz w:val="24"/>
              </w:rPr>
              <w:t>●</w:t>
            </w:r>
          </w:p>
        </w:tc>
        <w:tc>
          <w:tcPr>
            <w:tcW w:w="1165" w:type="pct"/>
            <w:noWrap w:val="0"/>
            <w:vAlign w:val="center"/>
          </w:tcPr>
          <w:p>
            <w:pPr>
              <w:autoSpaceDE w:val="0"/>
              <w:autoSpaceDN w:val="0"/>
              <w:jc w:val="center"/>
              <w:rPr>
                <w:rFonts w:hint="eastAsia"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07" w:type="pct"/>
            <w:noWrap w:val="0"/>
            <w:vAlign w:val="center"/>
          </w:tcPr>
          <w:p>
            <w:pPr>
              <w:widowControl/>
              <w:spacing w:before="150" w:after="150"/>
              <w:jc w:val="center"/>
              <w:rPr>
                <w:rFonts w:hint="eastAsia" w:ascii="仿宋_GB2312" w:hAnsi="Verdana" w:eastAsia="仿宋_GB2312" w:cs="宋体"/>
                <w:kern w:val="0"/>
                <w:sz w:val="24"/>
              </w:rPr>
            </w:pPr>
            <w:r>
              <w:rPr>
                <w:rFonts w:hint="eastAsia" w:ascii="仿宋_GB2312" w:hAnsi="Verdana" w:eastAsia="仿宋_GB2312" w:cs="宋体"/>
                <w:kern w:val="0"/>
                <w:sz w:val="24"/>
              </w:rPr>
              <w:t>3</w:t>
            </w:r>
          </w:p>
        </w:tc>
        <w:tc>
          <w:tcPr>
            <w:tcW w:w="1681" w:type="pct"/>
            <w:noWrap w:val="0"/>
            <w:vAlign w:val="center"/>
          </w:tcPr>
          <w:p>
            <w:pPr>
              <w:pStyle w:val="2"/>
              <w:snapToGrid w:val="0"/>
              <w:rPr>
                <w:rFonts w:hint="eastAsia" w:ascii="仿宋_GB2312" w:hAnsi="宋体" w:eastAsia="仿宋_GB2312" w:cs="Arial"/>
                <w:sz w:val="24"/>
                <w:szCs w:val="24"/>
              </w:rPr>
            </w:pPr>
            <w:r>
              <w:rPr>
                <w:rFonts w:hint="eastAsia" w:ascii="仿宋_GB2312" w:hAnsi="宋体" w:eastAsia="仿宋_GB2312" w:cs="Arial"/>
                <w:sz w:val="24"/>
                <w:szCs w:val="24"/>
              </w:rPr>
              <w:t>粘合强度</w:t>
            </w:r>
          </w:p>
        </w:tc>
        <w:tc>
          <w:tcPr>
            <w:tcW w:w="1164" w:type="pct"/>
            <w:noWrap w:val="0"/>
            <w:vAlign w:val="center"/>
          </w:tcPr>
          <w:p>
            <w:pPr>
              <w:autoSpaceDE w:val="0"/>
              <w:autoSpaceDN w:val="0"/>
              <w:rPr>
                <w:rFonts w:hint="eastAsia" w:ascii="仿宋_GB2312" w:hAnsi="宋体" w:eastAsia="仿宋_GB2312"/>
                <w:color w:val="000000"/>
                <w:kern w:val="0"/>
                <w:sz w:val="24"/>
              </w:rPr>
            </w:pPr>
            <w:r>
              <w:rPr>
                <w:rFonts w:hint="eastAsia" w:ascii="仿宋_GB2312" w:hAnsi="宋体" w:eastAsia="仿宋_GB2312"/>
                <w:color w:val="000000"/>
                <w:kern w:val="0"/>
                <w:sz w:val="24"/>
              </w:rPr>
              <w:t>GB/T 6548-2011</w:t>
            </w:r>
          </w:p>
        </w:tc>
        <w:tc>
          <w:tcPr>
            <w:tcW w:w="681" w:type="pct"/>
            <w:noWrap w:val="0"/>
            <w:vAlign w:val="center"/>
          </w:tcPr>
          <w:p>
            <w:pPr>
              <w:autoSpaceDE w:val="0"/>
              <w:autoSpaceDN w:val="0"/>
              <w:jc w:val="center"/>
              <w:rPr>
                <w:rFonts w:hint="eastAsia" w:ascii="仿宋_GB2312" w:hAnsi="宋体" w:eastAsia="仿宋_GB2312"/>
                <w:color w:val="000000"/>
                <w:kern w:val="0"/>
                <w:sz w:val="24"/>
              </w:rPr>
            </w:pPr>
          </w:p>
        </w:tc>
        <w:tc>
          <w:tcPr>
            <w:tcW w:w="1165" w:type="pct"/>
            <w:noWrap w:val="0"/>
            <w:vAlign w:val="center"/>
          </w:tcPr>
          <w:p>
            <w:pPr>
              <w:autoSpaceDE w:val="0"/>
              <w:autoSpaceDN w:val="0"/>
              <w:jc w:val="center"/>
              <w:rPr>
                <w:rFonts w:hint="eastAsia" w:ascii="仿宋_GB2312" w:hAnsi="宋体" w:eastAsia="仿宋_GB2312"/>
                <w:color w:val="000000"/>
                <w:kern w:val="0"/>
                <w:sz w:val="24"/>
              </w:rPr>
            </w:pPr>
            <w:r>
              <w:rPr>
                <w:rFonts w:hint="eastAsia" w:ascii="仿宋_GB2312" w:hAnsi="宋体"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07" w:type="pct"/>
            <w:noWrap w:val="0"/>
            <w:vAlign w:val="center"/>
          </w:tcPr>
          <w:p>
            <w:pPr>
              <w:widowControl/>
              <w:spacing w:before="150" w:after="150"/>
              <w:jc w:val="center"/>
              <w:rPr>
                <w:rFonts w:hint="eastAsia" w:ascii="仿宋_GB2312" w:hAnsi="Verdana" w:eastAsia="仿宋_GB2312" w:cs="宋体"/>
                <w:kern w:val="0"/>
                <w:sz w:val="24"/>
              </w:rPr>
            </w:pPr>
            <w:r>
              <w:rPr>
                <w:rFonts w:hint="eastAsia" w:ascii="仿宋_GB2312" w:hAnsi="Verdana" w:eastAsia="仿宋_GB2312" w:cs="宋体"/>
                <w:kern w:val="0"/>
                <w:sz w:val="24"/>
              </w:rPr>
              <w:t>4</w:t>
            </w:r>
          </w:p>
        </w:tc>
        <w:tc>
          <w:tcPr>
            <w:tcW w:w="1681" w:type="pct"/>
            <w:noWrap w:val="0"/>
            <w:vAlign w:val="center"/>
          </w:tcPr>
          <w:p>
            <w:pPr>
              <w:pStyle w:val="2"/>
              <w:snapToGrid w:val="0"/>
              <w:rPr>
                <w:rFonts w:hint="eastAsia" w:ascii="仿宋_GB2312" w:hAnsi="宋体" w:eastAsia="仿宋_GB2312" w:cs="Arial"/>
                <w:color w:val="000000"/>
                <w:sz w:val="24"/>
                <w:szCs w:val="24"/>
              </w:rPr>
            </w:pPr>
            <w:r>
              <w:rPr>
                <w:rFonts w:hint="eastAsia" w:ascii="仿宋_GB2312" w:hAnsi="宋体" w:eastAsia="仿宋_GB2312" w:cs="Arial"/>
                <w:color w:val="000000"/>
                <w:sz w:val="24"/>
                <w:szCs w:val="24"/>
              </w:rPr>
              <w:t>厚度</w:t>
            </w:r>
          </w:p>
        </w:tc>
        <w:tc>
          <w:tcPr>
            <w:tcW w:w="1164" w:type="pct"/>
            <w:noWrap w:val="0"/>
            <w:vAlign w:val="center"/>
          </w:tcPr>
          <w:p>
            <w:pPr>
              <w:pStyle w:val="2"/>
              <w:snapToGrid w:val="0"/>
              <w:spacing w:line="360" w:lineRule="auto"/>
              <w:rPr>
                <w:rFonts w:hint="eastAsia" w:ascii="仿宋_GB2312" w:hAnsi="宋体" w:eastAsia="仿宋_GB2312" w:cs="Arial"/>
                <w:color w:val="000000"/>
                <w:sz w:val="24"/>
                <w:szCs w:val="24"/>
              </w:rPr>
            </w:pPr>
            <w:r>
              <w:rPr>
                <w:rFonts w:hint="eastAsia" w:ascii="仿宋_GB2312" w:hAnsi="宋体" w:eastAsia="仿宋_GB2312"/>
                <w:color w:val="000000"/>
                <w:kern w:val="0"/>
                <w:sz w:val="24"/>
                <w:szCs w:val="24"/>
              </w:rPr>
              <w:t>GB/T 6547-1998</w:t>
            </w:r>
          </w:p>
        </w:tc>
        <w:tc>
          <w:tcPr>
            <w:tcW w:w="681" w:type="pct"/>
            <w:noWrap w:val="0"/>
            <w:vAlign w:val="center"/>
          </w:tcPr>
          <w:p>
            <w:pPr>
              <w:pStyle w:val="2"/>
              <w:snapToGrid w:val="0"/>
              <w:spacing w:line="360" w:lineRule="auto"/>
              <w:jc w:val="center"/>
              <w:rPr>
                <w:rFonts w:hint="eastAsia" w:ascii="仿宋_GB2312" w:hAnsi="宋体" w:eastAsia="仿宋_GB2312" w:cs="Arial"/>
                <w:color w:val="000000"/>
                <w:sz w:val="24"/>
                <w:szCs w:val="24"/>
              </w:rPr>
            </w:pPr>
          </w:p>
        </w:tc>
        <w:tc>
          <w:tcPr>
            <w:tcW w:w="1165" w:type="pct"/>
            <w:noWrap w:val="0"/>
            <w:vAlign w:val="center"/>
          </w:tcPr>
          <w:p>
            <w:pPr>
              <w:pStyle w:val="2"/>
              <w:snapToGrid w:val="0"/>
              <w:spacing w:line="360" w:lineRule="auto"/>
              <w:jc w:val="center"/>
              <w:rPr>
                <w:rFonts w:hint="eastAsia" w:ascii="仿宋_GB2312" w:hAnsi="宋体" w:eastAsia="仿宋_GB2312" w:cs="Arial"/>
                <w:color w:val="000000"/>
                <w:sz w:val="24"/>
                <w:szCs w:val="24"/>
              </w:rPr>
            </w:pPr>
            <w:r>
              <w:rPr>
                <w:rFonts w:hint="eastAsia" w:ascii="仿宋_GB2312" w:hAnsi="宋体" w:eastAsia="仿宋_GB2312"/>
                <w:color w:val="000000"/>
                <w:sz w:val="24"/>
                <w:szCs w:val="24"/>
              </w:rPr>
              <w:t>●</w:t>
            </w: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spacing w:line="560" w:lineRule="exact"/>
        <w:ind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本类产品的强制性国家标准。</w:t>
      </w:r>
    </w:p>
    <w:p>
      <w:pPr>
        <w:spacing w:line="560"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lang w:eastAsia="zh-CN"/>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产品标示执行的标准或产品明示指标。产品标示执行的标准或产品明示指标劣于相关强制性标准的，以相关强制性标准作为依据；被抽样产品未能提供经备案有效的企业标准的，按相关国家或行业推荐性标准进行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相关产品推荐性标准如下：</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GB/T 6543-2008  《运输包装用单瓦楞纸箱和双瓦楞纸箱》</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GB/T 6544-2008  《瓦楞纸板》</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经备案现行有效的企业标准及产品明示质量指标和要求</w:t>
      </w:r>
      <w:r>
        <w:rPr>
          <w:rFonts w:hint="eastAsia" w:ascii="仿宋_GB2312" w:hAnsi="仿宋_GB2312" w:eastAsia="仿宋_GB2312" w:cs="仿宋_GB2312"/>
          <w:sz w:val="32"/>
          <w:szCs w:val="32"/>
          <w:lang w:eastAsia="zh-CN"/>
        </w:rPr>
        <w:t>。</w:t>
      </w:r>
    </w:p>
    <w:p>
      <w:pPr>
        <w:spacing w:line="560" w:lineRule="exact"/>
        <w:ind w:firstLine="640" w:firstLineChars="200"/>
        <w:rPr>
          <w:rFonts w:eastAsia="黑体"/>
          <w:sz w:val="32"/>
          <w:szCs w:val="32"/>
        </w:rPr>
      </w:pPr>
      <w:r>
        <w:rPr>
          <w:rFonts w:hint="eastAsia" w:ascii="楷体_GB2312" w:hAnsi="楷体_GB2312" w:eastAsia="楷体_GB2312" w:cs="楷体_GB2312"/>
          <w:bCs/>
          <w:color w:val="auto"/>
          <w:sz w:val="32"/>
          <w:szCs w:val="32"/>
          <w:lang w:eastAsia="zh-CN"/>
        </w:rPr>
        <w:t>（二）</w:t>
      </w:r>
      <w:r>
        <w:rPr>
          <w:rFonts w:hint="eastAsia" w:ascii="楷体_GB2312" w:hAnsi="楷体_GB2312" w:eastAsia="楷体_GB2312" w:cs="楷体_GB2312"/>
          <w:bCs/>
          <w:color w:val="auto"/>
          <w:sz w:val="32"/>
          <w:szCs w:val="32"/>
        </w:rPr>
        <w:t>判定原则</w:t>
      </w:r>
    </w:p>
    <w:p>
      <w:pPr>
        <w:spacing w:line="560" w:lineRule="exact"/>
        <w:ind w:firstLine="640" w:firstLineChars="200"/>
        <w:rPr>
          <w:rFonts w:ascii="楷体" w:hAnsi="楷体" w:eastAsia="楷体"/>
          <w:sz w:val="32"/>
          <w:szCs w:val="32"/>
        </w:rPr>
      </w:pPr>
      <w:r>
        <w:rPr>
          <w:rFonts w:hint="eastAsia" w:ascii="楷体" w:hAnsi="楷体" w:eastAsia="楷体"/>
          <w:sz w:val="32"/>
          <w:szCs w:val="32"/>
          <w:lang w:val="en-US" w:eastAsia="zh-CN"/>
        </w:rPr>
        <w:t>1.</w:t>
      </w:r>
      <w:r>
        <w:rPr>
          <w:rFonts w:hint="eastAsia" w:ascii="楷体" w:hAnsi="楷体" w:eastAsia="楷体"/>
          <w:sz w:val="32"/>
          <w:szCs w:val="32"/>
        </w:rPr>
        <w:t>样本判定。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依据所检质量指标的重要程度及不合格的严重程度，对样本进行综合判定。对于不合格的样本，判定结果分为严重不合格和不合格两类。样本不合格程度分类如下表所示：</w:t>
      </w:r>
    </w:p>
    <w:tbl>
      <w:tblPr>
        <w:tblStyle w:val="3"/>
        <w:tblW w:w="88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0"/>
        <w:gridCol w:w="2662"/>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7052" w:type="dxa"/>
            <w:gridSpan w:val="2"/>
            <w:vAlign w:val="center"/>
          </w:tcPr>
          <w:p>
            <w:pPr>
              <w:jc w:val="center"/>
              <w:rPr>
                <w:rFonts w:eastAsia="仿宋"/>
                <w:sz w:val="24"/>
              </w:rPr>
            </w:pPr>
            <w:r>
              <w:rPr>
                <w:rFonts w:hint="eastAsia" w:eastAsia="仿宋"/>
                <w:sz w:val="24"/>
              </w:rPr>
              <w:t>质量指标重要程度及不合格严重程度</w:t>
            </w:r>
          </w:p>
        </w:tc>
        <w:tc>
          <w:tcPr>
            <w:tcW w:w="1750" w:type="dxa"/>
            <w:vMerge w:val="restart"/>
            <w:vAlign w:val="center"/>
          </w:tcPr>
          <w:p>
            <w:pPr>
              <w:jc w:val="center"/>
              <w:rPr>
                <w:rFonts w:eastAsia="仿宋"/>
                <w:sz w:val="24"/>
              </w:rPr>
            </w:pPr>
            <w:r>
              <w:rPr>
                <w:rFonts w:eastAsia="仿宋"/>
                <w:sz w:val="24"/>
              </w:rPr>
              <w:t>不合格类型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4390" w:type="dxa"/>
            <w:vAlign w:val="center"/>
          </w:tcPr>
          <w:p>
            <w:pPr>
              <w:jc w:val="center"/>
              <w:rPr>
                <w:rFonts w:eastAsia="仿宋"/>
                <w:sz w:val="24"/>
              </w:rPr>
            </w:pPr>
            <w:r>
              <w:rPr>
                <w:rFonts w:hint="eastAsia" w:eastAsia="仿宋"/>
                <w:sz w:val="24"/>
              </w:rPr>
              <w:t>定量型质量指标</w:t>
            </w:r>
          </w:p>
        </w:tc>
        <w:tc>
          <w:tcPr>
            <w:tcW w:w="2662" w:type="dxa"/>
            <w:vAlign w:val="center"/>
          </w:tcPr>
          <w:p>
            <w:pPr>
              <w:jc w:val="center"/>
              <w:rPr>
                <w:rFonts w:eastAsia="仿宋"/>
                <w:sz w:val="24"/>
              </w:rPr>
            </w:pPr>
            <w:r>
              <w:rPr>
                <w:rFonts w:hint="eastAsia" w:eastAsia="仿宋"/>
                <w:sz w:val="24"/>
              </w:rPr>
              <w:t>定性型质量指标</w:t>
            </w: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4390" w:type="dxa"/>
            <w:vAlign w:val="center"/>
          </w:tcPr>
          <w:p>
            <w:pPr>
              <w:jc w:val="center"/>
              <w:rPr>
                <w:rFonts w:eastAsia="仿宋"/>
                <w:sz w:val="24"/>
              </w:rPr>
            </w:pPr>
            <w:r>
              <w:rPr>
                <w:rFonts w:eastAsia="仿宋"/>
                <w:sz w:val="24"/>
              </w:rPr>
              <w:t>重要质量</w:t>
            </w:r>
            <w:r>
              <w:rPr>
                <w:rFonts w:hint="eastAsia" w:eastAsia="仿宋"/>
                <w:sz w:val="24"/>
              </w:rPr>
              <w:t>指标</w:t>
            </w:r>
            <w:r>
              <w:rPr>
                <w:rFonts w:eastAsia="仿宋"/>
                <w:sz w:val="24"/>
              </w:rPr>
              <w:t>严重不合格</w:t>
            </w:r>
          </w:p>
        </w:tc>
        <w:tc>
          <w:tcPr>
            <w:tcW w:w="2662" w:type="dxa"/>
            <w:vAlign w:val="center"/>
          </w:tcPr>
          <w:p>
            <w:pPr>
              <w:rPr>
                <w:rFonts w:eastAsia="仿宋"/>
                <w:sz w:val="24"/>
              </w:rPr>
            </w:pPr>
            <w:r>
              <w:rPr>
                <w:rFonts w:eastAsia="仿宋"/>
                <w:sz w:val="24"/>
              </w:rPr>
              <w:t>重要</w:t>
            </w:r>
            <w:r>
              <w:rPr>
                <w:rFonts w:hint="eastAsia" w:eastAsia="仿宋"/>
                <w:sz w:val="24"/>
              </w:rPr>
              <w:t>质量指标</w:t>
            </w:r>
            <w:r>
              <w:rPr>
                <w:rFonts w:eastAsia="仿宋"/>
                <w:sz w:val="24"/>
              </w:rPr>
              <w:t>不合格</w:t>
            </w:r>
          </w:p>
        </w:tc>
        <w:tc>
          <w:tcPr>
            <w:tcW w:w="1750" w:type="dxa"/>
            <w:vAlign w:val="center"/>
          </w:tcPr>
          <w:p>
            <w:pPr>
              <w:jc w:val="center"/>
              <w:rPr>
                <w:rFonts w:eastAsia="仿宋"/>
                <w:sz w:val="24"/>
              </w:rPr>
            </w:pPr>
            <w:r>
              <w:rPr>
                <w:rFonts w:hint="eastAsia" w:eastAsia="仿宋"/>
                <w:sz w:val="24"/>
              </w:rPr>
              <w:t>严重</w:t>
            </w:r>
            <w:r>
              <w:rPr>
                <w:rFonts w:eastAsia="仿宋"/>
                <w:sz w:val="24"/>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4390" w:type="dxa"/>
            <w:vAlign w:val="center"/>
          </w:tcPr>
          <w:p>
            <w:pPr>
              <w:jc w:val="center"/>
              <w:rPr>
                <w:rFonts w:eastAsia="仿宋"/>
                <w:sz w:val="24"/>
              </w:rPr>
            </w:pPr>
            <w:r>
              <w:rPr>
                <w:rFonts w:eastAsia="仿宋"/>
                <w:sz w:val="24"/>
              </w:rPr>
              <w:t>重要质量</w:t>
            </w:r>
            <w:r>
              <w:rPr>
                <w:rFonts w:hint="eastAsia" w:eastAsia="仿宋"/>
                <w:sz w:val="24"/>
              </w:rPr>
              <w:t>指标</w:t>
            </w:r>
            <w:r>
              <w:rPr>
                <w:rFonts w:eastAsia="仿宋"/>
                <w:sz w:val="24"/>
              </w:rPr>
              <w:t>不合格</w:t>
            </w:r>
          </w:p>
        </w:tc>
        <w:tc>
          <w:tcPr>
            <w:tcW w:w="2662" w:type="dxa"/>
            <w:vMerge w:val="restart"/>
            <w:vAlign w:val="center"/>
          </w:tcPr>
          <w:p>
            <w:pPr>
              <w:rPr>
                <w:rFonts w:eastAsia="仿宋"/>
                <w:sz w:val="24"/>
              </w:rPr>
            </w:pPr>
            <w:r>
              <w:rPr>
                <w:rFonts w:hint="eastAsia" w:eastAsia="仿宋"/>
                <w:sz w:val="24"/>
              </w:rPr>
              <w:t>较</w:t>
            </w:r>
            <w:r>
              <w:rPr>
                <w:rFonts w:eastAsia="仿宋"/>
                <w:sz w:val="24"/>
              </w:rPr>
              <w:t>重要</w:t>
            </w:r>
            <w:r>
              <w:rPr>
                <w:rFonts w:hint="eastAsia" w:eastAsia="仿宋"/>
                <w:sz w:val="24"/>
              </w:rPr>
              <w:t>质量指标</w:t>
            </w:r>
            <w:r>
              <w:rPr>
                <w:rFonts w:eastAsia="仿宋"/>
                <w:sz w:val="24"/>
              </w:rPr>
              <w:t>不合格</w:t>
            </w:r>
          </w:p>
        </w:tc>
        <w:tc>
          <w:tcPr>
            <w:tcW w:w="1750" w:type="dxa"/>
            <w:vMerge w:val="restart"/>
            <w:vAlign w:val="center"/>
          </w:tcPr>
          <w:p>
            <w:pPr>
              <w:jc w:val="center"/>
              <w:rPr>
                <w:rFonts w:eastAsia="仿宋"/>
                <w:sz w:val="24"/>
              </w:rPr>
            </w:pPr>
            <w:r>
              <w:rPr>
                <w:rFonts w:eastAsia="仿宋"/>
                <w:sz w:val="24"/>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390" w:type="dxa"/>
            <w:vAlign w:val="center"/>
          </w:tcPr>
          <w:p>
            <w:pPr>
              <w:jc w:val="center"/>
              <w:rPr>
                <w:rFonts w:eastAsia="仿宋"/>
                <w:sz w:val="24"/>
              </w:rPr>
            </w:pPr>
            <w:r>
              <w:rPr>
                <w:rFonts w:eastAsia="仿宋"/>
                <w:sz w:val="24"/>
              </w:rPr>
              <w:t>较重要质量</w:t>
            </w:r>
            <w:r>
              <w:rPr>
                <w:rFonts w:hint="eastAsia" w:eastAsia="仿宋"/>
                <w:sz w:val="24"/>
              </w:rPr>
              <w:t>指标</w:t>
            </w:r>
            <w:r>
              <w:rPr>
                <w:rFonts w:eastAsia="仿宋"/>
                <w:sz w:val="24"/>
              </w:rPr>
              <w:t>严重不合格</w:t>
            </w:r>
            <w:r>
              <w:rPr>
                <w:rFonts w:hint="eastAsia" w:eastAsia="仿宋"/>
                <w:sz w:val="24"/>
              </w:rPr>
              <w:t>或不合格</w:t>
            </w:r>
          </w:p>
        </w:tc>
        <w:tc>
          <w:tcPr>
            <w:tcW w:w="2662" w:type="dxa"/>
            <w:vMerge w:val="continue"/>
            <w:vAlign w:val="center"/>
          </w:tcPr>
          <w:p>
            <w:pPr>
              <w:ind w:firstLine="480" w:firstLineChars="200"/>
              <w:rPr>
                <w:rFonts w:eastAsia="仿宋"/>
                <w:sz w:val="24"/>
              </w:rPr>
            </w:pP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4390" w:type="dxa"/>
            <w:vAlign w:val="center"/>
          </w:tcPr>
          <w:p>
            <w:pPr>
              <w:ind w:firstLine="480" w:firstLineChars="200"/>
              <w:rPr>
                <w:rFonts w:eastAsia="仿宋"/>
                <w:sz w:val="24"/>
              </w:rPr>
            </w:pPr>
            <w:r>
              <w:rPr>
                <w:rFonts w:eastAsia="仿宋"/>
                <w:sz w:val="24"/>
              </w:rPr>
              <w:t>次要质量</w:t>
            </w:r>
            <w:r>
              <w:rPr>
                <w:rFonts w:hint="eastAsia" w:eastAsia="仿宋"/>
                <w:sz w:val="24"/>
              </w:rPr>
              <w:t>指标严重</w:t>
            </w:r>
            <w:r>
              <w:rPr>
                <w:rFonts w:eastAsia="仿宋"/>
                <w:sz w:val="24"/>
              </w:rPr>
              <w:t>不合格</w:t>
            </w:r>
            <w:r>
              <w:rPr>
                <w:rFonts w:hint="eastAsia" w:eastAsia="仿宋"/>
                <w:sz w:val="24"/>
              </w:rPr>
              <w:t>或不合格</w:t>
            </w:r>
          </w:p>
        </w:tc>
        <w:tc>
          <w:tcPr>
            <w:tcW w:w="2662" w:type="dxa"/>
            <w:vAlign w:val="center"/>
          </w:tcPr>
          <w:p>
            <w:pPr>
              <w:rPr>
                <w:rFonts w:eastAsia="仿宋"/>
                <w:sz w:val="24"/>
              </w:rPr>
            </w:pPr>
            <w:r>
              <w:rPr>
                <w:rFonts w:hint="eastAsia" w:eastAsia="仿宋"/>
                <w:sz w:val="24"/>
              </w:rPr>
              <w:t>次要质量指标不合格</w:t>
            </w: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802" w:type="dxa"/>
            <w:gridSpan w:val="3"/>
            <w:vAlign w:val="center"/>
          </w:tcPr>
          <w:p>
            <w:pPr>
              <w:rPr>
                <w:rFonts w:eastAsia="仿宋"/>
                <w:szCs w:val="21"/>
              </w:rPr>
            </w:pPr>
            <w:r>
              <w:rPr>
                <w:rFonts w:hint="eastAsia" w:eastAsia="仿宋"/>
                <w:szCs w:val="21"/>
              </w:rPr>
              <w:t>注：样本中累积出现3个及以上定量型的较重要质量指标严重不合格或重要质量指标不合格，宜判定样本为严重不合格。</w:t>
            </w:r>
          </w:p>
        </w:tc>
      </w:tr>
    </w:tbl>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样本单元上，存在重要定量型质量指标严重不合格或重要定性型质量指标不合格时，判定样本单元为严重不合格；存在重要定量型质量指标不合格，或较重要定量型质量指标严重不合格或不合格，或次要定量型指标严重不合格或不合格，或存在较重要定性型质量指标不合格，或次要定性型质量指标不合格时，判定样本单元为不合格。</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监督总体判定。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若所检样本为严重不合格品，判定该监督总体为严重不合格；若所检样本为不合格，判定该监督总体为不合格若样本所检质量指标均合格， 判定为所检样本未发现不合格，不判定监督总本合格。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当被检样品明示的质量要求优于本方案中检验指标依据的标准要求时，应按被检样品明示的质量要求判定。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当被检样品明示的质量要求劣于或不包含本方案中检验指标依据的强制性标准要求时，应按照强制性标准要求判定。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当被检样品明示的质量要求劣于或包含本方案中检验项目依据的推荐性标准要求时，应以被检样品明示的质量要求判定，如相应检验结果不符合相关推荐标准要求时，应在检验报告中予以说明。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当被检样品明示的质量要求不包含本方案中检验指标依据的推荐性标准要求时，该指标不参与判定，但应在检验报告备注中进行说明。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当被检样品未能提供有效的企业标准时，按相关国家或行业标准进行判定。</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按照产品质量相关法律法规的规定判定。</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lang w:val="en-US" w:eastAsia="zh-CN"/>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D237B4"/>
    <w:rsid w:val="12440AA3"/>
    <w:rsid w:val="14D237B4"/>
    <w:rsid w:val="2B1827F9"/>
    <w:rsid w:val="3821444A"/>
    <w:rsid w:val="6E9D6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widowControl w:val="0"/>
      <w:jc w:val="both"/>
    </w:pPr>
    <w:rPr>
      <w:rFonts w:ascii="宋体" w:hAnsi="Courier New"/>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2022-04-20T06:49:00Z</dcterms:created>
  <dc:creator>李文湘</dc:creator>
  <cp:lastModifiedBy>李文湘</cp:lastModifiedBy>
  <dcterms:modified xsi:type="dcterms:W3CDTF">2022-05-18T08:47:02Z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