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72" w:lineRule="exact"/>
      </w:pPr>
    </w:p>
    <w:p>
      <w:pPr>
        <w:spacing w:line="72" w:lineRule="exact"/>
      </w:pPr>
    </w:p>
    <w:p>
      <w:pPr>
        <w:spacing w:line="72" w:lineRule="exact"/>
        <w:rPr>
          <w:rFonts w:hint="eastAsia" w:ascii="宋体" w:hAnsi="宋体" w:eastAsia="宋体" w:cs="宋体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汕尾市公共服务“十四五”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期间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主要目标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任务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清单</w:t>
      </w:r>
    </w:p>
    <w:p>
      <w:pPr>
        <w:spacing w:line="72" w:lineRule="exact"/>
      </w:pPr>
    </w:p>
    <w:p>
      <w:pPr>
        <w:spacing w:line="72" w:lineRule="exact"/>
      </w:pPr>
    </w:p>
    <w:p>
      <w:pPr>
        <w:spacing w:line="72" w:lineRule="exact"/>
      </w:pPr>
    </w:p>
    <w:tbl>
      <w:tblPr>
        <w:tblStyle w:val="5"/>
        <w:tblW w:w="9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6194"/>
        <w:gridCol w:w="23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6" w:hRule="atLeast"/>
        </w:trPr>
        <w:tc>
          <w:tcPr>
            <w:tcW w:w="9291" w:type="dxa"/>
            <w:gridSpan w:val="3"/>
            <w:vAlign w:val="center"/>
          </w:tcPr>
          <w:p>
            <w:pPr>
              <w:spacing w:before="50" w:line="184" w:lineRule="auto"/>
              <w:jc w:val="center"/>
              <w:rPr>
                <w:rFonts w:hint="eastAsia" w:ascii="黑体" w:hAnsi="黑体" w:eastAsia="黑体" w:cs="黑体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eastAsia="zh-CN"/>
              </w:rPr>
              <w:t>主要目标分工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21" w:type="dxa"/>
            <w:vAlign w:val="center"/>
          </w:tcPr>
          <w:p>
            <w:pPr>
              <w:spacing w:before="50" w:line="184" w:lineRule="auto"/>
              <w:ind w:firstLine="158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194" w:type="dxa"/>
            <w:vAlign w:val="center"/>
          </w:tcPr>
          <w:p>
            <w:pPr>
              <w:spacing w:before="50" w:line="184" w:lineRule="auto"/>
              <w:ind w:firstLine="269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主要指标</w:t>
            </w:r>
          </w:p>
        </w:tc>
        <w:tc>
          <w:tcPr>
            <w:tcW w:w="2376" w:type="dxa"/>
            <w:vAlign w:val="center"/>
          </w:tcPr>
          <w:p>
            <w:pPr>
              <w:spacing w:before="50" w:line="184" w:lineRule="auto"/>
              <w:ind w:firstLine="78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29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人均预期寿命达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79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岁以上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6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309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6" w:lineRule="exact"/>
              <w:ind w:firstLine="115"/>
              <w:jc w:val="both"/>
              <w:rPr>
                <w:rFonts w:hint="default" w:ascii="黑体" w:hAnsi="黑体" w:eastAsia="黑体" w:cs="黑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常住人口城镇化率达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u w:val="none"/>
                <w:lang w:val="en-US" w:eastAsia="zh-CN"/>
              </w:rPr>
              <w:t>64.2%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发展改革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31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每千人口拥有3岁以下婴幼儿托位数达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个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0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eastAsia="zh-CN"/>
              </w:rPr>
              <w:t>以乡镇（街道）为单位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适龄儿童免疫规划疫苗接种率达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4" w:hRule="atLeast"/>
        </w:trPr>
        <w:tc>
          <w:tcPr>
            <w:tcW w:w="721" w:type="dxa"/>
            <w:vAlign w:val="center"/>
          </w:tcPr>
          <w:p>
            <w:pPr>
              <w:spacing w:line="303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1" w:line="180" w:lineRule="auto"/>
              <w:ind w:firstLine="314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6194" w:type="dxa"/>
            <w:vAlign w:val="center"/>
          </w:tcPr>
          <w:p>
            <w:pPr>
              <w:spacing w:line="247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9" w:line="208" w:lineRule="auto"/>
              <w:ind w:firstLine="108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孤儿和事实无人抚养儿童保障应保尽保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53" w:lineRule="auto"/>
              <w:ind w:left="113" w:right="166" w:firstLine="4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13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09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普惠性幼儿园在园幼儿数比重稳定在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黑体" w:hAnsi="黑体" w:eastAsia="黑体" w:cs="黑体"/>
                <w:spacing w:val="-4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312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九年义务教育巩固率稳定在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17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高中阶段教育毛入学率稳定在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9</w:t>
            </w:r>
          </w:p>
        </w:tc>
        <w:tc>
          <w:tcPr>
            <w:tcW w:w="6194" w:type="dxa"/>
            <w:vAlign w:val="center"/>
          </w:tcPr>
          <w:p>
            <w:pPr>
              <w:spacing w:before="37" w:line="208" w:lineRule="auto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劳动年龄人口平均受教育年限达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11.5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年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81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4" w:type="dxa"/>
            <w:vAlign w:val="center"/>
          </w:tcPr>
          <w:p>
            <w:pPr>
              <w:spacing w:before="37" w:line="208" w:lineRule="auto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零就业家庭动态清零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9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“十四五”期间城镇新增就业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17.5万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18" w:line="276" w:lineRule="exact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城镇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登记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失业率控制在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以内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9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“十四五”期间开展补贴性职业技能培训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8万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人次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失业保险参保人数达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14万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2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工伤保险参保人数达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pacing w:val="-39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8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社会保障卡持卡人数达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268万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94" w:type="dxa"/>
            <w:vAlign w:val="center"/>
          </w:tcPr>
          <w:p>
            <w:pPr>
              <w:spacing w:before="17" w:line="276" w:lineRule="exact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居民健康素养水平达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6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94" w:type="dxa"/>
            <w:vAlign w:val="center"/>
          </w:tcPr>
          <w:p>
            <w:pPr>
              <w:spacing w:before="34" w:line="208" w:lineRule="auto"/>
              <w:ind w:firstLine="112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孕产妇死亡率小于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8/10万人</w:t>
            </w:r>
          </w:p>
        </w:tc>
        <w:tc>
          <w:tcPr>
            <w:tcW w:w="2376" w:type="dxa"/>
            <w:vAlign w:val="center"/>
          </w:tcPr>
          <w:p>
            <w:pPr>
              <w:spacing w:before="34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2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5岁以下儿童死亡率小于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‰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721" w:type="dxa"/>
            <w:vAlign w:val="center"/>
          </w:tcPr>
          <w:p>
            <w:pPr>
              <w:spacing w:before="86" w:line="180" w:lineRule="auto"/>
              <w:ind w:firstLine="25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每千人口拥有医疗机构床位数达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8.05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张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每千人口拥有注册护士数达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2.35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每万人口拥有全科医师数达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721" w:type="dxa"/>
            <w:vAlign w:val="center"/>
          </w:tcPr>
          <w:p>
            <w:pPr>
              <w:spacing w:before="86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94" w:type="dxa"/>
            <w:vAlign w:val="center"/>
          </w:tcPr>
          <w:p>
            <w:pPr>
              <w:spacing w:before="34" w:line="208" w:lineRule="auto"/>
              <w:ind w:firstLine="11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每千人口拥有执业（助理）医师数达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1.87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4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94" w:type="dxa"/>
            <w:vAlign w:val="center"/>
          </w:tcPr>
          <w:p>
            <w:pPr>
              <w:spacing w:before="17" w:line="276" w:lineRule="exact"/>
              <w:ind w:firstLine="11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基本医疗保险参保率稳定在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以上</w:t>
            </w:r>
          </w:p>
        </w:tc>
        <w:tc>
          <w:tcPr>
            <w:tcW w:w="2376" w:type="dxa"/>
            <w:vAlign w:val="center"/>
          </w:tcPr>
          <w:p>
            <w:pPr>
              <w:spacing w:before="34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市医疗保障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94" w:type="dxa"/>
            <w:vAlign w:val="center"/>
          </w:tcPr>
          <w:p>
            <w:pPr>
              <w:spacing w:before="18" w:line="276" w:lineRule="exact"/>
              <w:ind w:firstLine="11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基本养老保险参保率达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9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9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乡镇（街道）范围具备综合功能的养老服务设施覆盖率达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6" w:lineRule="exact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养老机构护理型床位占比达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4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94" w:type="dxa"/>
            <w:vAlign w:val="center"/>
          </w:tcPr>
          <w:p>
            <w:pPr>
              <w:spacing w:before="39" w:line="208" w:lineRule="auto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新建城区、新建居住区配套建设养老服务设施达标率达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60"/>
              <w:jc w:val="both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65岁以上老人家庭医生签约服务覆盖率达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6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公共租赁住房累计保障户数达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3700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户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26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40" w:line="208" w:lineRule="auto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符合条件的城镇低保低收入住房困难家庭公租房保障率达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40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3" w:line="180" w:lineRule="auto"/>
              <w:ind w:firstLine="26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41" w:line="208" w:lineRule="auto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符合条件的农村低收入群体住房安全保障率达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41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6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特殊困难老年人月探访率达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245" w:line="180" w:lineRule="auto"/>
              <w:ind w:firstLine="26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42" w:lineRule="auto"/>
              <w:ind w:left="110" w:leftChars="0" w:right="208" w:rightChars="0" w:hanging="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“广东兜底民生服务社会工作双百工程”乡镇（街道）社工站覆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193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6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28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困难残疾人生活补贴目标人群覆盖率达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6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11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重度残疾人护理补贴目标人群覆盖率达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6" w:lineRule="exact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残疾人基本康复服务覆盖率达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40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194" w:type="dxa"/>
            <w:vAlign w:val="center"/>
          </w:tcPr>
          <w:p>
            <w:pPr>
              <w:spacing w:before="39" w:line="208" w:lineRule="auto"/>
              <w:ind w:firstLine="111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符合接收安置条件的退役军人安置率保持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退役军人事务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194" w:type="dxa"/>
            <w:vAlign w:val="center"/>
          </w:tcPr>
          <w:p>
            <w:pPr>
              <w:spacing w:before="39" w:line="208" w:lineRule="auto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每万人公共文化设施面积达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1306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平方米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1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人均体育场地面积达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5" w:lineRule="exact"/>
              <w:ind w:firstLine="13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国民体质测定标准合格率达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93.5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应急广播主动发布终端人口覆盖率达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tbl>
      <w:tblPr>
        <w:tblStyle w:val="5"/>
        <w:tblpPr w:leftFromText="180" w:rightFromText="180" w:vertAnchor="text" w:horzAnchor="page" w:tblpX="1310" w:tblpY="25"/>
        <w:tblOverlap w:val="never"/>
        <w:tblW w:w="93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86"/>
        <w:gridCol w:w="2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300" w:type="dxa"/>
            <w:gridSpan w:val="3"/>
            <w:vAlign w:val="center"/>
          </w:tcPr>
          <w:p>
            <w:pPr>
              <w:tabs>
                <w:tab w:val="left" w:pos="4481"/>
              </w:tabs>
              <w:spacing w:before="103" w:line="230" w:lineRule="auto"/>
              <w:ind w:left="980" w:right="254" w:hanging="727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  <w:lang w:eastAsia="zh-CN"/>
              </w:rPr>
              <w:t>主要任务分工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4" w:hRule="atLeast"/>
        </w:trPr>
        <w:tc>
          <w:tcPr>
            <w:tcW w:w="710" w:type="dxa"/>
            <w:vAlign w:val="top"/>
          </w:tcPr>
          <w:p>
            <w:pPr>
              <w:spacing w:line="262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68" w:line="184" w:lineRule="auto"/>
              <w:ind w:firstLine="158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5986" w:type="dxa"/>
            <w:vAlign w:val="top"/>
          </w:tcPr>
          <w:p>
            <w:pPr>
              <w:spacing w:line="262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68" w:line="184" w:lineRule="auto"/>
              <w:ind w:firstLine="2693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主要任务</w:t>
            </w:r>
          </w:p>
        </w:tc>
        <w:tc>
          <w:tcPr>
            <w:tcW w:w="2604" w:type="dxa"/>
            <w:vAlign w:val="top"/>
          </w:tcPr>
          <w:p>
            <w:pPr>
              <w:spacing w:before="53" w:line="184" w:lineRule="auto"/>
              <w:ind w:firstLine="785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责任单位</w:t>
            </w:r>
          </w:p>
          <w:p>
            <w:pPr>
              <w:spacing w:before="103" w:line="230" w:lineRule="auto"/>
              <w:ind w:left="980" w:right="254" w:hanging="727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（排第一的为牵头单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促进基本公共服务均等可及。加强标准化建设，提升均等化水平，促进服务便利可及。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1"/>
                <w:szCs w:val="21"/>
                <w:lang w:eastAsia="zh-CN"/>
              </w:rPr>
              <w:t>市发展改革局、市财政局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扩大适度普惠公共服务供给。发挥政府主导作用，培育多元供给主体，加强重点领域普惠公共服务供给。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1"/>
                <w:szCs w:val="21"/>
                <w:lang w:eastAsia="zh-CN"/>
              </w:rPr>
              <w:t>市发展改革局、市财政局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拓展多样化个性化生活服务。逐步放宽市场准入，加强对外交流合作，推进品牌化发展。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1"/>
                <w:szCs w:val="21"/>
                <w:lang w:eastAsia="zh-CN"/>
              </w:rPr>
              <w:t>市发展改革局、市商务局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、市市场监管局，相关行业主管部门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保持人口总量势能优势。增强生育政策包容性，切实降低生养子女成本，提高流动人口服务管理水平，加强人口发展预测。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市发展改革局、市卫生健康局、市公安局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持续优化人口空间布局。加快推进以人为核心的新型城镇化，不断深化户籍制度改革，不断完善区域人口布局。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推动“公共资源随人走”。提高制度统筹能力，建立资源投入挂钩机制，优化城乡公共资源布局。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1"/>
                <w:szCs w:val="21"/>
                <w:lang w:eastAsia="zh-CN"/>
              </w:rPr>
              <w:t>市发展改革局、市财政局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、市自然资源局，市委编办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0" w:type="dxa"/>
            <w:vAlign w:val="top"/>
          </w:tcPr>
          <w:p>
            <w:pPr>
              <w:spacing w:line="303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实施公共服务补短板工程。完善统筹协调机制，强化公共服务内生动力，强化公共服务 区域合作机制。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1"/>
                <w:szCs w:val="21"/>
                <w:lang w:eastAsia="zh-CN"/>
              </w:rPr>
              <w:t>市发展改革局、市财政局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、相关行业主管部门，各县（市、区）人民政府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3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实施乡村公共服务提升工程。健全城乡融合发展机制，完善乡村公共服务网络，加强乡村公共服务人才队伍建设。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市农业农村局、市发展改革局，市委组织部， 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16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提升优孕优生水平。综合防控出生缺陷，强化孕育健康服务。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市卫生健康局，市妇联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5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加快普惠托育发展。增强家庭照护能力，拓展社区托育服务，规范发展托育服务机构。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10" w:type="dxa"/>
            <w:vAlign w:val="top"/>
          </w:tcPr>
          <w:p>
            <w:pPr>
              <w:spacing w:before="248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促进儿童健康成长。提升儿童健康服务水平，加强儿童关爱保障服务。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1"/>
                <w:szCs w:val="21"/>
                <w:lang w:eastAsia="zh-CN"/>
              </w:rPr>
              <w:t>市民政局、市卫生健康局，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团市委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8" w:hRule="atLeast"/>
        </w:trPr>
        <w:tc>
          <w:tcPr>
            <w:tcW w:w="710" w:type="dxa"/>
            <w:vAlign w:val="top"/>
          </w:tcPr>
          <w:p>
            <w:pPr>
              <w:spacing w:before="247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提升养老服务能力。提升居家社区养老品质，强化养老机构服务能力，推进医养康养融合发展。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市民政局、市卫生健康局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1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扩大为老服务供给。完善多层次养老保险制度，加强养老助老服务，加快发展银发经济。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   局、市民政局、市卫生健康局、市工业和信息化局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推进基础教育公平优质发展。大力增加学位供给，全面提升教育质量，促进教育资源均衡，完善招生考试制度。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推动职业教育提内涵强服务。构建现代职业教育体系，提升职业教育内涵。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推动高等教育分类发展。推动高等教育普及发展，提升高等教育育人水平。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加快终身教育发展。推动继续教育提升发展，大力发展社区教育和老年教育，打造开放畅通的人才成长通道。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鼓励社会力量投入教育。发展教育培训服务业，深化民办教育分类管理改革，实施民办学校规范达标和品牌提升计划。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4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强化就业优先政策。稳定和扩大就业增长点，加强公共就业创业服务，健全终身职业技能培训体系，完善兜底安置和失业预警机制，积极开发老龄人力资源。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   局、市发展改革局、市教育局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完善促进就业的社会保险制度。完善失业保险制度，完善工伤保险制度，构建新业态用工和社保制度。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2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1"/>
                <w:szCs w:val="21"/>
                <w:lang w:eastAsia="zh-CN"/>
              </w:rPr>
              <w:t>加快现代人力资源服务业发展。建设现代化人力资源服务体系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，加强人力资源服务产业园建设，实施人力资源服务骨干企业培育工程。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8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构建就业导向收入增长机制。深化收入分配制度改革，促进劳动者工资合理增长，逐步缩小区域城乡收入差距。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1"/>
                <w:szCs w:val="21"/>
                <w:lang w:eastAsia="zh-CN"/>
              </w:rPr>
              <w:t>市人力资源社会保障 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、市发展改革局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2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增强公共卫生服务能力。加强疾病预防控制服务体系建设，加强重大疫情救治体系建设，完善基本公共卫生服务体系，提升卫生应急能力。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85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推动优质医疗资源均衡发展。优化省域优质医疗资源布局，大力提升县域医疗服务能力，改善优化医疗卫生服务。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0" w:type="dxa"/>
            <w:vAlign w:val="top"/>
          </w:tcPr>
          <w:p>
            <w:pPr>
              <w:spacing w:line="248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59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提升中医药服务能力。加强中医药诊疗机构内涵建设，强化中医药保护传承，推进中医药创新发展。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5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深化医药卫生体制改革。深化分级诊疗制度改革，强化公立医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1"/>
                <w:szCs w:val="21"/>
                <w:lang w:eastAsia="zh-CN"/>
              </w:rPr>
              <w:t>院绩效考核改革，完善医疗保障制度，完善药品供应保障制度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，规范发展社会办医。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市卫生健康局、市医疗保障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44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3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促进健康服务业快速发展。创新发展高端医疗技术服务，推动健康服务多样化发展，积极发展商业健康保险。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市卫生健康局、市发展改革局、市金融工作局， 汕尾银保监分局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扩大保障性住房供给。做好公共租赁住房保障，重点发展政策</w:t>
            </w: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  <w:lang w:eastAsia="zh-CN"/>
              </w:rPr>
              <w:t>性租赁住房，因地制宜发展共有产权房，稳步推进棚户区改造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5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深化住房制度改革。优化住房供给结构，培育和发展住房租赁市场，促进商品房市场健康发展。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7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提高住房宜居水平。全面推进城镇老旧小区改造，改善农村人居环境。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市住房城乡建设局、市农业农村局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5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提升社会救助和社会福利水平。夯实基本生活救助，完善专项和急难社会救助，健全社会福利服务网络。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  <w:lang w:eastAsia="zh-CN"/>
              </w:rPr>
              <w:t>市民政局、市应急管理局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、市医疗保障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、市残联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加强公共法律服务供给。持续推进法律援助惠民生，促进人民调解服务专业化多元化发展，深化村（社区）法律顾问服务，加强法治宣传教育。</w:t>
            </w:r>
          </w:p>
        </w:tc>
        <w:tc>
          <w:tcPr>
            <w:tcW w:w="2604" w:type="dxa"/>
            <w:vAlign w:val="top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</w:p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强化残疾人保障和发展。保障残疾人基本民生，推动残疾人就业 创业，优化残疾人健康和教育服务，维护残疾人合法权益，加快残疾人事业现代化进程。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市残联，相关行业主管 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加大退役军人安置力度。健全移交安置机制，改进安置办法，提高安置质量，提升服务保障水平。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促进退役军人就业创业。加强教育培训，促进多渠道就业，强化创业支持。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提高优待抚恤服务水平。提升优待抚恤水平，加强集中供养服务，强化精神褒奖和荣誉激励。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丰富公共文化供给。完善公共文化设施，开展文化惠民服务，繁荣文艺创作展演。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市委宣传部，市文化广电旅游体育局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75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开展全民健身行动。优化场地设施资源配置，广泛开展全民健身赛事活动。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11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right="166" w:firstLine="204" w:firstLineChars="10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改善国民休闲品质。完善国民休闲制度，拓展国民休闲空间。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63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推动多元业态发展。大力发展现代文化产业，促进体育产业发展和消费升级，提升全域现代旅游服务。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市委宣传部，市文化广电旅游体育局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77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加强人才队伍建设。构建全方位人才培养体系，引导人才向基层一线流动，深化专业技术职称制度改革，完善事业单位薪酬制度 改革。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市委组织部、人力资源社会保障局，相关行业主管部门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72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1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强化财政保障能力。优先保障公共服务支出投入，理顺财政事权和支出责任划分，强化财力投入绩效评价。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 w:firstLine="204" w:firstLineChars="10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市财政局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319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完善土地供给机制。合理规划用地布局，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优先保障用地指标，依法保障各类主体用地。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70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0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加快数字化发展。拓展数字化公共服务，提升在线公共服务水平，加强数据资源开发使用。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相关行业主管部门，市 发展改革局、市科技局、市工业和信息化局、市政务服务数据管理局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46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组织领导。推进落实国家和省人民政府制定的公共服务相关规划和政策措施，制定本级公共服务规划或任务清单，确保任务落实到位；相关部门按照职责分工推动各领域重点任务、重点改革、重点项目有效落实；建立部门工作协调机制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  <w:lang w:eastAsia="zh-CN"/>
              </w:rPr>
              <w:t>各县（市、区）人民政府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，市有关部门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99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优化发展环境。围绕公共服务目标任务，进一步细化配套制度和政策措施；强化社会信用体系支撑；加强公共服务行业自律和社会监督。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  <w:lang w:eastAsia="zh-CN"/>
              </w:rPr>
              <w:t>各县（市、区）人民政府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，市有关部门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15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316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1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  <w:lang w:eastAsia="zh-CN"/>
              </w:rPr>
              <w:t>夯实项目支撑。针对公共服务短板和弱项，研究提出重点项目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，纳入省和市重点项目计划，加强财政预算与项目投资计划的衔接；认真做好项目立项、资金筹措、项目实施、竣工验收等工作。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  <w:lang w:eastAsia="zh-CN"/>
              </w:rPr>
              <w:t>市发展改革局、市教育局、市民政局、市财政局、市人力资源社会保障局、市自然资源局、</w:t>
            </w: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  <w:lang w:eastAsia="zh-CN"/>
              </w:rPr>
              <w:t>市文化广电旅游体育局</w:t>
            </w: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  <w:lang w:eastAsia="zh-CN"/>
              </w:rPr>
              <w:t>、市卫生健康局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69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986" w:type="dxa"/>
            <w:vAlign w:val="top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加强监管评估。健全规划实施监测评估机制、动态调整修订机制、监督考核机制。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  <w:lang w:eastAsia="zh-CN"/>
              </w:rPr>
              <w:t>市发展改革局、市审计局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、市统计局，各县（市、区）人民政府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5" w:type="default"/>
      <w:pgSz w:w="11905" w:h="16840"/>
      <w:pgMar w:top="1431" w:right="1303" w:bottom="1123" w:left="1304" w:header="0" w:footer="9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07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0E2806"/>
    <w:rsid w:val="00101AE9"/>
    <w:rsid w:val="010F1DA1"/>
    <w:rsid w:val="012810B4"/>
    <w:rsid w:val="020F7B7E"/>
    <w:rsid w:val="02AB38E0"/>
    <w:rsid w:val="02FC04C9"/>
    <w:rsid w:val="03BB6210"/>
    <w:rsid w:val="044B2285"/>
    <w:rsid w:val="04D8691B"/>
    <w:rsid w:val="04EB6681"/>
    <w:rsid w:val="05023B5E"/>
    <w:rsid w:val="060317A8"/>
    <w:rsid w:val="060755F3"/>
    <w:rsid w:val="06400C4E"/>
    <w:rsid w:val="06AB60C8"/>
    <w:rsid w:val="06E85402"/>
    <w:rsid w:val="07994A2A"/>
    <w:rsid w:val="082F5E85"/>
    <w:rsid w:val="09246605"/>
    <w:rsid w:val="0A222B45"/>
    <w:rsid w:val="0AC168C1"/>
    <w:rsid w:val="0C2A5CE1"/>
    <w:rsid w:val="0C721436"/>
    <w:rsid w:val="0CF449BB"/>
    <w:rsid w:val="0D2D5038"/>
    <w:rsid w:val="0E232D13"/>
    <w:rsid w:val="0EB16245"/>
    <w:rsid w:val="0F046C72"/>
    <w:rsid w:val="0F9A317D"/>
    <w:rsid w:val="0F9A5808"/>
    <w:rsid w:val="0FF90D32"/>
    <w:rsid w:val="10A0693A"/>
    <w:rsid w:val="10B570E7"/>
    <w:rsid w:val="114A2981"/>
    <w:rsid w:val="117E74BF"/>
    <w:rsid w:val="12706D20"/>
    <w:rsid w:val="129E4D32"/>
    <w:rsid w:val="1340403C"/>
    <w:rsid w:val="13474B7E"/>
    <w:rsid w:val="1358575C"/>
    <w:rsid w:val="13CE5AEB"/>
    <w:rsid w:val="147062DF"/>
    <w:rsid w:val="14B364B2"/>
    <w:rsid w:val="150115A9"/>
    <w:rsid w:val="16363A52"/>
    <w:rsid w:val="1705788A"/>
    <w:rsid w:val="174F484D"/>
    <w:rsid w:val="17525B6D"/>
    <w:rsid w:val="175A3CEF"/>
    <w:rsid w:val="177E7641"/>
    <w:rsid w:val="181A30AD"/>
    <w:rsid w:val="1828588E"/>
    <w:rsid w:val="19EC2D77"/>
    <w:rsid w:val="19F92C12"/>
    <w:rsid w:val="1A8011C2"/>
    <w:rsid w:val="1B19703D"/>
    <w:rsid w:val="1C890801"/>
    <w:rsid w:val="1CA76EDA"/>
    <w:rsid w:val="1DEA52D0"/>
    <w:rsid w:val="1E341623"/>
    <w:rsid w:val="1F182311"/>
    <w:rsid w:val="1F9C4CF0"/>
    <w:rsid w:val="20B33045"/>
    <w:rsid w:val="21C4408A"/>
    <w:rsid w:val="22431DF1"/>
    <w:rsid w:val="22456F79"/>
    <w:rsid w:val="22F10EAE"/>
    <w:rsid w:val="2344390D"/>
    <w:rsid w:val="2355143D"/>
    <w:rsid w:val="239D1036"/>
    <w:rsid w:val="24AA7567"/>
    <w:rsid w:val="24E231A5"/>
    <w:rsid w:val="259509E3"/>
    <w:rsid w:val="26031F83"/>
    <w:rsid w:val="27A552EA"/>
    <w:rsid w:val="280D678A"/>
    <w:rsid w:val="286E6AFD"/>
    <w:rsid w:val="2953641F"/>
    <w:rsid w:val="295F4587"/>
    <w:rsid w:val="2A600152"/>
    <w:rsid w:val="2A6E5785"/>
    <w:rsid w:val="2AD965E7"/>
    <w:rsid w:val="2BA72A52"/>
    <w:rsid w:val="2C12791B"/>
    <w:rsid w:val="2C493B09"/>
    <w:rsid w:val="2D177764"/>
    <w:rsid w:val="2D2E5D73"/>
    <w:rsid w:val="2D594220"/>
    <w:rsid w:val="2F495C8D"/>
    <w:rsid w:val="2F6B3D97"/>
    <w:rsid w:val="305331A8"/>
    <w:rsid w:val="30C327AD"/>
    <w:rsid w:val="315B4A75"/>
    <w:rsid w:val="31864EB8"/>
    <w:rsid w:val="32517965"/>
    <w:rsid w:val="32867865"/>
    <w:rsid w:val="32A108E2"/>
    <w:rsid w:val="33DE547F"/>
    <w:rsid w:val="34AE30A3"/>
    <w:rsid w:val="35D97CAC"/>
    <w:rsid w:val="3694433F"/>
    <w:rsid w:val="36962041"/>
    <w:rsid w:val="37797DF3"/>
    <w:rsid w:val="377A54BF"/>
    <w:rsid w:val="37936580"/>
    <w:rsid w:val="385555E4"/>
    <w:rsid w:val="38F31085"/>
    <w:rsid w:val="3A012D45"/>
    <w:rsid w:val="3A39289C"/>
    <w:rsid w:val="3AA84863"/>
    <w:rsid w:val="3AFB3AFA"/>
    <w:rsid w:val="3AFE6A4F"/>
    <w:rsid w:val="3BE4091D"/>
    <w:rsid w:val="3C8D17F0"/>
    <w:rsid w:val="3D5B070A"/>
    <w:rsid w:val="3DBD4357"/>
    <w:rsid w:val="3E03620E"/>
    <w:rsid w:val="3E2E184B"/>
    <w:rsid w:val="3EB50E8A"/>
    <w:rsid w:val="40BC16C2"/>
    <w:rsid w:val="410628B2"/>
    <w:rsid w:val="4126600E"/>
    <w:rsid w:val="4185518C"/>
    <w:rsid w:val="42A95947"/>
    <w:rsid w:val="43CD7EAE"/>
    <w:rsid w:val="43D45D88"/>
    <w:rsid w:val="45CA13BF"/>
    <w:rsid w:val="45FD4022"/>
    <w:rsid w:val="46FD7572"/>
    <w:rsid w:val="47262F6D"/>
    <w:rsid w:val="47745A86"/>
    <w:rsid w:val="485F6737"/>
    <w:rsid w:val="49861AA1"/>
    <w:rsid w:val="498B5309"/>
    <w:rsid w:val="49AB1508"/>
    <w:rsid w:val="4A6022F2"/>
    <w:rsid w:val="4B2E0642"/>
    <w:rsid w:val="4B6F6E49"/>
    <w:rsid w:val="4C7E00D3"/>
    <w:rsid w:val="4D8A6F85"/>
    <w:rsid w:val="4D981DA3"/>
    <w:rsid w:val="4EDE5EDB"/>
    <w:rsid w:val="4F7A5C04"/>
    <w:rsid w:val="4F93316A"/>
    <w:rsid w:val="50310EFF"/>
    <w:rsid w:val="514A4C73"/>
    <w:rsid w:val="52080617"/>
    <w:rsid w:val="528073C9"/>
    <w:rsid w:val="535E75EB"/>
    <w:rsid w:val="54520EFE"/>
    <w:rsid w:val="556F1F83"/>
    <w:rsid w:val="55825812"/>
    <w:rsid w:val="57B10631"/>
    <w:rsid w:val="57E75E01"/>
    <w:rsid w:val="58F22CAF"/>
    <w:rsid w:val="5927664D"/>
    <w:rsid w:val="5971610B"/>
    <w:rsid w:val="599C2C1B"/>
    <w:rsid w:val="59BA3E7F"/>
    <w:rsid w:val="5A4412E8"/>
    <w:rsid w:val="5A6C083F"/>
    <w:rsid w:val="5A715E56"/>
    <w:rsid w:val="5A806D1D"/>
    <w:rsid w:val="5A987886"/>
    <w:rsid w:val="5AB81CD6"/>
    <w:rsid w:val="5ADC7773"/>
    <w:rsid w:val="5AF96D9C"/>
    <w:rsid w:val="5BF71D4A"/>
    <w:rsid w:val="5C1F025F"/>
    <w:rsid w:val="5CCE3A33"/>
    <w:rsid w:val="5D55380D"/>
    <w:rsid w:val="5E13121D"/>
    <w:rsid w:val="5E9640DD"/>
    <w:rsid w:val="5FBD631D"/>
    <w:rsid w:val="5FEDB53A"/>
    <w:rsid w:val="61363955"/>
    <w:rsid w:val="61691F7C"/>
    <w:rsid w:val="61A82AA5"/>
    <w:rsid w:val="61C471B3"/>
    <w:rsid w:val="61D12C97"/>
    <w:rsid w:val="62116DA2"/>
    <w:rsid w:val="62F375C6"/>
    <w:rsid w:val="62FB4B02"/>
    <w:rsid w:val="63071F6A"/>
    <w:rsid w:val="631303F2"/>
    <w:rsid w:val="640D4E41"/>
    <w:rsid w:val="64406FC4"/>
    <w:rsid w:val="644772B7"/>
    <w:rsid w:val="653C6C2F"/>
    <w:rsid w:val="65C504AF"/>
    <w:rsid w:val="65E63B9C"/>
    <w:rsid w:val="66652FCC"/>
    <w:rsid w:val="66B7430E"/>
    <w:rsid w:val="67252CD4"/>
    <w:rsid w:val="67BF6AB8"/>
    <w:rsid w:val="682E68F2"/>
    <w:rsid w:val="68907DEF"/>
    <w:rsid w:val="68C006D4"/>
    <w:rsid w:val="68CC13B2"/>
    <w:rsid w:val="6A2F1616"/>
    <w:rsid w:val="6A3A4E64"/>
    <w:rsid w:val="6B19231D"/>
    <w:rsid w:val="6B4D0219"/>
    <w:rsid w:val="6C2152D1"/>
    <w:rsid w:val="6C5D448C"/>
    <w:rsid w:val="6C850770"/>
    <w:rsid w:val="6CDE737B"/>
    <w:rsid w:val="6E301E58"/>
    <w:rsid w:val="6EAF2651"/>
    <w:rsid w:val="6F887A72"/>
    <w:rsid w:val="6F8D6E36"/>
    <w:rsid w:val="6F945ADC"/>
    <w:rsid w:val="70543304"/>
    <w:rsid w:val="70E54AA0"/>
    <w:rsid w:val="710E6355"/>
    <w:rsid w:val="72437107"/>
    <w:rsid w:val="73612AB3"/>
    <w:rsid w:val="737F118B"/>
    <w:rsid w:val="7456013E"/>
    <w:rsid w:val="74736F42"/>
    <w:rsid w:val="74D55507"/>
    <w:rsid w:val="75750C7F"/>
    <w:rsid w:val="767430FE"/>
    <w:rsid w:val="771A36A5"/>
    <w:rsid w:val="779A47E6"/>
    <w:rsid w:val="77B27D81"/>
    <w:rsid w:val="77D65B6D"/>
    <w:rsid w:val="77D879DC"/>
    <w:rsid w:val="78732CEF"/>
    <w:rsid w:val="78FB203E"/>
    <w:rsid w:val="792151BF"/>
    <w:rsid w:val="7A24285F"/>
    <w:rsid w:val="7A9E572A"/>
    <w:rsid w:val="7AA73C64"/>
    <w:rsid w:val="7B207F1A"/>
    <w:rsid w:val="7B3D77E6"/>
    <w:rsid w:val="7B7F80D9"/>
    <w:rsid w:val="7CC01F5C"/>
    <w:rsid w:val="7D1E420E"/>
    <w:rsid w:val="7D680EDC"/>
    <w:rsid w:val="7E346D07"/>
    <w:rsid w:val="7E4234E1"/>
    <w:rsid w:val="7E4D0EC8"/>
    <w:rsid w:val="7F155E8B"/>
    <w:rsid w:val="7F2B4252"/>
    <w:rsid w:val="7FBB6D54"/>
    <w:rsid w:val="A7F6C80C"/>
    <w:rsid w:val="D5F68D2F"/>
    <w:rsid w:val="D9DD5697"/>
    <w:rsid w:val="E7758847"/>
    <w:rsid w:val="E7FF04FB"/>
    <w:rsid w:val="EDF72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Office_11.8.2.10554_F1E327BC-269C-435d-A152-05C5408002CA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2021-11-20T15:01:00Z</dcterms:created>
  <dc:creator>作者</dc:creator>
  <cp:keywords>关键字</cp:keywords>
  <cp:lastModifiedBy>林瑞映</cp:lastModifiedBy>
  <cp:lastPrinted>2021-12-02T07:16:00Z</cp:lastPrinted>
  <dcterms:modified xsi:type="dcterms:W3CDTF">2022-05-12T11:13:27Z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2021-11-24T16:46:32Z</vt:filetime>
  </property>
  <property fmtid="{D5CDD505-2E9C-101B-9397-08002B2CF9AE}" pid="4" name="KSOProductBuildVer">
    <vt:lpwstr>2052-11.8.2.10554</vt:lpwstr>
  </property>
  <property fmtid="{D5CDD505-2E9C-101B-9397-08002B2CF9AE}" pid="5" name="ICV">
    <vt:lpwstr>E8E7BBCA69AC4F69ABCCEE95CA25D2EF</vt:lpwstr>
  </property>
</Properties>
</file>