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</w:p>
    <w:p>
      <w:pPr>
        <w:spacing w:line="72" w:lineRule="exact"/>
      </w:pPr>
    </w:p>
    <w:p>
      <w:pPr>
        <w:spacing w:line="72" w:lineRule="exact"/>
      </w:pPr>
    </w:p>
    <w:p>
      <w:pPr>
        <w:spacing w:line="72" w:lineRule="exact"/>
        <w:rPr>
          <w:rFonts w:hint="eastAsia" w:ascii="宋体" w:hAnsi="宋体" w:eastAsia="宋体" w:cs="宋体"/>
        </w:rPr>
      </w:pP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汕尾市公共服务“十四五”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期间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主要目标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和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任务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分工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清单</w:t>
      </w:r>
    </w:p>
    <w:p>
      <w:pPr>
        <w:spacing w:line="72" w:lineRule="exact"/>
      </w:pPr>
    </w:p>
    <w:p>
      <w:pPr>
        <w:spacing w:line="72" w:lineRule="exact"/>
      </w:pPr>
    </w:p>
    <w:p>
      <w:pPr>
        <w:spacing w:line="72" w:lineRule="exact"/>
      </w:pPr>
    </w:p>
    <w:tbl>
      <w:tblPr>
        <w:tblStyle w:val="5"/>
        <w:tblW w:w="929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6194"/>
        <w:gridCol w:w="237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66" w:hRule="atLeast"/>
        </w:trPr>
        <w:tc>
          <w:tcPr>
            <w:tcW w:w="9291" w:type="dxa"/>
            <w:gridSpan w:val="3"/>
            <w:vAlign w:val="center"/>
          </w:tcPr>
          <w:p>
            <w:pPr>
              <w:spacing w:before="50" w:line="184" w:lineRule="auto"/>
              <w:jc w:val="center"/>
              <w:rPr>
                <w:rFonts w:hint="eastAsia" w:ascii="黑体" w:hAnsi="黑体" w:eastAsia="黑体" w:cs="黑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5"/>
                <w:sz w:val="28"/>
                <w:szCs w:val="28"/>
                <w:lang w:eastAsia="zh-CN"/>
              </w:rPr>
              <w:t>主要目标分工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21" w:type="dxa"/>
            <w:vAlign w:val="center"/>
          </w:tcPr>
          <w:p>
            <w:pPr>
              <w:spacing w:before="50" w:line="184" w:lineRule="auto"/>
              <w:ind w:firstLine="158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6194" w:type="dxa"/>
            <w:vAlign w:val="center"/>
          </w:tcPr>
          <w:p>
            <w:pPr>
              <w:spacing w:before="50" w:line="184" w:lineRule="auto"/>
              <w:ind w:firstLine="2693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4"/>
                <w:sz w:val="24"/>
                <w:szCs w:val="24"/>
              </w:rPr>
              <w:t>主要指标</w:t>
            </w:r>
          </w:p>
        </w:tc>
        <w:tc>
          <w:tcPr>
            <w:tcW w:w="2376" w:type="dxa"/>
            <w:vAlign w:val="center"/>
          </w:tcPr>
          <w:p>
            <w:pPr>
              <w:spacing w:before="50" w:line="184" w:lineRule="auto"/>
              <w:ind w:firstLine="785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5"/>
                <w:sz w:val="24"/>
                <w:szCs w:val="24"/>
              </w:rPr>
              <w:t>责任单位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49" w:hRule="atLeast"/>
        </w:trPr>
        <w:tc>
          <w:tcPr>
            <w:tcW w:w="721" w:type="dxa"/>
            <w:vAlign w:val="center"/>
          </w:tcPr>
          <w:p>
            <w:pPr>
              <w:spacing w:before="89" w:line="180" w:lineRule="auto"/>
              <w:ind w:firstLine="329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</w:t>
            </w:r>
          </w:p>
        </w:tc>
        <w:tc>
          <w:tcPr>
            <w:tcW w:w="6194" w:type="dxa"/>
            <w:vAlign w:val="center"/>
          </w:tcPr>
          <w:p>
            <w:pPr>
              <w:spacing w:before="38" w:line="208" w:lineRule="auto"/>
              <w:ind w:firstLine="111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人均预期寿命达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val="en-US" w:eastAsia="zh-CN"/>
              </w:rPr>
              <w:t>79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岁以上</w:t>
            </w:r>
          </w:p>
        </w:tc>
        <w:tc>
          <w:tcPr>
            <w:tcW w:w="2376" w:type="dxa"/>
            <w:vAlign w:val="center"/>
          </w:tcPr>
          <w:p>
            <w:pPr>
              <w:spacing w:before="38" w:line="208" w:lineRule="auto"/>
              <w:ind w:firstLine="117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卫生健康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36" w:hRule="atLeast"/>
        </w:trPr>
        <w:tc>
          <w:tcPr>
            <w:tcW w:w="721" w:type="dxa"/>
            <w:vAlign w:val="center"/>
          </w:tcPr>
          <w:p>
            <w:pPr>
              <w:spacing w:before="90" w:line="180" w:lineRule="auto"/>
              <w:ind w:firstLine="309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</w:t>
            </w:r>
          </w:p>
        </w:tc>
        <w:tc>
          <w:tcPr>
            <w:tcW w:w="6194" w:type="dxa"/>
            <w:vAlign w:val="center"/>
          </w:tcPr>
          <w:p>
            <w:pPr>
              <w:spacing w:before="21" w:line="276" w:lineRule="exact"/>
              <w:ind w:firstLine="115"/>
              <w:jc w:val="both"/>
              <w:rPr>
                <w:rFonts w:hint="default" w:ascii="黑体" w:hAnsi="黑体" w:eastAsia="黑体" w:cs="黑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常住人口城镇化率达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u w:val="none"/>
                <w:lang w:val="en-US" w:eastAsia="zh-CN"/>
              </w:rPr>
              <w:t>64.2%</w:t>
            </w:r>
          </w:p>
        </w:tc>
        <w:tc>
          <w:tcPr>
            <w:tcW w:w="2376" w:type="dxa"/>
            <w:vAlign w:val="center"/>
          </w:tcPr>
          <w:p>
            <w:pPr>
              <w:spacing w:before="38" w:line="208" w:lineRule="auto"/>
              <w:ind w:firstLine="117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发展改革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7" w:hRule="atLeast"/>
        </w:trPr>
        <w:tc>
          <w:tcPr>
            <w:tcW w:w="721" w:type="dxa"/>
            <w:vAlign w:val="center"/>
          </w:tcPr>
          <w:p>
            <w:pPr>
              <w:spacing w:before="91" w:line="180" w:lineRule="auto"/>
              <w:ind w:firstLine="313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3</w:t>
            </w:r>
          </w:p>
        </w:tc>
        <w:tc>
          <w:tcPr>
            <w:tcW w:w="6194" w:type="dxa"/>
            <w:vAlign w:val="center"/>
          </w:tcPr>
          <w:p>
            <w:pPr>
              <w:spacing w:before="38" w:line="208" w:lineRule="auto"/>
              <w:ind w:firstLine="11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每千人口拥有3岁以下婴幼儿托位数达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val="en-US" w:eastAsia="zh-CN"/>
              </w:rPr>
              <w:t>4.2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个</w:t>
            </w:r>
          </w:p>
        </w:tc>
        <w:tc>
          <w:tcPr>
            <w:tcW w:w="2376" w:type="dxa"/>
            <w:vAlign w:val="center"/>
          </w:tcPr>
          <w:p>
            <w:pPr>
              <w:spacing w:before="38" w:line="208" w:lineRule="auto"/>
              <w:ind w:firstLine="117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卫生健康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3" w:hRule="atLeast"/>
        </w:trPr>
        <w:tc>
          <w:tcPr>
            <w:tcW w:w="721" w:type="dxa"/>
            <w:vAlign w:val="center"/>
          </w:tcPr>
          <w:p>
            <w:pPr>
              <w:spacing w:before="89" w:line="180" w:lineRule="auto"/>
              <w:ind w:firstLine="307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4</w:t>
            </w:r>
          </w:p>
        </w:tc>
        <w:tc>
          <w:tcPr>
            <w:tcW w:w="6194" w:type="dxa"/>
            <w:vAlign w:val="center"/>
          </w:tcPr>
          <w:p>
            <w:pPr>
              <w:spacing w:before="19" w:line="276" w:lineRule="exact"/>
              <w:ind w:firstLine="11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  <w:lang w:eastAsia="zh-CN"/>
              </w:rPr>
              <w:t>以乡镇（街道）为单位</w:t>
            </w: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适龄儿童免疫规划疫苗接种率达</w:t>
            </w: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%以上</w:t>
            </w:r>
          </w:p>
        </w:tc>
        <w:tc>
          <w:tcPr>
            <w:tcW w:w="2376" w:type="dxa"/>
            <w:vAlign w:val="center"/>
          </w:tcPr>
          <w:p>
            <w:pPr>
              <w:spacing w:before="37" w:line="208" w:lineRule="auto"/>
              <w:ind w:firstLine="117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卫生健康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4" w:hRule="atLeast"/>
        </w:trPr>
        <w:tc>
          <w:tcPr>
            <w:tcW w:w="721" w:type="dxa"/>
            <w:vAlign w:val="center"/>
          </w:tcPr>
          <w:p>
            <w:pPr>
              <w:spacing w:line="303" w:lineRule="auto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pacing w:before="61" w:line="180" w:lineRule="auto"/>
              <w:ind w:firstLine="314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5</w:t>
            </w:r>
          </w:p>
        </w:tc>
        <w:tc>
          <w:tcPr>
            <w:tcW w:w="6194" w:type="dxa"/>
            <w:vAlign w:val="center"/>
          </w:tcPr>
          <w:p>
            <w:pPr>
              <w:spacing w:line="247" w:lineRule="auto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pacing w:before="69" w:line="208" w:lineRule="auto"/>
              <w:ind w:firstLine="108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孤儿和事实无人抚养儿童保障应保尽保</w:t>
            </w:r>
          </w:p>
        </w:tc>
        <w:tc>
          <w:tcPr>
            <w:tcW w:w="2376" w:type="dxa"/>
            <w:vAlign w:val="center"/>
          </w:tcPr>
          <w:p>
            <w:pPr>
              <w:spacing w:before="36" w:line="253" w:lineRule="auto"/>
              <w:ind w:left="113" w:right="166" w:firstLine="4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教育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、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民政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、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住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房城乡建设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、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卫生健康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3" w:hRule="atLeast"/>
        </w:trPr>
        <w:tc>
          <w:tcPr>
            <w:tcW w:w="721" w:type="dxa"/>
            <w:vAlign w:val="center"/>
          </w:tcPr>
          <w:p>
            <w:pPr>
              <w:spacing w:before="89" w:line="180" w:lineRule="auto"/>
              <w:ind w:firstLine="313"/>
              <w:jc w:val="both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194" w:type="dxa"/>
            <w:vAlign w:val="center"/>
          </w:tcPr>
          <w:p>
            <w:pPr>
              <w:spacing w:before="19" w:line="276" w:lineRule="exact"/>
              <w:ind w:firstLine="109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普惠性幼儿园在园幼儿数比重稳定在</w:t>
            </w: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  <w:lang w:val="en-US" w:eastAsia="zh-CN"/>
              </w:rPr>
              <w:t>85</w:t>
            </w:r>
            <w:r>
              <w:rPr>
                <w:rFonts w:hint="eastAsia" w:ascii="黑体" w:hAnsi="黑体" w:eastAsia="黑体" w:cs="黑体"/>
                <w:spacing w:val="-4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%以上</w:t>
            </w:r>
          </w:p>
        </w:tc>
        <w:tc>
          <w:tcPr>
            <w:tcW w:w="2376" w:type="dxa"/>
            <w:vAlign w:val="center"/>
          </w:tcPr>
          <w:p>
            <w:pPr>
              <w:spacing w:before="37" w:line="208" w:lineRule="auto"/>
              <w:ind w:firstLine="117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教育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7" w:hRule="atLeast"/>
        </w:trPr>
        <w:tc>
          <w:tcPr>
            <w:tcW w:w="721" w:type="dxa"/>
            <w:vAlign w:val="center"/>
          </w:tcPr>
          <w:p>
            <w:pPr>
              <w:spacing w:before="92" w:line="180" w:lineRule="auto"/>
              <w:ind w:firstLine="312"/>
              <w:jc w:val="both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194" w:type="dxa"/>
            <w:vAlign w:val="center"/>
          </w:tcPr>
          <w:p>
            <w:pPr>
              <w:spacing w:before="19" w:line="276" w:lineRule="exact"/>
              <w:ind w:firstLine="115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九年义务教育巩固率稳定在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%</w:t>
            </w:r>
          </w:p>
        </w:tc>
        <w:tc>
          <w:tcPr>
            <w:tcW w:w="2376" w:type="dxa"/>
            <w:vAlign w:val="center"/>
          </w:tcPr>
          <w:p>
            <w:pPr>
              <w:spacing w:before="36" w:line="208" w:lineRule="auto"/>
              <w:ind w:firstLine="117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教育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3" w:hRule="atLeast"/>
        </w:trPr>
        <w:tc>
          <w:tcPr>
            <w:tcW w:w="721" w:type="dxa"/>
            <w:vAlign w:val="center"/>
          </w:tcPr>
          <w:p>
            <w:pPr>
              <w:spacing w:before="89" w:line="180" w:lineRule="auto"/>
              <w:ind w:firstLine="317"/>
              <w:jc w:val="both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194" w:type="dxa"/>
            <w:vAlign w:val="center"/>
          </w:tcPr>
          <w:p>
            <w:pPr>
              <w:spacing w:before="19" w:line="276" w:lineRule="exact"/>
              <w:ind w:firstLine="115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高中阶段教育毛入学率稳定在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%以上</w:t>
            </w:r>
          </w:p>
        </w:tc>
        <w:tc>
          <w:tcPr>
            <w:tcW w:w="2376" w:type="dxa"/>
            <w:vAlign w:val="center"/>
          </w:tcPr>
          <w:p>
            <w:pPr>
              <w:spacing w:before="37" w:line="208" w:lineRule="auto"/>
              <w:ind w:firstLine="117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教育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49" w:hRule="atLeast"/>
        </w:trPr>
        <w:tc>
          <w:tcPr>
            <w:tcW w:w="721" w:type="dxa"/>
            <w:vAlign w:val="center"/>
          </w:tcPr>
          <w:p>
            <w:pPr>
              <w:spacing w:before="90" w:line="180" w:lineRule="auto"/>
              <w:jc w:val="both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9</w:t>
            </w:r>
          </w:p>
        </w:tc>
        <w:tc>
          <w:tcPr>
            <w:tcW w:w="6194" w:type="dxa"/>
            <w:vAlign w:val="center"/>
          </w:tcPr>
          <w:p>
            <w:pPr>
              <w:spacing w:before="37" w:line="208" w:lineRule="auto"/>
              <w:ind w:firstLine="115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劳动年龄人口平均受教育年限达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val="en-US" w:eastAsia="zh-CN"/>
              </w:rPr>
              <w:t>11.5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年</w:t>
            </w:r>
          </w:p>
        </w:tc>
        <w:tc>
          <w:tcPr>
            <w:tcW w:w="2376" w:type="dxa"/>
            <w:vAlign w:val="center"/>
          </w:tcPr>
          <w:p>
            <w:pPr>
              <w:spacing w:before="37" w:line="208" w:lineRule="auto"/>
              <w:ind w:firstLine="117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教育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5" w:hRule="atLeast"/>
        </w:trPr>
        <w:tc>
          <w:tcPr>
            <w:tcW w:w="721" w:type="dxa"/>
            <w:vAlign w:val="center"/>
          </w:tcPr>
          <w:p>
            <w:pPr>
              <w:spacing w:before="89" w:line="180" w:lineRule="auto"/>
              <w:ind w:firstLine="281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8"/>
                <w:sz w:val="21"/>
                <w:szCs w:val="21"/>
              </w:rPr>
              <w:t>1</w:t>
            </w:r>
            <w:r>
              <w:rPr>
                <w:rFonts w:hint="eastAsia" w:ascii="黑体" w:hAnsi="黑体" w:eastAsia="黑体" w:cs="黑体"/>
                <w:spacing w:val="-8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94" w:type="dxa"/>
            <w:vAlign w:val="center"/>
          </w:tcPr>
          <w:p>
            <w:pPr>
              <w:spacing w:before="37" w:line="208" w:lineRule="auto"/>
              <w:ind w:firstLine="111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零就业家庭动态清零</w:t>
            </w:r>
          </w:p>
        </w:tc>
        <w:tc>
          <w:tcPr>
            <w:tcW w:w="2376" w:type="dxa"/>
            <w:vAlign w:val="center"/>
          </w:tcPr>
          <w:p>
            <w:pPr>
              <w:spacing w:before="37" w:line="208" w:lineRule="auto"/>
              <w:ind w:firstLine="117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人力资源社会保障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6" w:hRule="atLeast"/>
        </w:trPr>
        <w:tc>
          <w:tcPr>
            <w:tcW w:w="721" w:type="dxa"/>
            <w:vAlign w:val="center"/>
          </w:tcPr>
          <w:p>
            <w:pPr>
              <w:spacing w:before="88" w:line="180" w:lineRule="auto"/>
              <w:ind w:firstLine="276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黑体" w:hAnsi="黑体" w:eastAsia="黑体" w:cs="黑体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194" w:type="dxa"/>
            <w:vAlign w:val="center"/>
          </w:tcPr>
          <w:p>
            <w:pPr>
              <w:spacing w:before="36" w:line="208" w:lineRule="auto"/>
              <w:ind w:firstLine="93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“十四五”期间城镇新增就业</w:t>
            </w: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  <w:lang w:val="en-US" w:eastAsia="zh-CN"/>
              </w:rPr>
              <w:t>17.5万</w:t>
            </w: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人</w:t>
            </w:r>
          </w:p>
        </w:tc>
        <w:tc>
          <w:tcPr>
            <w:tcW w:w="2376" w:type="dxa"/>
            <w:vAlign w:val="center"/>
          </w:tcPr>
          <w:p>
            <w:pPr>
              <w:spacing w:before="36" w:line="208" w:lineRule="auto"/>
              <w:ind w:firstLine="117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人力资源社会保障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7" w:hRule="atLeast"/>
        </w:trPr>
        <w:tc>
          <w:tcPr>
            <w:tcW w:w="721" w:type="dxa"/>
            <w:vAlign w:val="center"/>
          </w:tcPr>
          <w:p>
            <w:pPr>
              <w:spacing w:before="88" w:line="180" w:lineRule="auto"/>
              <w:ind w:firstLine="276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黑体" w:hAnsi="黑体" w:eastAsia="黑体" w:cs="黑体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194" w:type="dxa"/>
            <w:vAlign w:val="center"/>
          </w:tcPr>
          <w:p>
            <w:pPr>
              <w:spacing w:before="18" w:line="276" w:lineRule="exact"/>
              <w:ind w:firstLine="11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城镇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登记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失业率控制在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%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以内</w:t>
            </w:r>
          </w:p>
        </w:tc>
        <w:tc>
          <w:tcPr>
            <w:tcW w:w="2376" w:type="dxa"/>
            <w:vAlign w:val="center"/>
          </w:tcPr>
          <w:p>
            <w:pPr>
              <w:spacing w:before="35" w:line="208" w:lineRule="auto"/>
              <w:ind w:firstLine="117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人力资源社会保障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7" w:hRule="atLeast"/>
        </w:trPr>
        <w:tc>
          <w:tcPr>
            <w:tcW w:w="721" w:type="dxa"/>
            <w:vAlign w:val="center"/>
          </w:tcPr>
          <w:p>
            <w:pPr>
              <w:spacing w:before="88" w:line="180" w:lineRule="auto"/>
              <w:ind w:firstLine="276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黑体" w:hAnsi="黑体" w:eastAsia="黑体" w:cs="黑体"/>
                <w:spacing w:val="-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194" w:type="dxa"/>
            <w:vAlign w:val="center"/>
          </w:tcPr>
          <w:p>
            <w:pPr>
              <w:spacing w:before="36" w:line="208" w:lineRule="auto"/>
              <w:ind w:firstLine="93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“十四五”期间开展补贴性职业技能培训</w:t>
            </w: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  <w:lang w:val="en-US" w:eastAsia="zh-CN"/>
              </w:rPr>
              <w:t>8万</w:t>
            </w: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人次</w:t>
            </w:r>
          </w:p>
        </w:tc>
        <w:tc>
          <w:tcPr>
            <w:tcW w:w="2376" w:type="dxa"/>
            <w:vAlign w:val="center"/>
          </w:tcPr>
          <w:p>
            <w:pPr>
              <w:spacing w:before="36" w:line="208" w:lineRule="auto"/>
              <w:ind w:firstLine="117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人力资源社会保障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0" w:hRule="atLeast"/>
        </w:trPr>
        <w:tc>
          <w:tcPr>
            <w:tcW w:w="721" w:type="dxa"/>
            <w:vAlign w:val="center"/>
          </w:tcPr>
          <w:p>
            <w:pPr>
              <w:spacing w:before="88" w:line="180" w:lineRule="auto"/>
              <w:ind w:firstLine="276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黑体" w:hAnsi="黑体" w:eastAsia="黑体" w:cs="黑体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194" w:type="dxa"/>
            <w:vAlign w:val="center"/>
          </w:tcPr>
          <w:p>
            <w:pPr>
              <w:spacing w:before="36" w:line="208" w:lineRule="auto"/>
              <w:ind w:firstLine="115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失业保险参保人数达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val="en-US" w:eastAsia="zh-CN"/>
              </w:rPr>
              <w:t>14万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2376" w:type="dxa"/>
            <w:vAlign w:val="center"/>
          </w:tcPr>
          <w:p>
            <w:pPr>
              <w:spacing w:before="36" w:line="208" w:lineRule="auto"/>
              <w:ind w:firstLine="117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人力资源社会保障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7" w:hRule="atLeast"/>
        </w:trPr>
        <w:tc>
          <w:tcPr>
            <w:tcW w:w="721" w:type="dxa"/>
            <w:vAlign w:val="center"/>
          </w:tcPr>
          <w:p>
            <w:pPr>
              <w:spacing w:before="89" w:line="180" w:lineRule="auto"/>
              <w:ind w:firstLine="276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黑体" w:hAnsi="黑体" w:eastAsia="黑体" w:cs="黑体"/>
                <w:spacing w:val="-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194" w:type="dxa"/>
            <w:vAlign w:val="center"/>
          </w:tcPr>
          <w:p>
            <w:pPr>
              <w:spacing w:before="36" w:line="208" w:lineRule="auto"/>
              <w:ind w:firstLine="112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工伤保险参保人数达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黑体" w:hAnsi="黑体" w:eastAsia="黑体" w:cs="黑体"/>
                <w:spacing w:val="-39"/>
                <w:sz w:val="21"/>
                <w:szCs w:val="21"/>
                <w:lang w:val="en-US" w:eastAsia="zh-CN"/>
              </w:rPr>
              <w:t>万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人</w:t>
            </w:r>
          </w:p>
        </w:tc>
        <w:tc>
          <w:tcPr>
            <w:tcW w:w="2376" w:type="dxa"/>
            <w:vAlign w:val="center"/>
          </w:tcPr>
          <w:p>
            <w:pPr>
              <w:spacing w:before="36" w:line="208" w:lineRule="auto"/>
              <w:ind w:firstLine="117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人力资源社会保障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8" w:hRule="atLeast"/>
        </w:trPr>
        <w:tc>
          <w:tcPr>
            <w:tcW w:w="721" w:type="dxa"/>
            <w:vAlign w:val="center"/>
          </w:tcPr>
          <w:p>
            <w:pPr>
              <w:spacing w:before="88" w:line="180" w:lineRule="auto"/>
              <w:ind w:firstLine="276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黑体" w:hAnsi="黑体" w:eastAsia="黑体" w:cs="黑体"/>
                <w:spacing w:val="-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194" w:type="dxa"/>
            <w:vAlign w:val="center"/>
          </w:tcPr>
          <w:p>
            <w:pPr>
              <w:spacing w:before="36" w:line="208" w:lineRule="auto"/>
              <w:ind w:firstLine="111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社会保障卡持卡人数达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val="en-US" w:eastAsia="zh-CN"/>
              </w:rPr>
              <w:t>268万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人</w:t>
            </w:r>
          </w:p>
        </w:tc>
        <w:tc>
          <w:tcPr>
            <w:tcW w:w="2376" w:type="dxa"/>
            <w:vAlign w:val="center"/>
          </w:tcPr>
          <w:p>
            <w:pPr>
              <w:spacing w:before="36" w:line="208" w:lineRule="auto"/>
              <w:ind w:firstLine="117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人力资源社会保障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6" w:hRule="atLeast"/>
        </w:trPr>
        <w:tc>
          <w:tcPr>
            <w:tcW w:w="721" w:type="dxa"/>
            <w:vAlign w:val="center"/>
          </w:tcPr>
          <w:p>
            <w:pPr>
              <w:spacing w:before="87" w:line="180" w:lineRule="auto"/>
              <w:ind w:firstLine="276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黑体" w:hAnsi="黑体" w:eastAsia="黑体" w:cs="黑体"/>
                <w:spacing w:val="-6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194" w:type="dxa"/>
            <w:vAlign w:val="center"/>
          </w:tcPr>
          <w:p>
            <w:pPr>
              <w:spacing w:before="17" w:line="276" w:lineRule="exact"/>
              <w:ind w:firstLine="111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居民健康素养水平达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%</w:t>
            </w:r>
          </w:p>
        </w:tc>
        <w:tc>
          <w:tcPr>
            <w:tcW w:w="2376" w:type="dxa"/>
            <w:vAlign w:val="center"/>
          </w:tcPr>
          <w:p>
            <w:pPr>
              <w:spacing w:before="35" w:line="208" w:lineRule="auto"/>
              <w:ind w:firstLine="117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卫生健康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7" w:hRule="atLeast"/>
        </w:trPr>
        <w:tc>
          <w:tcPr>
            <w:tcW w:w="721" w:type="dxa"/>
            <w:vAlign w:val="center"/>
          </w:tcPr>
          <w:p>
            <w:pPr>
              <w:spacing w:before="86" w:line="180" w:lineRule="auto"/>
              <w:ind w:firstLine="276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黑体" w:hAnsi="黑体" w:eastAsia="黑体" w:cs="黑体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194" w:type="dxa"/>
            <w:vAlign w:val="center"/>
          </w:tcPr>
          <w:p>
            <w:pPr>
              <w:spacing w:before="34" w:line="208" w:lineRule="auto"/>
              <w:ind w:firstLine="112"/>
              <w:jc w:val="both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孕产妇死亡率小于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val="en-US" w:eastAsia="zh-CN"/>
              </w:rPr>
              <w:t>8/10万人</w:t>
            </w:r>
          </w:p>
        </w:tc>
        <w:tc>
          <w:tcPr>
            <w:tcW w:w="2376" w:type="dxa"/>
            <w:vAlign w:val="center"/>
          </w:tcPr>
          <w:p>
            <w:pPr>
              <w:spacing w:before="34" w:line="208" w:lineRule="auto"/>
              <w:ind w:firstLine="117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卫生健康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8" w:hRule="atLeast"/>
        </w:trPr>
        <w:tc>
          <w:tcPr>
            <w:tcW w:w="721" w:type="dxa"/>
            <w:vAlign w:val="center"/>
          </w:tcPr>
          <w:p>
            <w:pPr>
              <w:spacing w:before="87" w:line="180" w:lineRule="auto"/>
              <w:ind w:firstLine="256"/>
              <w:jc w:val="both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6194" w:type="dxa"/>
            <w:vAlign w:val="center"/>
          </w:tcPr>
          <w:p>
            <w:pPr>
              <w:spacing w:before="35" w:line="208" w:lineRule="auto"/>
              <w:ind w:firstLine="112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5岁以下儿童死亡率小于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‰</w:t>
            </w:r>
          </w:p>
        </w:tc>
        <w:tc>
          <w:tcPr>
            <w:tcW w:w="2376" w:type="dxa"/>
            <w:vAlign w:val="center"/>
          </w:tcPr>
          <w:p>
            <w:pPr>
              <w:spacing w:before="35" w:line="208" w:lineRule="auto"/>
              <w:ind w:firstLine="117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卫生健康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0" w:hRule="atLeast"/>
        </w:trPr>
        <w:tc>
          <w:tcPr>
            <w:tcW w:w="721" w:type="dxa"/>
            <w:vAlign w:val="center"/>
          </w:tcPr>
          <w:p>
            <w:pPr>
              <w:spacing w:before="86" w:line="180" w:lineRule="auto"/>
              <w:ind w:firstLine="256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2</w:t>
            </w: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94" w:type="dxa"/>
            <w:vAlign w:val="center"/>
          </w:tcPr>
          <w:p>
            <w:pPr>
              <w:spacing w:before="35" w:line="208" w:lineRule="auto"/>
              <w:ind w:firstLine="11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每千人口拥有医疗机构床位数达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val="en-US" w:eastAsia="zh-CN"/>
              </w:rPr>
              <w:t>8.05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张</w:t>
            </w:r>
          </w:p>
        </w:tc>
        <w:tc>
          <w:tcPr>
            <w:tcW w:w="2376" w:type="dxa"/>
            <w:vAlign w:val="center"/>
          </w:tcPr>
          <w:p>
            <w:pPr>
              <w:spacing w:before="35" w:line="208" w:lineRule="auto"/>
              <w:ind w:firstLine="117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卫生健康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0" w:hRule="atLeast"/>
        </w:trPr>
        <w:tc>
          <w:tcPr>
            <w:tcW w:w="721" w:type="dxa"/>
            <w:vAlign w:val="center"/>
          </w:tcPr>
          <w:p>
            <w:pPr>
              <w:spacing w:before="87" w:line="180" w:lineRule="auto"/>
              <w:ind w:firstLine="256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2</w:t>
            </w: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194" w:type="dxa"/>
            <w:vAlign w:val="center"/>
          </w:tcPr>
          <w:p>
            <w:pPr>
              <w:spacing w:before="35" w:line="208" w:lineRule="auto"/>
              <w:ind w:firstLine="11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每千人口拥有注册护士数达</w:t>
            </w: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  <w:lang w:val="en-US" w:eastAsia="zh-CN"/>
              </w:rPr>
              <w:t>2.35</w:t>
            </w: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人</w:t>
            </w:r>
          </w:p>
        </w:tc>
        <w:tc>
          <w:tcPr>
            <w:tcW w:w="2376" w:type="dxa"/>
            <w:vAlign w:val="center"/>
          </w:tcPr>
          <w:p>
            <w:pPr>
              <w:spacing w:before="35" w:line="208" w:lineRule="auto"/>
              <w:ind w:firstLine="117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卫生健康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37" w:hRule="atLeast"/>
        </w:trPr>
        <w:tc>
          <w:tcPr>
            <w:tcW w:w="721" w:type="dxa"/>
            <w:vAlign w:val="center"/>
          </w:tcPr>
          <w:p>
            <w:pPr>
              <w:spacing w:before="87" w:line="180" w:lineRule="auto"/>
              <w:ind w:firstLine="256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2</w:t>
            </w: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194" w:type="dxa"/>
            <w:vAlign w:val="center"/>
          </w:tcPr>
          <w:p>
            <w:pPr>
              <w:spacing w:before="35" w:line="208" w:lineRule="auto"/>
              <w:ind w:firstLine="11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3"/>
                <w:sz w:val="21"/>
                <w:szCs w:val="21"/>
              </w:rPr>
              <w:t>每万人口拥有全科医师数达</w:t>
            </w:r>
            <w:r>
              <w:rPr>
                <w:rFonts w:hint="eastAsia" w:ascii="黑体" w:hAnsi="黑体" w:eastAsia="黑体" w:cs="黑体"/>
                <w:spacing w:val="3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pacing w:val="3"/>
                <w:sz w:val="21"/>
                <w:szCs w:val="21"/>
              </w:rPr>
              <w:t>人</w:t>
            </w:r>
          </w:p>
        </w:tc>
        <w:tc>
          <w:tcPr>
            <w:tcW w:w="2376" w:type="dxa"/>
            <w:vAlign w:val="center"/>
          </w:tcPr>
          <w:p>
            <w:pPr>
              <w:spacing w:before="35" w:line="208" w:lineRule="auto"/>
              <w:ind w:firstLine="117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卫生健康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7" w:hRule="atLeast"/>
        </w:trPr>
        <w:tc>
          <w:tcPr>
            <w:tcW w:w="721" w:type="dxa"/>
            <w:vAlign w:val="center"/>
          </w:tcPr>
          <w:p>
            <w:pPr>
              <w:spacing w:before="86" w:line="180" w:lineRule="auto"/>
              <w:ind w:firstLine="256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194" w:type="dxa"/>
            <w:vAlign w:val="center"/>
          </w:tcPr>
          <w:p>
            <w:pPr>
              <w:spacing w:before="34" w:line="208" w:lineRule="auto"/>
              <w:ind w:firstLine="110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</w:rPr>
              <w:t>每千人口拥有执业（助理）医师数达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1.87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</w:rPr>
              <w:t>人</w:t>
            </w:r>
          </w:p>
        </w:tc>
        <w:tc>
          <w:tcPr>
            <w:tcW w:w="2376" w:type="dxa"/>
            <w:vAlign w:val="center"/>
          </w:tcPr>
          <w:p>
            <w:pPr>
              <w:spacing w:before="34" w:line="208" w:lineRule="auto"/>
              <w:ind w:firstLine="117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卫生健康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94" w:hRule="atLeast"/>
        </w:trPr>
        <w:tc>
          <w:tcPr>
            <w:tcW w:w="721" w:type="dxa"/>
            <w:vAlign w:val="center"/>
          </w:tcPr>
          <w:p>
            <w:pPr>
              <w:spacing w:before="87" w:line="180" w:lineRule="auto"/>
              <w:ind w:firstLine="256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194" w:type="dxa"/>
            <w:vAlign w:val="center"/>
          </w:tcPr>
          <w:p>
            <w:pPr>
              <w:spacing w:before="17" w:line="276" w:lineRule="exact"/>
              <w:ind w:firstLine="110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</w:rPr>
              <w:t>基本医疗保险参保率稳定在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95%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</w:rPr>
              <w:t>以上</w:t>
            </w:r>
          </w:p>
        </w:tc>
        <w:tc>
          <w:tcPr>
            <w:tcW w:w="2376" w:type="dxa"/>
            <w:vAlign w:val="center"/>
          </w:tcPr>
          <w:p>
            <w:pPr>
              <w:spacing w:before="34" w:line="208" w:lineRule="auto"/>
              <w:ind w:firstLine="117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市医疗保障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35" w:hRule="atLeast"/>
        </w:trPr>
        <w:tc>
          <w:tcPr>
            <w:tcW w:w="721" w:type="dxa"/>
            <w:vAlign w:val="center"/>
          </w:tcPr>
          <w:p>
            <w:pPr>
              <w:spacing w:before="88" w:line="180" w:lineRule="auto"/>
              <w:ind w:firstLine="256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194" w:type="dxa"/>
            <w:vAlign w:val="center"/>
          </w:tcPr>
          <w:p>
            <w:pPr>
              <w:spacing w:before="18" w:line="276" w:lineRule="exact"/>
              <w:ind w:firstLine="110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基本养老保险参保率达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%</w:t>
            </w:r>
          </w:p>
        </w:tc>
        <w:tc>
          <w:tcPr>
            <w:tcW w:w="2376" w:type="dxa"/>
            <w:vAlign w:val="center"/>
          </w:tcPr>
          <w:p>
            <w:pPr>
              <w:spacing w:before="37" w:line="208" w:lineRule="auto"/>
              <w:ind w:firstLine="117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人力资源社会保障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9" w:hRule="atLeast"/>
        </w:trPr>
        <w:tc>
          <w:tcPr>
            <w:tcW w:w="721" w:type="dxa"/>
            <w:vAlign w:val="center"/>
          </w:tcPr>
          <w:p>
            <w:pPr>
              <w:spacing w:before="88" w:line="180" w:lineRule="auto"/>
              <w:ind w:firstLine="256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194" w:type="dxa"/>
            <w:vAlign w:val="center"/>
          </w:tcPr>
          <w:p>
            <w:pPr>
              <w:spacing w:before="19" w:line="276" w:lineRule="exact"/>
              <w:ind w:firstLine="119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</w:rPr>
              <w:t>乡镇（街道）范围具备综合功能的养老服务设施覆盖率达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60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</w:rPr>
              <w:t>%</w:t>
            </w:r>
          </w:p>
        </w:tc>
        <w:tc>
          <w:tcPr>
            <w:tcW w:w="2376" w:type="dxa"/>
            <w:vAlign w:val="center"/>
          </w:tcPr>
          <w:p>
            <w:pPr>
              <w:spacing w:before="37" w:line="208" w:lineRule="auto"/>
              <w:ind w:firstLine="117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</w:rPr>
              <w:t>民政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721" w:type="dxa"/>
            <w:vAlign w:val="center"/>
          </w:tcPr>
          <w:p>
            <w:pPr>
              <w:spacing w:before="91" w:line="180" w:lineRule="auto"/>
              <w:ind w:firstLine="256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194" w:type="dxa"/>
            <w:vAlign w:val="center"/>
          </w:tcPr>
          <w:p>
            <w:pPr>
              <w:spacing w:before="21" w:line="276" w:lineRule="exact"/>
              <w:ind w:firstLine="111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养老机构护理型床位占比达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  <w:t>55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%以上</w:t>
            </w:r>
          </w:p>
        </w:tc>
        <w:tc>
          <w:tcPr>
            <w:tcW w:w="2376" w:type="dxa"/>
            <w:vAlign w:val="center"/>
          </w:tcPr>
          <w:p>
            <w:pPr>
              <w:spacing w:before="38" w:line="208" w:lineRule="auto"/>
              <w:ind w:firstLine="117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民政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、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卫生健康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4" w:hRule="atLeast"/>
        </w:trPr>
        <w:tc>
          <w:tcPr>
            <w:tcW w:w="721" w:type="dxa"/>
            <w:vAlign w:val="center"/>
          </w:tcPr>
          <w:p>
            <w:pPr>
              <w:spacing w:before="91" w:line="180" w:lineRule="auto"/>
              <w:ind w:firstLine="256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194" w:type="dxa"/>
            <w:vAlign w:val="center"/>
          </w:tcPr>
          <w:p>
            <w:pPr>
              <w:spacing w:before="39" w:line="208" w:lineRule="auto"/>
              <w:ind w:firstLine="111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新建城区、新建居住区配套建设养老服务设施达标率达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%</w:t>
            </w:r>
          </w:p>
        </w:tc>
        <w:tc>
          <w:tcPr>
            <w:tcW w:w="2376" w:type="dxa"/>
            <w:vAlign w:val="center"/>
          </w:tcPr>
          <w:p>
            <w:pPr>
              <w:spacing w:before="39" w:line="208" w:lineRule="auto"/>
              <w:ind w:firstLine="117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民政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35" w:hRule="atLeast"/>
        </w:trPr>
        <w:tc>
          <w:tcPr>
            <w:tcW w:w="721" w:type="dxa"/>
            <w:vAlign w:val="center"/>
          </w:tcPr>
          <w:p>
            <w:pPr>
              <w:spacing w:before="90" w:line="180" w:lineRule="auto"/>
              <w:ind w:firstLine="260"/>
              <w:jc w:val="both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6194" w:type="dxa"/>
            <w:vAlign w:val="center"/>
          </w:tcPr>
          <w:p>
            <w:pPr>
              <w:spacing w:before="20" w:line="276" w:lineRule="exact"/>
              <w:ind w:firstLine="111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65岁以上老人家庭医生签约服务覆盖率达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  <w:t>60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%</w:t>
            </w:r>
          </w:p>
        </w:tc>
        <w:tc>
          <w:tcPr>
            <w:tcW w:w="2376" w:type="dxa"/>
            <w:vAlign w:val="center"/>
          </w:tcPr>
          <w:p>
            <w:pPr>
              <w:spacing w:before="38" w:line="208" w:lineRule="auto"/>
              <w:ind w:firstLine="117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卫生健康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5" w:hRule="atLeast"/>
        </w:trPr>
        <w:tc>
          <w:tcPr>
            <w:tcW w:w="721" w:type="dxa"/>
            <w:vAlign w:val="center"/>
          </w:tcPr>
          <w:p>
            <w:pPr>
              <w:spacing w:before="91" w:line="180" w:lineRule="auto"/>
              <w:ind w:firstLine="260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3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94" w:type="dxa"/>
            <w:vAlign w:val="center"/>
          </w:tcPr>
          <w:p>
            <w:pPr>
              <w:spacing w:before="38" w:line="208" w:lineRule="auto"/>
              <w:ind w:firstLine="116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公共租赁住房累计保障户数达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  <w:t>3700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户</w:t>
            </w:r>
          </w:p>
        </w:tc>
        <w:tc>
          <w:tcPr>
            <w:tcW w:w="2376" w:type="dxa"/>
            <w:vAlign w:val="center"/>
          </w:tcPr>
          <w:p>
            <w:pPr>
              <w:spacing w:before="38" w:line="208" w:lineRule="auto"/>
              <w:ind w:firstLine="117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</w:rPr>
              <w:t>住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房城乡建设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7" w:hRule="atLeast"/>
        </w:trPr>
        <w:tc>
          <w:tcPr>
            <w:tcW w:w="721" w:type="dxa"/>
            <w:vAlign w:val="center"/>
          </w:tcPr>
          <w:p>
            <w:pPr>
              <w:spacing w:before="92" w:line="180" w:lineRule="auto"/>
              <w:ind w:firstLine="260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3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194" w:type="dxa"/>
            <w:vAlign w:val="center"/>
          </w:tcPr>
          <w:p>
            <w:pPr>
              <w:spacing w:before="40" w:line="208" w:lineRule="auto"/>
              <w:ind w:firstLine="111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符合条件的城镇低保低收入住房困难家庭公租房保障率达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%</w:t>
            </w:r>
          </w:p>
        </w:tc>
        <w:tc>
          <w:tcPr>
            <w:tcW w:w="2376" w:type="dxa"/>
            <w:vAlign w:val="center"/>
          </w:tcPr>
          <w:p>
            <w:pPr>
              <w:spacing w:before="40" w:line="208" w:lineRule="auto"/>
              <w:ind w:firstLine="117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</w:rPr>
              <w:t>住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房城乡建设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9" w:hRule="atLeast"/>
        </w:trPr>
        <w:tc>
          <w:tcPr>
            <w:tcW w:w="721" w:type="dxa"/>
            <w:vAlign w:val="center"/>
          </w:tcPr>
          <w:p>
            <w:pPr>
              <w:spacing w:before="93" w:line="180" w:lineRule="auto"/>
              <w:ind w:firstLine="260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3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194" w:type="dxa"/>
            <w:vAlign w:val="center"/>
          </w:tcPr>
          <w:p>
            <w:pPr>
              <w:spacing w:before="41" w:line="208" w:lineRule="auto"/>
              <w:ind w:firstLine="111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符合条件的农村低收入群体住房安全保障率达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%</w:t>
            </w:r>
          </w:p>
        </w:tc>
        <w:tc>
          <w:tcPr>
            <w:tcW w:w="2376" w:type="dxa"/>
            <w:vAlign w:val="center"/>
          </w:tcPr>
          <w:p>
            <w:pPr>
              <w:spacing w:before="41" w:line="208" w:lineRule="auto"/>
              <w:ind w:firstLine="117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</w:rPr>
              <w:t>住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房城乡建设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9" w:hRule="atLeast"/>
        </w:trPr>
        <w:tc>
          <w:tcPr>
            <w:tcW w:w="721" w:type="dxa"/>
            <w:vAlign w:val="center"/>
          </w:tcPr>
          <w:p>
            <w:pPr>
              <w:spacing w:before="89" w:line="180" w:lineRule="auto"/>
              <w:ind w:firstLine="260" w:firstLineChars="0"/>
              <w:jc w:val="both"/>
              <w:rPr>
                <w:rFonts w:hint="default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6194" w:type="dxa"/>
            <w:vAlign w:val="center"/>
          </w:tcPr>
          <w:p>
            <w:pPr>
              <w:spacing w:before="36" w:line="208" w:lineRule="auto"/>
              <w:ind w:firstLine="110" w:firstLineChars="0"/>
              <w:jc w:val="both"/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特殊困难老年人月探访率达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%</w:t>
            </w:r>
          </w:p>
        </w:tc>
        <w:tc>
          <w:tcPr>
            <w:tcW w:w="2376" w:type="dxa"/>
            <w:vAlign w:val="center"/>
          </w:tcPr>
          <w:p>
            <w:pPr>
              <w:spacing w:before="36" w:line="208" w:lineRule="auto"/>
              <w:ind w:firstLine="117" w:firstLineChars="0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</w:rPr>
              <w:t>民政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9" w:hRule="atLeast"/>
        </w:trPr>
        <w:tc>
          <w:tcPr>
            <w:tcW w:w="721" w:type="dxa"/>
            <w:vAlign w:val="center"/>
          </w:tcPr>
          <w:p>
            <w:pPr>
              <w:spacing w:before="245" w:line="180" w:lineRule="auto"/>
              <w:ind w:firstLine="260" w:firstLineChars="0"/>
              <w:jc w:val="both"/>
              <w:rPr>
                <w:rFonts w:hint="default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6194" w:type="dxa"/>
            <w:vAlign w:val="center"/>
          </w:tcPr>
          <w:p>
            <w:pPr>
              <w:spacing w:before="36" w:line="242" w:lineRule="auto"/>
              <w:ind w:left="110" w:leftChars="0" w:right="208" w:rightChars="0" w:hanging="17" w:firstLineChars="0"/>
              <w:jc w:val="both"/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5"/>
                <w:sz w:val="21"/>
                <w:szCs w:val="21"/>
              </w:rPr>
              <w:t>“广东兜底民生服务社会工作双百工程”乡镇（街道）社工站覆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5"/>
                <w:sz w:val="21"/>
                <w:szCs w:val="21"/>
              </w:rPr>
              <w:t>盖率达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5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5"/>
                <w:sz w:val="21"/>
                <w:szCs w:val="21"/>
              </w:rPr>
              <w:t>%</w:t>
            </w:r>
          </w:p>
        </w:tc>
        <w:tc>
          <w:tcPr>
            <w:tcW w:w="2376" w:type="dxa"/>
            <w:vAlign w:val="center"/>
          </w:tcPr>
          <w:p>
            <w:pPr>
              <w:spacing w:before="193" w:line="208" w:lineRule="auto"/>
              <w:ind w:firstLine="117" w:firstLineChars="0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</w:rPr>
              <w:t>民政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9" w:hRule="atLeast"/>
        </w:trPr>
        <w:tc>
          <w:tcPr>
            <w:tcW w:w="721" w:type="dxa"/>
            <w:vAlign w:val="center"/>
          </w:tcPr>
          <w:p>
            <w:pPr>
              <w:spacing w:before="89" w:line="180" w:lineRule="auto"/>
              <w:ind w:firstLine="260" w:firstLineChars="0"/>
              <w:jc w:val="both"/>
              <w:rPr>
                <w:rFonts w:hint="default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6194" w:type="dxa"/>
            <w:vAlign w:val="center"/>
          </w:tcPr>
          <w:p>
            <w:pPr>
              <w:spacing w:before="20" w:line="276" w:lineRule="exact"/>
              <w:ind w:firstLine="128" w:firstLineChars="0"/>
              <w:jc w:val="both"/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</w:rPr>
              <w:t>困难残疾人生活补贴目标人群覆盖率达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  <w:t>92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</w:rPr>
              <w:t>%</w:t>
            </w:r>
          </w:p>
        </w:tc>
        <w:tc>
          <w:tcPr>
            <w:tcW w:w="2376" w:type="dxa"/>
            <w:vAlign w:val="center"/>
          </w:tcPr>
          <w:p>
            <w:pPr>
              <w:spacing w:before="37" w:line="208" w:lineRule="auto"/>
              <w:ind w:firstLine="117" w:firstLineChars="0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9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19"/>
                <w:sz w:val="21"/>
                <w:szCs w:val="21"/>
              </w:rPr>
              <w:t>民政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19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19"/>
                <w:sz w:val="21"/>
                <w:szCs w:val="21"/>
              </w:rPr>
              <w:t>，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19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19"/>
                <w:sz w:val="21"/>
                <w:szCs w:val="21"/>
              </w:rPr>
              <w:t>残联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9" w:hRule="atLeast"/>
        </w:trPr>
        <w:tc>
          <w:tcPr>
            <w:tcW w:w="721" w:type="dxa"/>
            <w:vAlign w:val="center"/>
          </w:tcPr>
          <w:p>
            <w:pPr>
              <w:spacing w:before="90" w:line="180" w:lineRule="auto"/>
              <w:ind w:firstLine="260" w:firstLineChars="0"/>
              <w:jc w:val="both"/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3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194" w:type="dxa"/>
            <w:vAlign w:val="center"/>
          </w:tcPr>
          <w:p>
            <w:pPr>
              <w:spacing w:before="20" w:line="276" w:lineRule="exact"/>
              <w:ind w:firstLine="111" w:firstLineChars="0"/>
              <w:jc w:val="both"/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重度残疾人护理补贴目标人群覆盖率达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  <w:t>89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%</w:t>
            </w:r>
          </w:p>
        </w:tc>
        <w:tc>
          <w:tcPr>
            <w:tcW w:w="2376" w:type="dxa"/>
            <w:vAlign w:val="center"/>
          </w:tcPr>
          <w:p>
            <w:pPr>
              <w:spacing w:before="39" w:line="208" w:lineRule="auto"/>
              <w:ind w:firstLine="117" w:firstLineChars="0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9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19"/>
                <w:sz w:val="21"/>
                <w:szCs w:val="21"/>
              </w:rPr>
              <w:t>民政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19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19"/>
                <w:sz w:val="21"/>
                <w:szCs w:val="21"/>
              </w:rPr>
              <w:t>，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19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19"/>
                <w:sz w:val="21"/>
                <w:szCs w:val="21"/>
              </w:rPr>
              <w:t>残联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9" w:hRule="atLeast"/>
        </w:trPr>
        <w:tc>
          <w:tcPr>
            <w:tcW w:w="721" w:type="dxa"/>
            <w:vAlign w:val="center"/>
          </w:tcPr>
          <w:p>
            <w:pPr>
              <w:spacing w:before="91" w:line="180" w:lineRule="auto"/>
              <w:ind w:firstLine="255" w:firstLineChars="0"/>
              <w:jc w:val="both"/>
              <w:rPr>
                <w:rFonts w:hint="default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6194" w:type="dxa"/>
            <w:vAlign w:val="center"/>
          </w:tcPr>
          <w:p>
            <w:pPr>
              <w:spacing w:before="21" w:line="276" w:lineRule="exact"/>
              <w:ind w:firstLine="110" w:firstLineChars="0"/>
              <w:jc w:val="both"/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残疾人基本康复服务覆盖率达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  <w:t>85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%</w:t>
            </w:r>
          </w:p>
        </w:tc>
        <w:tc>
          <w:tcPr>
            <w:tcW w:w="2376" w:type="dxa"/>
            <w:vAlign w:val="center"/>
          </w:tcPr>
          <w:p>
            <w:pPr>
              <w:spacing w:before="40" w:line="208" w:lineRule="auto"/>
              <w:ind w:firstLine="117" w:firstLineChars="0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9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19"/>
                <w:sz w:val="21"/>
                <w:szCs w:val="21"/>
              </w:rPr>
              <w:t>残联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9" w:hRule="atLeast"/>
        </w:trPr>
        <w:tc>
          <w:tcPr>
            <w:tcW w:w="721" w:type="dxa"/>
            <w:vAlign w:val="center"/>
          </w:tcPr>
          <w:p>
            <w:pPr>
              <w:spacing w:before="92" w:line="180" w:lineRule="auto"/>
              <w:ind w:firstLine="255" w:firstLineChars="0"/>
              <w:jc w:val="both"/>
              <w:rPr>
                <w:rFonts w:hint="default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6194" w:type="dxa"/>
            <w:vAlign w:val="center"/>
          </w:tcPr>
          <w:p>
            <w:pPr>
              <w:spacing w:before="39" w:line="208" w:lineRule="auto"/>
              <w:ind w:firstLine="111" w:firstLineChars="0"/>
              <w:jc w:val="both"/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符合接收安置条件的退役军人安置率保持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%</w:t>
            </w:r>
          </w:p>
        </w:tc>
        <w:tc>
          <w:tcPr>
            <w:tcW w:w="2376" w:type="dxa"/>
            <w:vAlign w:val="center"/>
          </w:tcPr>
          <w:p>
            <w:pPr>
              <w:spacing w:before="39" w:line="208" w:lineRule="auto"/>
              <w:ind w:firstLine="117" w:firstLineChars="0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退役军人事务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eastAsia="zh-CN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9" w:hRule="atLeast"/>
        </w:trPr>
        <w:tc>
          <w:tcPr>
            <w:tcW w:w="721" w:type="dxa"/>
            <w:vAlign w:val="center"/>
          </w:tcPr>
          <w:p>
            <w:pPr>
              <w:spacing w:before="92" w:line="180" w:lineRule="auto"/>
              <w:ind w:firstLine="255" w:firstLineChars="0"/>
              <w:jc w:val="both"/>
              <w:rPr>
                <w:rFonts w:hint="default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6194" w:type="dxa"/>
            <w:vAlign w:val="center"/>
          </w:tcPr>
          <w:p>
            <w:pPr>
              <w:spacing w:before="39" w:line="208" w:lineRule="auto"/>
              <w:ind w:firstLine="110" w:firstLineChars="0"/>
              <w:jc w:val="both"/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每万人公共文化设施面积达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  <w:t>1306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平方米</w:t>
            </w:r>
          </w:p>
        </w:tc>
        <w:tc>
          <w:tcPr>
            <w:tcW w:w="2376" w:type="dxa"/>
            <w:vAlign w:val="center"/>
          </w:tcPr>
          <w:p>
            <w:pPr>
              <w:spacing w:before="39" w:line="208" w:lineRule="auto"/>
              <w:ind w:firstLine="117" w:firstLineChars="0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eastAsia="zh-CN"/>
              </w:rPr>
              <w:t>市文化广电旅游体育局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9" w:hRule="atLeast"/>
        </w:trPr>
        <w:tc>
          <w:tcPr>
            <w:tcW w:w="721" w:type="dxa"/>
            <w:vAlign w:val="center"/>
          </w:tcPr>
          <w:p>
            <w:pPr>
              <w:spacing w:before="91" w:line="180" w:lineRule="auto"/>
              <w:ind w:firstLine="255" w:firstLineChars="0"/>
              <w:jc w:val="both"/>
              <w:rPr>
                <w:rFonts w:hint="default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6194" w:type="dxa"/>
            <w:vAlign w:val="center"/>
          </w:tcPr>
          <w:p>
            <w:pPr>
              <w:spacing w:before="38" w:line="208" w:lineRule="auto"/>
              <w:ind w:firstLine="111" w:firstLineChars="0"/>
              <w:jc w:val="both"/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人均体育场地面积达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2.6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平方米</w:t>
            </w:r>
          </w:p>
        </w:tc>
        <w:tc>
          <w:tcPr>
            <w:tcW w:w="2376" w:type="dxa"/>
            <w:vAlign w:val="center"/>
          </w:tcPr>
          <w:p>
            <w:pPr>
              <w:spacing w:before="38" w:line="208" w:lineRule="auto"/>
              <w:ind w:firstLine="117" w:firstLineChars="0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eastAsia="zh-CN"/>
              </w:rPr>
              <w:t>市文化广电旅游体育局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9" w:hRule="atLeast"/>
        </w:trPr>
        <w:tc>
          <w:tcPr>
            <w:tcW w:w="721" w:type="dxa"/>
            <w:vAlign w:val="center"/>
          </w:tcPr>
          <w:p>
            <w:pPr>
              <w:spacing w:before="90" w:line="180" w:lineRule="auto"/>
              <w:ind w:firstLine="255" w:firstLineChars="0"/>
              <w:jc w:val="both"/>
              <w:rPr>
                <w:rFonts w:hint="default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6194" w:type="dxa"/>
            <w:vAlign w:val="center"/>
          </w:tcPr>
          <w:p>
            <w:pPr>
              <w:spacing w:before="21" w:line="275" w:lineRule="exact"/>
              <w:ind w:firstLine="130" w:firstLineChars="0"/>
              <w:jc w:val="both"/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</w:rPr>
              <w:t>国民体质测定标准合格率达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  <w:t>93.5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</w:rPr>
              <w:t>%</w:t>
            </w:r>
          </w:p>
        </w:tc>
        <w:tc>
          <w:tcPr>
            <w:tcW w:w="2376" w:type="dxa"/>
            <w:vAlign w:val="center"/>
          </w:tcPr>
          <w:p>
            <w:pPr>
              <w:spacing w:before="38" w:line="208" w:lineRule="auto"/>
              <w:ind w:firstLine="117" w:firstLineChars="0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eastAsia="zh-CN"/>
              </w:rPr>
              <w:t>市文化广电旅游体育局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9" w:hRule="atLeast"/>
        </w:trPr>
        <w:tc>
          <w:tcPr>
            <w:tcW w:w="721" w:type="dxa"/>
            <w:vAlign w:val="center"/>
          </w:tcPr>
          <w:p>
            <w:pPr>
              <w:spacing w:before="90" w:line="180" w:lineRule="auto"/>
              <w:ind w:firstLine="255" w:firstLineChars="0"/>
              <w:jc w:val="both"/>
              <w:rPr>
                <w:rFonts w:hint="default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6194" w:type="dxa"/>
            <w:vAlign w:val="center"/>
          </w:tcPr>
          <w:p>
            <w:pPr>
              <w:spacing w:before="20" w:line="276" w:lineRule="exact"/>
              <w:ind w:firstLine="110" w:firstLineChars="0"/>
              <w:jc w:val="both"/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</w:rPr>
              <w:t>应急广播主动发布终端人口覆盖率达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</w:rPr>
              <w:t>%以上</w:t>
            </w:r>
          </w:p>
        </w:tc>
        <w:tc>
          <w:tcPr>
            <w:tcW w:w="2376" w:type="dxa"/>
            <w:vAlign w:val="center"/>
          </w:tcPr>
          <w:p>
            <w:pPr>
              <w:spacing w:before="39" w:line="208" w:lineRule="auto"/>
              <w:ind w:firstLine="117" w:firstLineChars="0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eastAsia="zh-CN"/>
              </w:rPr>
              <w:t>市文化广电旅游体育局</w:t>
            </w:r>
          </w:p>
        </w:tc>
      </w:tr>
    </w:tbl>
    <w:p>
      <w:pPr>
        <w:rPr>
          <w:rFonts w:hint="eastAsia" w:ascii="仿宋" w:hAnsi="仿宋" w:eastAsia="仿宋" w:cs="仿宋"/>
          <w:sz w:val="21"/>
        </w:rPr>
      </w:pPr>
    </w:p>
    <w:p>
      <w:pPr>
        <w:rPr>
          <w:rFonts w:hint="eastAsia" w:ascii="仿宋" w:hAnsi="仿宋" w:eastAsia="仿宋" w:cs="仿宋"/>
          <w:sz w:val="21"/>
        </w:rPr>
      </w:pPr>
    </w:p>
    <w:p>
      <w:pPr>
        <w:rPr>
          <w:rFonts w:hint="eastAsia" w:ascii="仿宋" w:hAnsi="仿宋" w:eastAsia="仿宋" w:cs="仿宋"/>
          <w:sz w:val="21"/>
        </w:rPr>
      </w:pPr>
    </w:p>
    <w:p>
      <w:pPr>
        <w:rPr>
          <w:rFonts w:hint="eastAsia" w:ascii="仿宋" w:hAnsi="仿宋" w:eastAsia="仿宋" w:cs="仿宋"/>
          <w:sz w:val="21"/>
        </w:rPr>
      </w:pPr>
    </w:p>
    <w:p>
      <w:pPr>
        <w:rPr>
          <w:rFonts w:hint="eastAsia" w:ascii="仿宋" w:hAnsi="仿宋" w:eastAsia="仿宋" w:cs="仿宋"/>
          <w:sz w:val="21"/>
        </w:rPr>
      </w:pPr>
    </w:p>
    <w:p>
      <w:pPr>
        <w:rPr>
          <w:rFonts w:hint="eastAsia" w:ascii="仿宋" w:hAnsi="仿宋" w:eastAsia="仿宋" w:cs="仿宋"/>
          <w:sz w:val="21"/>
        </w:rPr>
      </w:pPr>
    </w:p>
    <w:p>
      <w:pPr>
        <w:rPr>
          <w:rFonts w:hint="eastAsia" w:ascii="仿宋" w:hAnsi="仿宋" w:eastAsia="仿宋" w:cs="仿宋"/>
          <w:sz w:val="21"/>
        </w:rPr>
      </w:pPr>
    </w:p>
    <w:p>
      <w:pPr>
        <w:rPr>
          <w:rFonts w:hint="eastAsia" w:ascii="仿宋" w:hAnsi="仿宋" w:eastAsia="仿宋" w:cs="仿宋"/>
          <w:sz w:val="21"/>
        </w:rPr>
      </w:pPr>
    </w:p>
    <w:p>
      <w:pPr>
        <w:rPr>
          <w:rFonts w:hint="eastAsia" w:ascii="仿宋" w:hAnsi="仿宋" w:eastAsia="仿宋" w:cs="仿宋"/>
          <w:sz w:val="21"/>
        </w:rPr>
      </w:pPr>
    </w:p>
    <w:p>
      <w:pPr>
        <w:rPr>
          <w:rFonts w:hint="eastAsia" w:ascii="仿宋" w:hAnsi="仿宋" w:eastAsia="仿宋" w:cs="仿宋"/>
          <w:sz w:val="21"/>
        </w:rPr>
      </w:pPr>
    </w:p>
    <w:p>
      <w:pPr>
        <w:rPr>
          <w:rFonts w:hint="eastAsia" w:ascii="仿宋" w:hAnsi="仿宋" w:eastAsia="仿宋" w:cs="仿宋"/>
          <w:sz w:val="21"/>
        </w:rPr>
      </w:pPr>
    </w:p>
    <w:tbl>
      <w:tblPr>
        <w:tblStyle w:val="5"/>
        <w:tblpPr w:leftFromText="180" w:rightFromText="180" w:vertAnchor="text" w:horzAnchor="page" w:tblpX="1310" w:tblpY="25"/>
        <w:tblOverlap w:val="never"/>
        <w:tblW w:w="930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5986"/>
        <w:gridCol w:w="26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9300" w:type="dxa"/>
            <w:gridSpan w:val="3"/>
            <w:vAlign w:val="center"/>
          </w:tcPr>
          <w:p>
            <w:pPr>
              <w:tabs>
                <w:tab w:val="left" w:pos="4481"/>
              </w:tabs>
              <w:spacing w:before="103" w:line="230" w:lineRule="auto"/>
              <w:ind w:left="980" w:right="254" w:hanging="727"/>
              <w:jc w:val="center"/>
              <w:rPr>
                <w:rFonts w:hint="eastAsia" w:ascii="仿宋" w:hAnsi="仿宋" w:eastAsia="仿宋" w:cs="仿宋"/>
                <w:b/>
                <w:bCs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8"/>
                <w:szCs w:val="28"/>
                <w:lang w:eastAsia="zh-CN"/>
              </w:rPr>
              <w:t>主要任务分工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4" w:hRule="atLeast"/>
        </w:trPr>
        <w:tc>
          <w:tcPr>
            <w:tcW w:w="710" w:type="dxa"/>
            <w:vAlign w:val="top"/>
          </w:tcPr>
          <w:p>
            <w:pPr>
              <w:spacing w:line="262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spacing w:before="68" w:line="184" w:lineRule="auto"/>
              <w:ind w:firstLine="158"/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5986" w:type="dxa"/>
            <w:vAlign w:val="top"/>
          </w:tcPr>
          <w:p>
            <w:pPr>
              <w:spacing w:line="262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spacing w:before="68" w:line="184" w:lineRule="auto"/>
              <w:ind w:firstLine="2693"/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sz w:val="24"/>
                <w:szCs w:val="24"/>
              </w:rPr>
              <w:t>主要任务</w:t>
            </w:r>
          </w:p>
        </w:tc>
        <w:tc>
          <w:tcPr>
            <w:tcW w:w="2604" w:type="dxa"/>
            <w:vAlign w:val="top"/>
          </w:tcPr>
          <w:p>
            <w:pPr>
              <w:spacing w:before="53" w:line="184" w:lineRule="auto"/>
              <w:ind w:firstLine="785"/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5"/>
                <w:sz w:val="24"/>
                <w:szCs w:val="24"/>
              </w:rPr>
              <w:t>责任单位</w:t>
            </w:r>
          </w:p>
          <w:p>
            <w:pPr>
              <w:spacing w:before="103" w:line="230" w:lineRule="auto"/>
              <w:ind w:left="980" w:right="254" w:hanging="727"/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4"/>
                <w:szCs w:val="24"/>
              </w:rPr>
              <w:t>（排第一的为牵头单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4"/>
                <w:szCs w:val="24"/>
              </w:rPr>
              <w:t>位）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710" w:type="dxa"/>
            <w:vAlign w:val="top"/>
          </w:tcPr>
          <w:p>
            <w:pPr>
              <w:spacing w:before="61" w:line="180" w:lineRule="auto"/>
              <w:ind w:firstLine="261"/>
              <w:jc w:val="left"/>
              <w:rPr>
                <w:rFonts w:hint="default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促进基本公共服务均等可及。加强标准化建设，提升均等化水平，促进服务便利可及。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1"/>
                <w:sz w:val="21"/>
                <w:szCs w:val="21"/>
                <w:lang w:eastAsia="zh-CN"/>
              </w:rPr>
              <w:t>市发展改革局、市财政局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，相关行业主管部门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1" w:hRule="atLeast"/>
        </w:trPr>
        <w:tc>
          <w:tcPr>
            <w:tcW w:w="710" w:type="dxa"/>
            <w:vAlign w:val="top"/>
          </w:tcPr>
          <w:p>
            <w:pPr>
              <w:spacing w:before="61" w:line="180" w:lineRule="auto"/>
              <w:ind w:firstLine="261"/>
              <w:jc w:val="left"/>
              <w:rPr>
                <w:rFonts w:hint="default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扩大适度普惠公共服务供给。发挥政府主导作用，培育多元供给主体，加强重点领域普惠公共服务供给。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1"/>
                <w:sz w:val="21"/>
                <w:szCs w:val="21"/>
                <w:lang w:eastAsia="zh-CN"/>
              </w:rPr>
              <w:t>市发展改革局、市财政局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，相关行业主管部门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710" w:type="dxa"/>
            <w:vAlign w:val="top"/>
          </w:tcPr>
          <w:p>
            <w:pPr>
              <w:spacing w:before="61" w:line="180" w:lineRule="auto"/>
              <w:ind w:firstLine="261"/>
              <w:jc w:val="left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</w:p>
          <w:p>
            <w:pPr>
              <w:spacing w:before="61" w:line="180" w:lineRule="auto"/>
              <w:ind w:firstLine="261"/>
              <w:jc w:val="left"/>
              <w:rPr>
                <w:rFonts w:hint="default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拓展多样化个性化生活服务。逐步放宽市场准入，加强对外交流合作，推进品牌化发展。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1"/>
                <w:sz w:val="21"/>
                <w:szCs w:val="21"/>
                <w:lang w:eastAsia="zh-CN"/>
              </w:rPr>
              <w:t>市发展改革局、市商务局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、市市场监管局，相关行业主管部门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41" w:hRule="atLeast"/>
        </w:trPr>
        <w:tc>
          <w:tcPr>
            <w:tcW w:w="710" w:type="dxa"/>
            <w:vAlign w:val="top"/>
          </w:tcPr>
          <w:p>
            <w:pPr>
              <w:spacing w:before="61" w:line="180" w:lineRule="auto"/>
              <w:ind w:firstLine="261"/>
              <w:jc w:val="left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</w:p>
          <w:p>
            <w:pPr>
              <w:spacing w:before="61" w:line="180" w:lineRule="auto"/>
              <w:ind w:firstLine="261"/>
              <w:jc w:val="left"/>
              <w:rPr>
                <w:rFonts w:hint="default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保持人口总量势能优势。增强生育政策包容性，切实降低生养子女成本，提高流动人口服务管理水平，加强人口发展预测。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市发展改革局、市卫生健康局、市公安局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710" w:type="dxa"/>
            <w:vAlign w:val="top"/>
          </w:tcPr>
          <w:p>
            <w:pPr>
              <w:spacing w:before="61" w:line="180" w:lineRule="auto"/>
              <w:ind w:firstLine="261"/>
              <w:jc w:val="left"/>
              <w:rPr>
                <w:rFonts w:hint="default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持续优化人口空间布局。加快推进以人为核心的新型城镇化，不断深化户籍制度改革，不断完善区域人口布局。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市发展改革局、市公安局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1" w:hRule="atLeast"/>
        </w:trPr>
        <w:tc>
          <w:tcPr>
            <w:tcW w:w="710" w:type="dxa"/>
            <w:vAlign w:val="top"/>
          </w:tcPr>
          <w:p>
            <w:pPr>
              <w:spacing w:before="61" w:line="180" w:lineRule="auto"/>
              <w:ind w:firstLine="261"/>
              <w:jc w:val="left"/>
              <w:rPr>
                <w:rFonts w:hint="default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推动“公共资源随人走”。提高制度统筹能力，建立资源投入挂钩机制，优化城乡公共资源布局。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1"/>
                <w:sz w:val="21"/>
                <w:szCs w:val="21"/>
                <w:lang w:eastAsia="zh-CN"/>
              </w:rPr>
              <w:t>市发展改革局、市财政局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、市自然资源局，市委编办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710" w:type="dxa"/>
            <w:vAlign w:val="top"/>
          </w:tcPr>
          <w:p>
            <w:pPr>
              <w:spacing w:line="303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pacing w:before="61" w:line="180" w:lineRule="auto"/>
              <w:ind w:firstLine="261"/>
              <w:jc w:val="left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实施公共服务补短板工程。完善统筹协调机制，强化公共服务内生动力，强化公共服务 区域合作机制。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1"/>
                <w:sz w:val="21"/>
                <w:szCs w:val="21"/>
                <w:lang w:eastAsia="zh-CN"/>
              </w:rPr>
              <w:t>市发展改革局、市财政局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、相关行业主管部门，各县（市、区）人民政府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line="303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pacing w:before="61" w:line="180" w:lineRule="auto"/>
              <w:ind w:firstLine="261"/>
              <w:jc w:val="left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实施乡村公共服务提升工程。健全城乡融合发展机制，完善乡村公共服务网络，加强乡村公共服务人才队伍建设。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市农业农村局、市发展改革局，市委组织部， 相关行业主管部门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before="216" w:line="180" w:lineRule="auto"/>
              <w:ind w:firstLine="261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</w:rPr>
              <w:t>5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提升优孕优生水平。综合防控出生缺陷，强化孕育健康服务。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市卫生健康局，市妇联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before="245" w:line="180" w:lineRule="auto"/>
              <w:ind w:firstLine="261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</w:rPr>
              <w:t>5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加快普惠托育发展。增强家庭照护能力，拓展社区托育服务，规范发展托育服务机构。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市卫生健康局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710" w:type="dxa"/>
            <w:vAlign w:val="top"/>
          </w:tcPr>
          <w:p>
            <w:pPr>
              <w:spacing w:before="248" w:line="180" w:lineRule="auto"/>
              <w:ind w:firstLine="261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</w:rPr>
              <w:t>5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促进儿童健康成长。提升儿童健康服务水平，加强儿童关爱保障服务。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1"/>
                <w:sz w:val="21"/>
                <w:szCs w:val="21"/>
                <w:lang w:eastAsia="zh-CN"/>
              </w:rPr>
              <w:t>市民政局、市卫生健康局，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团市委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78" w:hRule="atLeast"/>
        </w:trPr>
        <w:tc>
          <w:tcPr>
            <w:tcW w:w="710" w:type="dxa"/>
            <w:vAlign w:val="top"/>
          </w:tcPr>
          <w:p>
            <w:pPr>
              <w:spacing w:before="247" w:line="180" w:lineRule="auto"/>
              <w:ind w:firstLine="261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</w:rPr>
              <w:t>5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提升养老服务能力。提升居家社区养老品质，强化养老机构服务能力，推进医养康养融合发展。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市民政局、市卫生健康局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line="301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pacing w:before="61" w:line="180" w:lineRule="auto"/>
              <w:ind w:firstLine="261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</w:rPr>
              <w:t>5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扩大为老服务供给。完善多层次养老保险制度，加强养老助老服务，加快发展银发经济。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市人力资源社会保障   局、市民政局、市卫生健康局、市工业和信息化局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before="249" w:line="180" w:lineRule="auto"/>
              <w:ind w:firstLine="26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推进基础教育公平优质发展。大力增加学位供给，全面提升教育质量，促进教育资源均衡，完善招生考试制度。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市教育局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before="249" w:line="180" w:lineRule="auto"/>
              <w:ind w:firstLine="260" w:firstLineChars="0"/>
              <w:jc w:val="left"/>
              <w:rPr>
                <w:rFonts w:hint="default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推动职业教育提内涵强服务。构建现代职业教育体系，提升职业教育内涵。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市教育局、市人力资源社会保障局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before="249" w:line="180" w:lineRule="auto"/>
              <w:ind w:firstLine="260" w:firstLineChars="0"/>
              <w:jc w:val="left"/>
              <w:rPr>
                <w:rFonts w:hint="default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推动高等教育分类发展。推动高等教育普及发展，提升高等教育育人水平。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市教育局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before="249" w:line="180" w:lineRule="auto"/>
              <w:ind w:firstLine="260" w:firstLineChars="0"/>
              <w:jc w:val="left"/>
              <w:rPr>
                <w:rFonts w:hint="default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加快终身教育发展。推动继续教育提升发展，大力发展社区教育和老年教育，打造开放畅通的人才成长通道。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市教育局、市人力资源社会保障局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before="249" w:line="180" w:lineRule="auto"/>
              <w:ind w:firstLine="260" w:firstLineChars="0"/>
              <w:jc w:val="left"/>
              <w:rPr>
                <w:rFonts w:hint="default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鼓励社会力量投入教育。发展教育培训服务业，深化民办教育分类管理改革，实施民办学校规范达标和品牌提升计划。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市教育局、市人力资源社会保障局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line="304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pacing w:before="60" w:line="180" w:lineRule="auto"/>
              <w:ind w:firstLine="26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6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强化就业优先政策。稳定和扩大就业增长点，加强公共就业创业服务，健全终身职业技能培训体系，完善兜底安置和失业预警机制，积极开发老龄人力资源。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市人力资源社会保障   局、市发展改革局、市教育局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before="249" w:line="180" w:lineRule="auto"/>
              <w:ind w:firstLine="26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</w:rPr>
              <w:t>6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完善促进就业的社会保险制度。完善失业保险制度，完善工伤保险制度，构建新业态用工和社保制度。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市人力资源社会保障局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line="302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pacing w:before="61" w:line="180" w:lineRule="auto"/>
              <w:ind w:firstLine="26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</w:rPr>
              <w:t>6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1"/>
                <w:sz w:val="21"/>
                <w:szCs w:val="21"/>
                <w:lang w:eastAsia="zh-CN"/>
              </w:rPr>
              <w:t>加快现代人力资源服务业发展。建设现代化人力资源服务体系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，加强人力资源服务产业园建设，实施人力资源服务骨干企业培育工程。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right="166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市人力资源社会保障局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before="248" w:line="180" w:lineRule="auto"/>
              <w:ind w:firstLine="26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</w:rPr>
              <w:t>6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构建就业导向收入增长机制。深化收入分配制度改革，促进劳动者工资合理增长，逐步缩小区域城乡收入差距。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1"/>
                <w:sz w:val="21"/>
                <w:szCs w:val="21"/>
                <w:lang w:eastAsia="zh-CN"/>
              </w:rPr>
              <w:t>市人力资源社会保障 局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、市发展改革局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line="302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pacing w:before="61" w:line="180" w:lineRule="auto"/>
              <w:ind w:firstLine="260" w:firstLineChars="0"/>
              <w:jc w:val="left"/>
              <w:rPr>
                <w:rFonts w:hint="default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增强公共卫生服务能力。加强疾病预防控制服务体系建设，加强重大疫情救治体系建设，完善基本公共卫生服务体系，提升卫生应急能力。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right="166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市卫生健康局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before="285" w:line="180" w:lineRule="auto"/>
              <w:ind w:firstLine="259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推动优质医疗资源均衡发展。优化省域优质医疗资源布局，大力提升县域医疗服务能力，改善优化医疗卫生服务。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right="166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市卫生健康局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710" w:type="dxa"/>
            <w:vAlign w:val="top"/>
          </w:tcPr>
          <w:p>
            <w:pPr>
              <w:spacing w:line="248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pacing w:before="61" w:line="180" w:lineRule="auto"/>
              <w:ind w:firstLine="259" w:firstLineChars="0"/>
              <w:jc w:val="left"/>
              <w:rPr>
                <w:rFonts w:hint="default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提升中医药服务能力。加强中医药诊疗机构内涵建设，强化中医药保护传承，推进中医药创新发展。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right="166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市卫生健康局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line="350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pacing w:before="60" w:line="180" w:lineRule="auto"/>
              <w:ind w:firstLine="259" w:firstLineChars="0"/>
              <w:jc w:val="left"/>
              <w:rPr>
                <w:rFonts w:hint="default" w:ascii="黑体" w:hAnsi="黑体" w:eastAsia="黑体" w:cs="黑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210" w:leftChars="100" w:right="166" w:firstLine="0" w:firstLineChars="0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深化医药卫生体制改革。深化分级诊疗制度改革，强化公立医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11"/>
                <w:sz w:val="21"/>
                <w:szCs w:val="21"/>
                <w:lang w:eastAsia="zh-CN"/>
              </w:rPr>
              <w:t>院绩效考核改革，完善医疗保障制度，完善药品供应保障制度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，规范发展社会办医。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right="166"/>
              <w:jc w:val="both"/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  <w:lang w:eastAsia="zh-CN"/>
              </w:rPr>
              <w:t>市卫生健康局、市医疗保障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line="441" w:lineRule="auto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pacing w:before="60" w:line="180" w:lineRule="auto"/>
              <w:ind w:firstLine="234" w:firstLineChars="0"/>
              <w:jc w:val="left"/>
              <w:rPr>
                <w:rFonts w:hint="default" w:ascii="黑体" w:hAnsi="黑体" w:eastAsia="黑体" w:cs="黑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210" w:leftChars="100" w:right="166" w:firstLine="0" w:firstLineChars="0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促进健康服务业快速发展。创新发展高端医疗技术服务，推动健康服务多样化发展，积极发展商业健康保险。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right="166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市卫生健康局、市发展改革局、市金融工作局， 汕尾银保监分局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line="251" w:lineRule="auto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pacing w:before="60" w:line="180" w:lineRule="auto"/>
              <w:ind w:firstLine="259" w:firstLineChars="0"/>
              <w:jc w:val="left"/>
              <w:rPr>
                <w:rFonts w:hint="default" w:ascii="黑体" w:hAnsi="黑体" w:eastAsia="黑体" w:cs="黑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扩大保障性住房供给。做好公共租赁住房保障，重点发展政策</w:t>
            </w:r>
            <w:r>
              <w:rPr>
                <w:rFonts w:hint="eastAsia" w:ascii="黑体" w:hAnsi="黑体" w:eastAsia="黑体" w:cs="黑体"/>
                <w:spacing w:val="-11"/>
                <w:sz w:val="21"/>
                <w:szCs w:val="21"/>
                <w:lang w:eastAsia="zh-CN"/>
              </w:rPr>
              <w:t>性租赁住房，因地制宜发展共有产权房，稳步推进棚户区改造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市住房城乡建设局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before="250" w:line="180" w:lineRule="auto"/>
              <w:ind w:firstLine="259" w:firstLineChars="0"/>
              <w:jc w:val="left"/>
              <w:rPr>
                <w:rFonts w:hint="eastAsia" w:ascii="黑体" w:hAnsi="黑体" w:eastAsia="黑体" w:cs="黑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深化住房制度改革。优化住房供给结构，培育和发展住房租赁市场，促进商品房市场健康发展。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市住房城乡建设局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before="247" w:line="180" w:lineRule="auto"/>
              <w:ind w:firstLine="259" w:firstLineChars="0"/>
              <w:jc w:val="left"/>
              <w:rPr>
                <w:rFonts w:hint="eastAsia" w:ascii="黑体" w:hAnsi="黑体" w:eastAsia="黑体" w:cs="黑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提高住房宜居水平。全面推进城镇老旧小区改造，改善农村人居环境。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市住房城乡建设局、市农业农村局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before="250" w:line="180" w:lineRule="auto"/>
              <w:ind w:firstLine="259" w:firstLineChars="0"/>
              <w:jc w:val="left"/>
              <w:rPr>
                <w:rFonts w:hint="eastAsia" w:ascii="黑体" w:hAnsi="黑体" w:eastAsia="黑体" w:cs="黑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提升社会救助和社会福利水平。夯实基本生活救助，完善专项和急难社会救助，健全社会福利服务网络。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11"/>
                <w:sz w:val="21"/>
                <w:szCs w:val="21"/>
                <w:lang w:eastAsia="zh-CN"/>
              </w:rPr>
              <w:t>市民政局、市应急管理局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、市医疗保障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局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、市残联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line="301" w:lineRule="auto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pacing w:before="60" w:line="180" w:lineRule="auto"/>
              <w:ind w:firstLine="259" w:firstLineChars="0"/>
              <w:jc w:val="left"/>
              <w:rPr>
                <w:rFonts w:hint="eastAsia" w:ascii="黑体" w:hAnsi="黑体" w:eastAsia="黑体" w:cs="黑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加强公共法律服务供给。持续推进法律援助惠民生，促进人民调解服务专业化多元化发展，深化村（社区）法律顾问服务，加强法治宣传教育。</w:t>
            </w:r>
          </w:p>
        </w:tc>
        <w:tc>
          <w:tcPr>
            <w:tcW w:w="2604" w:type="dxa"/>
            <w:vAlign w:val="top"/>
          </w:tcPr>
          <w:p>
            <w:pPr>
              <w:spacing w:before="142" w:line="275" w:lineRule="auto"/>
              <w:ind w:right="166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</w:p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市司法局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line="301" w:lineRule="auto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pacing w:before="60" w:line="180" w:lineRule="auto"/>
              <w:ind w:firstLine="259" w:firstLineChars="0"/>
              <w:jc w:val="left"/>
              <w:rPr>
                <w:rFonts w:hint="eastAsia" w:ascii="黑体" w:hAnsi="黑体" w:eastAsia="黑体" w:cs="黑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强化残疾人保障和发展。保障残疾人基本民生，推动残疾人就业 创业，优化残疾人健康和教育服务，维护残疾人合法权益，加快残疾人事业现代化进程。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市残联，相关行业主管 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before="246" w:line="180" w:lineRule="auto"/>
              <w:ind w:firstLine="264" w:firstLineChars="0"/>
              <w:jc w:val="left"/>
              <w:rPr>
                <w:rFonts w:hint="eastAsia" w:ascii="黑体" w:hAnsi="黑体" w:eastAsia="黑体" w:cs="黑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加大退役军人安置力度。健全移交安置机制，改进安置办法，提高安置质量，提升服务保障水平。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市退役军人事务局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before="246" w:line="180" w:lineRule="auto"/>
              <w:ind w:firstLine="264" w:firstLineChars="0"/>
              <w:jc w:val="left"/>
              <w:rPr>
                <w:rFonts w:hint="default" w:ascii="黑体" w:hAnsi="黑体" w:eastAsia="黑体" w:cs="黑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促进退役军人就业创业。加强教育培训，促进多渠道就业，强化创业支持。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市退役军人事务局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before="246" w:line="180" w:lineRule="auto"/>
              <w:ind w:firstLine="264" w:firstLineChars="0"/>
              <w:jc w:val="left"/>
              <w:rPr>
                <w:rFonts w:hint="default" w:ascii="黑体" w:hAnsi="黑体" w:eastAsia="黑体" w:cs="黑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提高优待抚恤服务水平。提升优待抚恤水平，加强集中供养服务，强化精神褒奖和荣誉激励。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市退役军人事务局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before="246" w:line="180" w:lineRule="auto"/>
              <w:ind w:firstLine="264" w:firstLineChars="0"/>
              <w:jc w:val="left"/>
              <w:rPr>
                <w:rFonts w:hint="default" w:ascii="黑体" w:hAnsi="黑体" w:eastAsia="黑体" w:cs="黑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丰富公共文化供给。完善公共文化设施，开展文化惠民服务，繁荣文艺创作展演。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市委宣传部，市文化广电旅游体育局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before="275" w:line="180" w:lineRule="auto"/>
              <w:ind w:firstLine="264" w:firstLineChars="0"/>
              <w:jc w:val="left"/>
              <w:rPr>
                <w:rFonts w:hint="default" w:ascii="黑体" w:hAnsi="黑体" w:eastAsia="黑体" w:cs="黑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4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开展全民健身行动。优化场地设施资源配置，广泛开展全民健身赛事活动。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市文化广电旅游体育局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before="211" w:line="180" w:lineRule="auto"/>
              <w:ind w:firstLine="264" w:firstLineChars="0"/>
              <w:jc w:val="left"/>
              <w:rPr>
                <w:rFonts w:hint="eastAsia" w:ascii="黑体" w:hAnsi="黑体" w:eastAsia="黑体" w:cs="黑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4"/>
                <w:sz w:val="21"/>
                <w:szCs w:val="21"/>
              </w:rPr>
              <w:t>8</w:t>
            </w:r>
            <w:r>
              <w:rPr>
                <w:rFonts w:hint="eastAsia" w:ascii="黑体" w:hAnsi="黑体" w:eastAsia="黑体" w:cs="黑体"/>
                <w:spacing w:val="-4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right="166" w:firstLine="204" w:firstLineChars="100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改善国民休闲品质。完善国民休闲制度，拓展国民休闲空间。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市文化广电旅游体育局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line="263" w:lineRule="auto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pacing w:before="60" w:line="180" w:lineRule="auto"/>
              <w:ind w:firstLine="264" w:firstLineChars="0"/>
              <w:jc w:val="left"/>
              <w:rPr>
                <w:rFonts w:hint="eastAsia" w:ascii="黑体" w:hAnsi="黑体" w:eastAsia="黑体" w:cs="黑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4"/>
                <w:sz w:val="21"/>
                <w:szCs w:val="21"/>
              </w:rPr>
              <w:t>8</w:t>
            </w:r>
            <w:r>
              <w:rPr>
                <w:rFonts w:hint="eastAsia" w:ascii="黑体" w:hAnsi="黑体" w:eastAsia="黑体" w:cs="黑体"/>
                <w:spacing w:val="-4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210" w:leftChars="100" w:right="166" w:firstLine="0" w:firstLineChars="0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推动多元业态发展。大力发展现代文化产业，促进体育产业发展和消费升级，提升全域现代旅游服务。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市委宣传部，市文化广电旅游体育局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line="377" w:lineRule="auto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pacing w:before="61" w:line="180" w:lineRule="auto"/>
              <w:ind w:firstLine="264" w:firstLineChars="0"/>
              <w:jc w:val="left"/>
              <w:rPr>
                <w:rFonts w:hint="eastAsia" w:ascii="黑体" w:hAnsi="黑体" w:eastAsia="黑体" w:cs="黑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8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210" w:leftChars="100" w:right="166" w:firstLine="0" w:firstLineChars="0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加强人才队伍建设。构建全方位人才培养体系，引导人才向基层一线流动，深化专业技术职称制度改革，完善事业单位薪酬制度 改革。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right="166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市委组织部、人力资源社会保障局，相关行业主管部门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line="372" w:lineRule="auto"/>
              <w:jc w:val="left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1" w:line="180" w:lineRule="auto"/>
              <w:ind w:firstLine="264" w:firstLineChars="0"/>
              <w:jc w:val="left"/>
              <w:rPr>
                <w:rFonts w:hint="eastAsia" w:ascii="黑体" w:hAnsi="黑体" w:eastAsia="黑体" w:cs="黑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4"/>
                <w:sz w:val="21"/>
                <w:szCs w:val="21"/>
              </w:rPr>
              <w:t>8</w:t>
            </w:r>
            <w:r>
              <w:rPr>
                <w:rFonts w:hint="eastAsia" w:ascii="黑体" w:hAnsi="黑体" w:eastAsia="黑体" w:cs="黑体"/>
                <w:spacing w:val="-4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210" w:leftChars="100" w:right="166" w:firstLine="0" w:firstLineChars="0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强化财政保障能力。优先保障公共服务支出投入，理顺财政事权和支出责任划分，强化财力投入绩效评价。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right="166" w:firstLine="204" w:firstLineChars="100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市财政局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before="319" w:line="180" w:lineRule="auto"/>
              <w:ind w:firstLine="264" w:firstLineChars="0"/>
              <w:jc w:val="left"/>
              <w:rPr>
                <w:rFonts w:hint="eastAsia" w:ascii="黑体" w:hAnsi="黑体" w:eastAsia="黑体" w:cs="黑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4"/>
                <w:sz w:val="21"/>
                <w:szCs w:val="21"/>
              </w:rPr>
              <w:t>8</w:t>
            </w:r>
            <w:r>
              <w:rPr>
                <w:rFonts w:hint="eastAsia" w:ascii="黑体" w:hAnsi="黑体" w:eastAsia="黑体" w:cs="黑体"/>
                <w:spacing w:val="-4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210" w:leftChars="100" w:right="166" w:firstLine="0" w:firstLineChars="0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完善土地供给机制。合理规划用地布局，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val="en-US" w:eastAsia="zh-CN"/>
              </w:rPr>
              <w:t>优先保障用地指标，依法保障各类主体用地。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市自然资源局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line="270" w:lineRule="auto"/>
              <w:jc w:val="left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line="270" w:lineRule="auto"/>
              <w:jc w:val="left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0" w:line="180" w:lineRule="auto"/>
              <w:ind w:firstLine="260" w:firstLineChars="0"/>
              <w:jc w:val="left"/>
              <w:rPr>
                <w:rFonts w:hint="eastAsia" w:ascii="黑体" w:hAnsi="黑体" w:eastAsia="黑体" w:cs="黑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210" w:leftChars="100" w:right="166" w:firstLine="0" w:firstLineChars="0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加快数字化发展。拓展数字化公共服务，提升在线公共服务水平，加强数据资源开发使用。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相关行业主管部门，市 发展改革局、市科技局、市工业和信息化局、市政务服务数据管理局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line="246" w:lineRule="auto"/>
              <w:jc w:val="left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0" w:line="180" w:lineRule="auto"/>
              <w:ind w:firstLine="260" w:firstLineChars="0"/>
              <w:jc w:val="left"/>
              <w:rPr>
                <w:rFonts w:hint="default" w:ascii="黑体" w:hAnsi="黑体" w:eastAsia="黑体" w:cs="黑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210" w:leftChars="100" w:right="166" w:firstLine="0" w:firstLineChars="0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加强组织领导。推进落实国家和省人民政府制定的公共服务相关规划和政策措施，制定本级公共服务规划或任务清单，确保任务落实到位；相关部门按照职责分工推动各领域重点任务、重点改革、重点项目有效落实；建立部门工作协调机制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11"/>
                <w:sz w:val="21"/>
                <w:szCs w:val="21"/>
                <w:lang w:eastAsia="zh-CN"/>
              </w:rPr>
              <w:t>各县（市、区）人民政府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，市有关部门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line="299" w:lineRule="auto"/>
              <w:jc w:val="left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0" w:line="180" w:lineRule="auto"/>
              <w:ind w:firstLine="260" w:firstLineChars="0"/>
              <w:jc w:val="left"/>
              <w:rPr>
                <w:rFonts w:hint="default" w:ascii="黑体" w:hAnsi="黑体" w:eastAsia="黑体" w:cs="黑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210" w:leftChars="100" w:right="166" w:firstLine="0" w:firstLineChars="0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优化发展环境。围绕公共服务目标任务，进一步细化配套制度和政策措施；强化社会信用体系支撑；加强公共服务行业自律和社会监督。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11"/>
                <w:sz w:val="21"/>
                <w:szCs w:val="21"/>
                <w:lang w:eastAsia="zh-CN"/>
              </w:rPr>
              <w:t>各县（市、区）人民政府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，市有关部门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line="315" w:lineRule="auto"/>
              <w:jc w:val="left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line="316" w:lineRule="auto"/>
              <w:jc w:val="left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1" w:line="180" w:lineRule="auto"/>
              <w:ind w:firstLine="260" w:firstLineChars="0"/>
              <w:jc w:val="left"/>
              <w:rPr>
                <w:rFonts w:hint="default" w:ascii="黑体" w:hAnsi="黑体" w:eastAsia="黑体" w:cs="黑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5986" w:type="dxa"/>
            <w:vAlign w:val="center"/>
          </w:tcPr>
          <w:p>
            <w:pPr>
              <w:spacing w:before="142" w:line="275" w:lineRule="auto"/>
              <w:ind w:left="210" w:leftChars="100" w:right="166" w:firstLine="0" w:firstLineChars="0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21"/>
                <w:szCs w:val="21"/>
                <w:lang w:eastAsia="zh-CN"/>
              </w:rPr>
              <w:t>夯实项目支撑。针对公共服务短板和弱项，研究提出重点项目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，纳入省和市重点项目计划，加强财政预算与项目投资计划的衔接；认真做好项目立项、资金筹措、项目实施、竣工验收等工作。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11"/>
                <w:sz w:val="21"/>
                <w:szCs w:val="21"/>
                <w:lang w:eastAsia="zh-CN"/>
              </w:rPr>
              <w:t>市发展改革局、市教育局、市民政局、市财政局、市人力资源社会保障局、市自然资源局、</w:t>
            </w:r>
            <w:r>
              <w:rPr>
                <w:rFonts w:hint="eastAsia" w:ascii="黑体" w:hAnsi="黑体" w:eastAsia="黑体" w:cs="黑体"/>
                <w:spacing w:val="-11"/>
                <w:sz w:val="21"/>
                <w:szCs w:val="21"/>
                <w:lang w:eastAsia="zh-CN"/>
              </w:rPr>
              <w:t>市文化广电旅游体育局</w:t>
            </w:r>
            <w:r>
              <w:rPr>
                <w:rFonts w:hint="eastAsia" w:ascii="黑体" w:hAnsi="黑体" w:eastAsia="黑体" w:cs="黑体"/>
                <w:spacing w:val="11"/>
                <w:sz w:val="21"/>
                <w:szCs w:val="21"/>
                <w:lang w:eastAsia="zh-CN"/>
              </w:rPr>
              <w:t>、市卫生健康局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7" w:hRule="atLeast"/>
        </w:trPr>
        <w:tc>
          <w:tcPr>
            <w:tcW w:w="710" w:type="dxa"/>
            <w:vAlign w:val="top"/>
          </w:tcPr>
          <w:p>
            <w:pPr>
              <w:spacing w:line="369" w:lineRule="auto"/>
              <w:jc w:val="left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0" w:line="180" w:lineRule="auto"/>
              <w:ind w:firstLine="260" w:firstLineChars="0"/>
              <w:jc w:val="left"/>
              <w:rPr>
                <w:rFonts w:hint="default" w:ascii="黑体" w:hAnsi="黑体" w:eastAsia="黑体" w:cs="黑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5986" w:type="dxa"/>
            <w:vAlign w:val="top"/>
          </w:tcPr>
          <w:p>
            <w:pPr>
              <w:spacing w:before="142" w:line="275" w:lineRule="auto"/>
              <w:ind w:left="210" w:leftChars="100" w:right="166" w:firstLine="0" w:firstLineChars="0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加强监管评估。健全规划实施监测评估机制、动态调整修订机制、监督考核机制。</w:t>
            </w:r>
          </w:p>
        </w:tc>
        <w:tc>
          <w:tcPr>
            <w:tcW w:w="2604" w:type="dxa"/>
            <w:vAlign w:val="center"/>
          </w:tcPr>
          <w:p>
            <w:pPr>
              <w:spacing w:before="142" w:line="275" w:lineRule="auto"/>
              <w:ind w:left="113" w:right="166" w:firstLine="4"/>
              <w:jc w:val="both"/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11"/>
                <w:sz w:val="21"/>
                <w:szCs w:val="21"/>
                <w:lang w:eastAsia="zh-CN"/>
              </w:rPr>
              <w:t>市发展改革局、市审计局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、市统计局，各县（市、区）人民政府</w:t>
            </w:r>
          </w:p>
        </w:tc>
      </w:tr>
    </w:tbl>
    <w:p>
      <w:pPr>
        <w:rPr>
          <w:rFonts w:ascii="宋体"/>
          <w:sz w:val="21"/>
        </w:rPr>
      </w:pPr>
    </w:p>
    <w:sectPr>
      <w:footerReference r:id="rId5" w:type="default"/>
      <w:pgSz w:w="11905" w:h="16840"/>
      <w:pgMar w:top="1431" w:right="1303" w:bottom="1123" w:left="1304" w:header="0" w:footer="93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exact"/>
      <w:ind w:firstLine="8071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true"/>
  <w:bordersDoNotSurroundHeader w:val="false"/>
  <w:bordersDoNotSurroundFooter w:val="false"/>
  <w:documentProtection w:enforcement="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000000"/>
    <w:rsid w:val="000E2806"/>
    <w:rsid w:val="00101AE9"/>
    <w:rsid w:val="010F1DA1"/>
    <w:rsid w:val="012810B4"/>
    <w:rsid w:val="020F7B7E"/>
    <w:rsid w:val="02AB38E0"/>
    <w:rsid w:val="02FC04C9"/>
    <w:rsid w:val="03BB6210"/>
    <w:rsid w:val="044B2285"/>
    <w:rsid w:val="04D8691B"/>
    <w:rsid w:val="04EB6681"/>
    <w:rsid w:val="05023B5E"/>
    <w:rsid w:val="060317A8"/>
    <w:rsid w:val="060755F3"/>
    <w:rsid w:val="06400C4E"/>
    <w:rsid w:val="06AB60C8"/>
    <w:rsid w:val="06E85402"/>
    <w:rsid w:val="07994A2A"/>
    <w:rsid w:val="082F5E85"/>
    <w:rsid w:val="09246605"/>
    <w:rsid w:val="0A222B45"/>
    <w:rsid w:val="0AC168C1"/>
    <w:rsid w:val="0C2A5CE1"/>
    <w:rsid w:val="0C721436"/>
    <w:rsid w:val="0CF449BB"/>
    <w:rsid w:val="0D2D5038"/>
    <w:rsid w:val="0E232D13"/>
    <w:rsid w:val="0EB16245"/>
    <w:rsid w:val="0F046C72"/>
    <w:rsid w:val="0F9A317D"/>
    <w:rsid w:val="0F9A5808"/>
    <w:rsid w:val="0FF90D32"/>
    <w:rsid w:val="10A0693A"/>
    <w:rsid w:val="10B570E7"/>
    <w:rsid w:val="114A2981"/>
    <w:rsid w:val="117E74BF"/>
    <w:rsid w:val="12706D20"/>
    <w:rsid w:val="129E4D32"/>
    <w:rsid w:val="1340403C"/>
    <w:rsid w:val="13474B7E"/>
    <w:rsid w:val="1358575C"/>
    <w:rsid w:val="13CE5AEB"/>
    <w:rsid w:val="147062DF"/>
    <w:rsid w:val="14B364B2"/>
    <w:rsid w:val="150115A9"/>
    <w:rsid w:val="16363A52"/>
    <w:rsid w:val="1705788A"/>
    <w:rsid w:val="174F484D"/>
    <w:rsid w:val="17525B6D"/>
    <w:rsid w:val="175A3CEF"/>
    <w:rsid w:val="177E7641"/>
    <w:rsid w:val="181A30AD"/>
    <w:rsid w:val="1828588E"/>
    <w:rsid w:val="19EC2D77"/>
    <w:rsid w:val="19F92C12"/>
    <w:rsid w:val="1A8011C2"/>
    <w:rsid w:val="1B19703D"/>
    <w:rsid w:val="1C890801"/>
    <w:rsid w:val="1CA76EDA"/>
    <w:rsid w:val="1DEA52D0"/>
    <w:rsid w:val="1E341623"/>
    <w:rsid w:val="1F182311"/>
    <w:rsid w:val="1F9C4CF0"/>
    <w:rsid w:val="20B33045"/>
    <w:rsid w:val="21C4408A"/>
    <w:rsid w:val="22431DF1"/>
    <w:rsid w:val="22456F79"/>
    <w:rsid w:val="22F10EAE"/>
    <w:rsid w:val="2344390D"/>
    <w:rsid w:val="2355143D"/>
    <w:rsid w:val="239D1036"/>
    <w:rsid w:val="24AA7567"/>
    <w:rsid w:val="24E231A5"/>
    <w:rsid w:val="259509E3"/>
    <w:rsid w:val="26031F83"/>
    <w:rsid w:val="27A552EA"/>
    <w:rsid w:val="280D678A"/>
    <w:rsid w:val="286E6AFD"/>
    <w:rsid w:val="2953641F"/>
    <w:rsid w:val="295F4587"/>
    <w:rsid w:val="2A600152"/>
    <w:rsid w:val="2A6E5785"/>
    <w:rsid w:val="2AD965E7"/>
    <w:rsid w:val="2BA72A52"/>
    <w:rsid w:val="2C12791B"/>
    <w:rsid w:val="2C493B09"/>
    <w:rsid w:val="2D177764"/>
    <w:rsid w:val="2D2E5D73"/>
    <w:rsid w:val="2D594220"/>
    <w:rsid w:val="2F495C8D"/>
    <w:rsid w:val="2F6B3D97"/>
    <w:rsid w:val="305331A8"/>
    <w:rsid w:val="30C327AD"/>
    <w:rsid w:val="315B4A75"/>
    <w:rsid w:val="31864EB8"/>
    <w:rsid w:val="32517965"/>
    <w:rsid w:val="32867865"/>
    <w:rsid w:val="32A108E2"/>
    <w:rsid w:val="33DE547F"/>
    <w:rsid w:val="34AE30A3"/>
    <w:rsid w:val="35D97CAC"/>
    <w:rsid w:val="3694433F"/>
    <w:rsid w:val="36962041"/>
    <w:rsid w:val="37797DF3"/>
    <w:rsid w:val="377A54BF"/>
    <w:rsid w:val="37936580"/>
    <w:rsid w:val="385555E4"/>
    <w:rsid w:val="38F31085"/>
    <w:rsid w:val="3A012D45"/>
    <w:rsid w:val="3A39289C"/>
    <w:rsid w:val="3AA84863"/>
    <w:rsid w:val="3AFB3AFA"/>
    <w:rsid w:val="3AFE6A4F"/>
    <w:rsid w:val="3BE4091D"/>
    <w:rsid w:val="3C8D17F0"/>
    <w:rsid w:val="3D5B070A"/>
    <w:rsid w:val="3DBD4357"/>
    <w:rsid w:val="3E03620E"/>
    <w:rsid w:val="3E2E184B"/>
    <w:rsid w:val="3EB50E8A"/>
    <w:rsid w:val="40BC16C2"/>
    <w:rsid w:val="410628B2"/>
    <w:rsid w:val="4126600E"/>
    <w:rsid w:val="4185518C"/>
    <w:rsid w:val="42A95947"/>
    <w:rsid w:val="43CD7EAE"/>
    <w:rsid w:val="43D45D88"/>
    <w:rsid w:val="45CA13BF"/>
    <w:rsid w:val="45FD4022"/>
    <w:rsid w:val="46FD7572"/>
    <w:rsid w:val="47262F6D"/>
    <w:rsid w:val="47745A86"/>
    <w:rsid w:val="485F6737"/>
    <w:rsid w:val="49861AA1"/>
    <w:rsid w:val="498B5309"/>
    <w:rsid w:val="49AB1508"/>
    <w:rsid w:val="4A6022F2"/>
    <w:rsid w:val="4B2E0642"/>
    <w:rsid w:val="4B6F6E49"/>
    <w:rsid w:val="4C7E00D3"/>
    <w:rsid w:val="4D8A6F85"/>
    <w:rsid w:val="4D981DA3"/>
    <w:rsid w:val="4EDE5EDB"/>
    <w:rsid w:val="4F7A5C04"/>
    <w:rsid w:val="4F93316A"/>
    <w:rsid w:val="50310EFF"/>
    <w:rsid w:val="514A4C73"/>
    <w:rsid w:val="52080617"/>
    <w:rsid w:val="528073C9"/>
    <w:rsid w:val="535E75EB"/>
    <w:rsid w:val="54520EFE"/>
    <w:rsid w:val="556F1F83"/>
    <w:rsid w:val="55825812"/>
    <w:rsid w:val="57B10631"/>
    <w:rsid w:val="57E75E01"/>
    <w:rsid w:val="58F22CAF"/>
    <w:rsid w:val="5927664D"/>
    <w:rsid w:val="5971610B"/>
    <w:rsid w:val="599C2C1B"/>
    <w:rsid w:val="59BA3E7F"/>
    <w:rsid w:val="5A4412E8"/>
    <w:rsid w:val="5A6C083F"/>
    <w:rsid w:val="5A715E56"/>
    <w:rsid w:val="5A806D1D"/>
    <w:rsid w:val="5A987886"/>
    <w:rsid w:val="5AB81CD6"/>
    <w:rsid w:val="5ADC7773"/>
    <w:rsid w:val="5AF96D9C"/>
    <w:rsid w:val="5BF71D4A"/>
    <w:rsid w:val="5C1F025F"/>
    <w:rsid w:val="5CCE3A33"/>
    <w:rsid w:val="5D55380D"/>
    <w:rsid w:val="5E13121D"/>
    <w:rsid w:val="5E9640DD"/>
    <w:rsid w:val="5FBD631D"/>
    <w:rsid w:val="5FEDB53A"/>
    <w:rsid w:val="61363955"/>
    <w:rsid w:val="61691F7C"/>
    <w:rsid w:val="61A82AA5"/>
    <w:rsid w:val="61C471B3"/>
    <w:rsid w:val="61D12C97"/>
    <w:rsid w:val="62116DA2"/>
    <w:rsid w:val="62F375C6"/>
    <w:rsid w:val="62FB4B02"/>
    <w:rsid w:val="63071F6A"/>
    <w:rsid w:val="631303F2"/>
    <w:rsid w:val="640D4E41"/>
    <w:rsid w:val="64406FC4"/>
    <w:rsid w:val="644772B7"/>
    <w:rsid w:val="653C6C2F"/>
    <w:rsid w:val="65C504AF"/>
    <w:rsid w:val="65E63B9C"/>
    <w:rsid w:val="66652FCC"/>
    <w:rsid w:val="66B7430E"/>
    <w:rsid w:val="67252CD4"/>
    <w:rsid w:val="67BF6AB8"/>
    <w:rsid w:val="682E68F2"/>
    <w:rsid w:val="68907DEF"/>
    <w:rsid w:val="68C006D4"/>
    <w:rsid w:val="68CC13B2"/>
    <w:rsid w:val="6A2F1616"/>
    <w:rsid w:val="6A3A4E64"/>
    <w:rsid w:val="6B19231D"/>
    <w:rsid w:val="6B4D0219"/>
    <w:rsid w:val="6C2152D1"/>
    <w:rsid w:val="6C5D448C"/>
    <w:rsid w:val="6C850770"/>
    <w:rsid w:val="6CDE737B"/>
    <w:rsid w:val="6E301E58"/>
    <w:rsid w:val="6EAF2651"/>
    <w:rsid w:val="6F887A72"/>
    <w:rsid w:val="6F8D6E36"/>
    <w:rsid w:val="6F945ADC"/>
    <w:rsid w:val="70543304"/>
    <w:rsid w:val="70E54AA0"/>
    <w:rsid w:val="710E6355"/>
    <w:rsid w:val="72437107"/>
    <w:rsid w:val="73612AB3"/>
    <w:rsid w:val="737F118B"/>
    <w:rsid w:val="7456013E"/>
    <w:rsid w:val="74736F42"/>
    <w:rsid w:val="74D55507"/>
    <w:rsid w:val="75750C7F"/>
    <w:rsid w:val="767430FE"/>
    <w:rsid w:val="771A36A5"/>
    <w:rsid w:val="779A47E6"/>
    <w:rsid w:val="77B27D81"/>
    <w:rsid w:val="77D65B6D"/>
    <w:rsid w:val="77D879DC"/>
    <w:rsid w:val="78732CEF"/>
    <w:rsid w:val="78FB203E"/>
    <w:rsid w:val="792151BF"/>
    <w:rsid w:val="7A24285F"/>
    <w:rsid w:val="7A9E572A"/>
    <w:rsid w:val="7AA73C64"/>
    <w:rsid w:val="7B207F1A"/>
    <w:rsid w:val="7B3D77E6"/>
    <w:rsid w:val="7B7F80D9"/>
    <w:rsid w:val="7CC01F5C"/>
    <w:rsid w:val="7D1E420E"/>
    <w:rsid w:val="7D680EDC"/>
    <w:rsid w:val="7E346D07"/>
    <w:rsid w:val="7E4234E1"/>
    <w:rsid w:val="7E4D0EC8"/>
    <w:rsid w:val="7F155E8B"/>
    <w:rsid w:val="7F2B4252"/>
    <w:rsid w:val="7FBB6D54"/>
    <w:rsid w:val="A7F6C80C"/>
    <w:rsid w:val="D5F68D2F"/>
    <w:rsid w:val="D9DD5697"/>
    <w:rsid w:val="E7758847"/>
    <w:rsid w:val="E7FF04FB"/>
    <w:rsid w:val="EDF727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ScaleCrop>false</ScaleCrop>
  <LinksUpToDate>false</LinksUpToDate>
  <Application>WPS Office_11.8.2.10554_F1E327BC-269C-435d-A152-05C5408002CA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2021-11-20T15:01:00Z</dcterms:created>
  <dc:creator>作者</dc:creator>
  <cp:keywords>关键字</cp:keywords>
  <cp:lastModifiedBy>林瑞映</cp:lastModifiedBy>
  <cp:lastPrinted>2021-12-02T07:16:00Z</cp:lastPrinted>
  <dcterms:modified xsi:type="dcterms:W3CDTF">2022-05-12T11:13:27Z</dcterms:modified>
  <dc:subject>科目</dc:subject>
  <dc:title>标题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2021-11-24T16:46:32Z</vt:filetime>
  </property>
  <property fmtid="{D5CDD505-2E9C-101B-9397-08002B2CF9AE}" pid="4" name="KSOProductBuildVer">
    <vt:lpwstr>2052-11.8.2.10554</vt:lpwstr>
  </property>
  <property fmtid="{D5CDD505-2E9C-101B-9397-08002B2CF9AE}" pid="5" name="ICV">
    <vt:lpwstr>E8E7BBCA69AC4F69ABCCEE95CA25D2EF</vt:lpwstr>
  </property>
</Properties>
</file>