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End w:id="1"/>
      <w:bookmarkStart w:id="0" w:name="_Toc31577"/>
      <w:r>
        <w:rPr>
          <w:rFonts w:hint="eastAsia"/>
        </w:rPr>
        <w:t>非公司企业法人备案提交材料规范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《非公司企业法人登记（备案）申请书》。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2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备案事项涉及企业章程修改的，提交修改企业章程的决定。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3</w:t>
      </w:r>
      <w:r>
        <w:rPr>
          <w:rFonts w:ascii="宋体" w:hAnsi="宋体"/>
          <w:szCs w:val="24"/>
        </w:rPr>
        <w:t>.</w:t>
      </w:r>
      <w:r>
        <w:rPr>
          <w:rFonts w:hint="eastAsia" w:ascii="宋体" w:hAnsi="宋体"/>
          <w:szCs w:val="24"/>
        </w:rPr>
        <w:t>备案事项证明文件。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◆章程备案，提交修改后的企业章程或者章程修正案，企业章程或者章程修正案由出资人（主管部门）加盖公章。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◆经营期限备案，提交出资人（主管部门）出具的更改经营期限的文件。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szCs w:val="24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（使用纸质材料办理登记的，在申请书中粘贴身份证复印件)。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法律、行政法规和国务院决定规定备案事项必须报经批准的，提交有关的批准文件或者许可证件复印件。</w:t>
      </w:r>
    </w:p>
    <w:p>
      <w:pPr>
        <w:widowControl/>
        <w:overflowPunct w:val="0"/>
        <w:spacing w:line="440" w:lineRule="exact"/>
        <w:ind w:firstLine="472" w:firstLineChars="196"/>
        <w:rPr>
          <w:rFonts w:asci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依照《市场主体登记管理条例》登记的非公司企业法人申请备案适用本规范。</w:t>
      </w:r>
    </w:p>
    <w:p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非公司企业法人备案与非公司企业法人有关变更登记同时申请时，可一并提交有关材料。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087F"/>
    <w:rsid w:val="1C3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2022-04-01T01:01:00Z</dcterms:created>
  <dc:creator>艺武</dc:creator>
  <cp:lastModifiedBy>艺武</cp:lastModifiedBy>
  <dcterms:modified xsi:type="dcterms:W3CDTF">2022-04-01T01:01:16Z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0F958ECA4B8C467197B58A65F4C95105</vt:lpwstr>
  </property>
</Properties>
</file>