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atLeast"/>
        <w:ind w:firstLine="0" w:firstLineChars="0"/>
        <w:rPr>
          <w:rFonts w:ascii="黑体" w:hAnsi="黑体" w:eastAsia="黑体"/>
          <w:sz w:val="48"/>
          <w:szCs w:val="48"/>
        </w:rPr>
      </w:pPr>
    </w:p>
    <w:p>
      <w:pPr>
        <w:spacing w:line="560" w:lineRule="atLeast"/>
        <w:ind w:firstLine="0" w:firstLineChars="0"/>
        <w:rPr>
          <w:rFonts w:ascii="黑体" w:hAnsi="黑体" w:eastAsia="黑体"/>
          <w:sz w:val="48"/>
          <w:szCs w:val="48"/>
        </w:rPr>
      </w:pPr>
    </w:p>
    <w:p>
      <w:pPr>
        <w:spacing w:line="560" w:lineRule="atLeast"/>
        <w:ind w:firstLine="0" w:firstLineChars="0"/>
        <w:jc w:val="center"/>
        <w:rPr>
          <w:rFonts w:ascii="方正小标宋简体" w:hAnsi="华文中宋" w:eastAsia="方正小标宋简体" w:cs="宋体"/>
          <w:b/>
          <w:bCs/>
          <w:color w:val="000000" w:themeColor="text1"/>
          <w:kern w:val="0"/>
          <w:sz w:val="56"/>
          <w:szCs w:val="56"/>
          <w14:textFill>
            <w14:solidFill>
              <w14:schemeClr w14:val="tx1"/>
            </w14:solidFill>
          </w14:textFill>
        </w:rPr>
      </w:pPr>
      <w:r>
        <w:rPr>
          <w:rFonts w:hint="eastAsia" w:ascii="方正小标宋简体" w:hAnsi="华文中宋" w:eastAsia="方正小标宋简体" w:cs="宋体"/>
          <w:b/>
          <w:bCs/>
          <w:color w:val="000000" w:themeColor="text1"/>
          <w:kern w:val="0"/>
          <w:sz w:val="56"/>
          <w:szCs w:val="56"/>
          <w14:textFill>
            <w14:solidFill>
              <w14:schemeClr w14:val="tx1"/>
            </w14:solidFill>
          </w14:textFill>
        </w:rPr>
        <w:t>汕尾市海洋养殖发展规划</w:t>
      </w:r>
    </w:p>
    <w:p>
      <w:pPr>
        <w:spacing w:line="560" w:lineRule="atLeast"/>
        <w:ind w:firstLine="0" w:firstLineChars="0"/>
        <w:jc w:val="center"/>
        <w:rPr>
          <w:rFonts w:ascii="方正小标宋简体" w:hAnsi="华文中宋" w:eastAsia="方正小标宋简体" w:cs="宋体"/>
          <w:b/>
          <w:bCs/>
          <w:color w:val="000000" w:themeColor="text1"/>
          <w:kern w:val="0"/>
          <w:sz w:val="40"/>
          <w:szCs w:val="40"/>
          <w14:textFill>
            <w14:solidFill>
              <w14:schemeClr w14:val="tx1"/>
            </w14:solidFill>
          </w14:textFill>
        </w:rPr>
      </w:pPr>
      <w:r>
        <w:rPr>
          <w:rFonts w:hint="eastAsia" w:ascii="方正小标宋简体" w:hAnsi="华文中宋" w:eastAsia="方正小标宋简体" w:cs="宋体"/>
          <w:b/>
          <w:bCs/>
          <w:color w:val="000000" w:themeColor="text1"/>
          <w:kern w:val="0"/>
          <w:sz w:val="40"/>
          <w:szCs w:val="40"/>
          <w14:textFill>
            <w14:solidFill>
              <w14:schemeClr w14:val="tx1"/>
            </w14:solidFill>
          </w14:textFill>
        </w:rPr>
        <w:t>（2021-2030年）</w:t>
      </w:r>
    </w:p>
    <w:p>
      <w:pPr>
        <w:spacing w:line="560" w:lineRule="atLeast"/>
        <w:ind w:firstLine="0" w:firstLineChars="0"/>
        <w:rPr>
          <w:rFonts w:ascii="黑体" w:hAnsi="黑体" w:eastAsia="黑体" w:cs="黑体"/>
          <w:szCs w:val="32"/>
        </w:rPr>
      </w:pPr>
    </w:p>
    <w:p>
      <w:pPr>
        <w:spacing w:line="560" w:lineRule="atLeast"/>
        <w:ind w:firstLine="0" w:firstLineChars="0"/>
        <w:rPr>
          <w:rFonts w:ascii="黑体" w:hAnsi="黑体" w:eastAsia="黑体" w:cs="黑体"/>
          <w:szCs w:val="32"/>
        </w:rPr>
      </w:pPr>
    </w:p>
    <w:p>
      <w:pPr>
        <w:spacing w:line="560" w:lineRule="atLeast"/>
        <w:ind w:firstLine="0" w:firstLineChars="0"/>
        <w:rPr>
          <w:rFonts w:ascii="黑体" w:hAnsi="黑体" w:eastAsia="黑体"/>
          <w:sz w:val="48"/>
          <w:szCs w:val="48"/>
        </w:rPr>
      </w:pPr>
    </w:p>
    <w:p>
      <w:pPr>
        <w:spacing w:line="560" w:lineRule="atLeast"/>
        <w:ind w:firstLine="0" w:firstLineChars="0"/>
        <w:rPr>
          <w:rFonts w:ascii="黑体" w:hAnsi="黑体" w:eastAsia="黑体"/>
          <w:sz w:val="48"/>
          <w:szCs w:val="48"/>
        </w:rPr>
      </w:pPr>
    </w:p>
    <w:p>
      <w:pPr>
        <w:spacing w:line="560" w:lineRule="atLeast"/>
        <w:ind w:firstLine="0" w:firstLineChars="0"/>
        <w:rPr>
          <w:rFonts w:ascii="黑体" w:hAnsi="黑体" w:eastAsia="黑体"/>
          <w:sz w:val="48"/>
          <w:szCs w:val="48"/>
        </w:rPr>
      </w:pPr>
    </w:p>
    <w:p>
      <w:pPr>
        <w:spacing w:line="560" w:lineRule="atLeast"/>
        <w:ind w:firstLine="0" w:firstLineChars="0"/>
        <w:rPr>
          <w:rFonts w:ascii="黑体" w:hAnsi="黑体" w:eastAsia="黑体"/>
          <w:sz w:val="48"/>
          <w:szCs w:val="48"/>
        </w:rPr>
      </w:pPr>
    </w:p>
    <w:p>
      <w:pPr>
        <w:pStyle w:val="2"/>
        <w:spacing w:line="560" w:lineRule="atLeast"/>
      </w:pPr>
    </w:p>
    <w:p>
      <w:pPr>
        <w:spacing w:line="560" w:lineRule="atLeast"/>
        <w:ind w:firstLine="0" w:firstLineChars="0"/>
        <w:rPr>
          <w:rFonts w:ascii="黑体" w:hAnsi="黑体" w:eastAsia="黑体"/>
          <w:sz w:val="48"/>
          <w:szCs w:val="48"/>
        </w:rPr>
      </w:pPr>
    </w:p>
    <w:p>
      <w:pPr>
        <w:spacing w:line="560" w:lineRule="atLeast"/>
        <w:ind w:firstLine="0" w:firstLineChars="0"/>
        <w:rPr>
          <w:rFonts w:ascii="黑体" w:hAnsi="黑体" w:eastAsia="黑体"/>
          <w:sz w:val="48"/>
          <w:szCs w:val="48"/>
        </w:rPr>
      </w:pPr>
    </w:p>
    <w:p>
      <w:pPr>
        <w:spacing w:line="560" w:lineRule="atLeast"/>
        <w:ind w:firstLine="0" w:firstLineChars="0"/>
        <w:rPr>
          <w:rFonts w:ascii="黑体" w:hAnsi="黑体" w:eastAsia="黑体"/>
          <w:sz w:val="48"/>
          <w:szCs w:val="48"/>
        </w:rPr>
      </w:pPr>
    </w:p>
    <w:p>
      <w:pPr>
        <w:pStyle w:val="2"/>
        <w:spacing w:line="560" w:lineRule="atLeast"/>
      </w:pPr>
    </w:p>
    <w:p>
      <w:pPr>
        <w:spacing w:line="560" w:lineRule="atLeast"/>
        <w:ind w:firstLine="0" w:firstLineChars="0"/>
        <w:jc w:val="center"/>
        <w:rPr>
          <w:rStyle w:val="19"/>
          <w:rFonts w:ascii="楷体_GB2312" w:hAnsi="楷体" w:eastAsia="楷体_GB2312"/>
          <w:color w:val="000000" w:themeColor="text1"/>
          <w:szCs w:val="32"/>
          <w14:textFill>
            <w14:solidFill>
              <w14:schemeClr w14:val="tx1"/>
            </w14:solidFill>
          </w14:textFill>
        </w:rPr>
      </w:pPr>
      <w:r>
        <w:rPr>
          <w:rStyle w:val="19"/>
          <w:rFonts w:hint="eastAsia" w:ascii="楷体_GB2312" w:hAnsi="楷体" w:eastAsia="楷体_GB2312"/>
          <w:color w:val="000000" w:themeColor="text1"/>
          <w:szCs w:val="32"/>
          <w14:textFill>
            <w14:solidFill>
              <w14:schemeClr w14:val="tx1"/>
            </w14:solidFill>
          </w14:textFill>
        </w:rPr>
        <w:t>汕尾市农业农村局</w:t>
      </w:r>
    </w:p>
    <w:p>
      <w:pPr>
        <w:spacing w:line="560" w:lineRule="atLeast"/>
        <w:ind w:firstLine="0" w:firstLineChars="0"/>
        <w:jc w:val="center"/>
        <w:rPr>
          <w:rStyle w:val="19"/>
          <w:rFonts w:hint="eastAsia" w:ascii="楷体_GB2312" w:hAnsi="楷体" w:eastAsia="楷体_GB2312"/>
          <w:color w:val="000000" w:themeColor="text1"/>
          <w:szCs w:val="32"/>
          <w14:textFill>
            <w14:solidFill>
              <w14:schemeClr w14:val="tx1"/>
            </w14:solidFill>
          </w14:textFill>
        </w:rPr>
      </w:pPr>
      <w:r>
        <w:rPr>
          <w:rStyle w:val="19"/>
          <w:rFonts w:hint="eastAsia" w:ascii="楷体_GB2312" w:hAnsi="楷体" w:eastAsia="楷体_GB2312"/>
          <w:color w:val="000000" w:themeColor="text1"/>
          <w:szCs w:val="32"/>
          <w14:textFill>
            <w14:solidFill>
              <w14:schemeClr w14:val="tx1"/>
            </w14:solidFill>
          </w14:textFill>
        </w:rPr>
        <w:t>二</w:t>
      </w:r>
      <w:r>
        <w:rPr>
          <w:rStyle w:val="19"/>
          <w:rFonts w:hint="eastAsia" w:ascii="微软雅黑" w:hAnsi="微软雅黑" w:eastAsia="微软雅黑" w:cs="微软雅黑"/>
          <w:color w:val="000000" w:themeColor="text1"/>
          <w:szCs w:val="32"/>
          <w14:textFill>
            <w14:solidFill>
              <w14:schemeClr w14:val="tx1"/>
            </w14:solidFill>
          </w14:textFill>
        </w:rPr>
        <w:t>〇</w:t>
      </w:r>
      <w:r>
        <w:rPr>
          <w:rStyle w:val="19"/>
          <w:rFonts w:hint="eastAsia" w:ascii="楷体_GB2312" w:hAnsi="楷体" w:eastAsia="楷体_GB2312"/>
          <w:color w:val="000000" w:themeColor="text1"/>
          <w:szCs w:val="32"/>
          <w14:textFill>
            <w14:solidFill>
              <w14:schemeClr w14:val="tx1"/>
            </w14:solidFill>
          </w14:textFill>
        </w:rPr>
        <w:t>二一年十二月</w:t>
      </w:r>
    </w:p>
    <w:p>
      <w:pPr>
        <w:spacing w:line="560" w:lineRule="atLeast"/>
        <w:ind w:firstLine="0" w:firstLineChars="0"/>
        <w:jc w:val="center"/>
        <w:rPr>
          <w:rStyle w:val="19"/>
          <w:rFonts w:hint="eastAsia" w:ascii="楷体_GB2312" w:hAnsi="楷体" w:eastAsia="楷体_GB2312"/>
          <w:color w:val="000000" w:themeColor="text1"/>
          <w:szCs w:val="32"/>
          <w14:textFill>
            <w14:solidFill>
              <w14:schemeClr w14:val="tx1"/>
            </w14:solidFill>
          </w14:textFill>
        </w:rPr>
      </w:pPr>
    </w:p>
    <w:p>
      <w:pPr>
        <w:spacing w:line="560" w:lineRule="atLeast"/>
        <w:ind w:firstLine="0" w:firstLineChars="0"/>
        <w:jc w:val="center"/>
        <w:rPr>
          <w:rStyle w:val="19"/>
          <w:rFonts w:hint="eastAsia" w:ascii="楷体_GB2312" w:hAnsi="楷体" w:eastAsia="楷体_GB2312"/>
          <w:color w:val="000000" w:themeColor="text1"/>
          <w:szCs w:val="32"/>
          <w14:textFill>
            <w14:solidFill>
              <w14:schemeClr w14:val="tx1"/>
            </w14:solidFill>
          </w14:textFill>
        </w:rPr>
      </w:pPr>
    </w:p>
    <w:p>
      <w:pPr>
        <w:spacing w:line="560" w:lineRule="atLeast"/>
        <w:ind w:firstLine="0" w:firstLineChars="0"/>
        <w:jc w:val="center"/>
        <w:rPr>
          <w:rStyle w:val="19"/>
          <w:rFonts w:hint="eastAsia" w:ascii="楷体_GB2312" w:hAnsi="楷体" w:eastAsia="楷体_GB2312"/>
          <w:color w:val="000000" w:themeColor="text1"/>
          <w:szCs w:val="32"/>
          <w14:textFill>
            <w14:solidFill>
              <w14:schemeClr w14:val="tx1"/>
            </w14:solidFill>
          </w14:textFill>
        </w:rPr>
      </w:pPr>
    </w:p>
    <w:p>
      <w:pPr>
        <w:spacing w:line="560" w:lineRule="atLeast"/>
        <w:ind w:firstLine="0" w:firstLineChars="0"/>
        <w:jc w:val="center"/>
        <w:rPr>
          <w:rStyle w:val="19"/>
          <w:rFonts w:hint="eastAsia" w:ascii="楷体_GB2312" w:hAnsi="楷体" w:eastAsia="楷体_GB2312"/>
          <w:color w:val="000000" w:themeColor="text1"/>
          <w:szCs w:val="32"/>
          <w14:textFill>
            <w14:solidFill>
              <w14:schemeClr w14:val="tx1"/>
            </w14:solidFill>
          </w14:textFill>
        </w:rPr>
      </w:pPr>
    </w:p>
    <w:p>
      <w:pPr>
        <w:spacing w:line="560" w:lineRule="atLeast"/>
        <w:ind w:firstLine="0" w:firstLineChars="0"/>
        <w:jc w:val="center"/>
        <w:rPr>
          <w:rStyle w:val="19"/>
          <w:rFonts w:hint="eastAsia" w:ascii="楷体_GB2312" w:hAnsi="楷体" w:eastAsia="楷体_GB2312"/>
          <w:color w:val="000000" w:themeColor="text1"/>
          <w:szCs w:val="32"/>
          <w14:textFill>
            <w14:solidFill>
              <w14:schemeClr w14:val="tx1"/>
            </w14:solidFill>
          </w14:textFill>
        </w:rPr>
      </w:pPr>
    </w:p>
    <w:p>
      <w:pPr>
        <w:spacing w:line="560" w:lineRule="atLeast"/>
        <w:ind w:firstLine="0" w:firstLineChars="0"/>
        <w:jc w:val="center"/>
        <w:rPr>
          <w:rFonts w:ascii="黑体" w:hAnsi="黑体" w:eastAsia="黑体"/>
          <w:sz w:val="44"/>
          <w:szCs w:val="44"/>
        </w:rPr>
      </w:pPr>
      <w:r>
        <w:rPr>
          <w:rFonts w:hint="eastAsia" w:ascii="黑体" w:hAnsi="Times New Roman" w:eastAsia="黑体" w:cs="Times New Roman"/>
          <w:kern w:val="44"/>
          <w:sz w:val="40"/>
          <w:szCs w:val="52"/>
        </w:rPr>
        <w:t>目  录</w:t>
      </w:r>
    </w:p>
    <w:sdt>
      <w:sdtPr>
        <w:rPr>
          <w:rFonts w:ascii="宋体" w:hAnsi="宋体" w:eastAsia="宋体"/>
          <w:sz w:val="21"/>
        </w:rPr>
        <w:id w:val="147467277"/>
        <w:docPartObj>
          <w:docPartGallery w:val="Table of Contents"/>
          <w:docPartUnique/>
        </w:docPartObj>
      </w:sdtPr>
      <w:sdtEndPr>
        <w:rPr>
          <w:rFonts w:ascii="仿宋_GB2312" w:hAnsi="仿宋_GB2312" w:eastAsia="黑体"/>
          <w:b w:val="0"/>
          <w:sz w:val="30"/>
        </w:rPr>
      </w:sdtEndPr>
      <w:sdtContent>
        <w:p>
          <w:pPr>
            <w:pStyle w:val="11"/>
            <w:tabs>
              <w:tab w:val="right" w:leader="dot" w:pos="8296"/>
            </w:tabs>
            <w:spacing w:line="560" w:lineRule="atLeast"/>
            <w:ind w:firstLine="420"/>
            <w:rPr>
              <w:b w:val="0"/>
              <w:bCs/>
              <w:sz w:val="24"/>
              <w:szCs w:val="24"/>
            </w:rPr>
          </w:pPr>
          <w:r>
            <w:rPr>
              <w:sz w:val="24"/>
              <w:szCs w:val="24"/>
            </w:rPr>
            <w:fldChar w:fldCharType="begin"/>
          </w:r>
          <w:r>
            <w:rPr>
              <w:sz w:val="24"/>
              <w:szCs w:val="24"/>
            </w:rPr>
            <w:instrText xml:space="preserve"> TOC \o "1-2" \h \z \u </w:instrText>
          </w:r>
          <w:r>
            <w:rPr>
              <w:sz w:val="24"/>
              <w:szCs w:val="24"/>
            </w:rPr>
            <w:fldChar w:fldCharType="separate"/>
          </w:r>
        </w:p>
        <w:p>
          <w:pPr>
            <w:pStyle w:val="11"/>
            <w:tabs>
              <w:tab w:val="right" w:leader="dot" w:pos="8730"/>
            </w:tabs>
            <w:rPr>
              <w:b w:val="0"/>
              <w:bCs/>
            </w:rPr>
          </w:pPr>
          <w:r>
            <w:fldChar w:fldCharType="begin"/>
          </w:r>
          <w:r>
            <w:instrText xml:space="preserve"> HYPERLINK \l "_Toc11103" </w:instrText>
          </w:r>
          <w:r>
            <w:fldChar w:fldCharType="separate"/>
          </w:r>
          <w:r>
            <w:rPr>
              <w:rFonts w:hint="eastAsia"/>
              <w:b w:val="0"/>
              <w:bCs/>
            </w:rPr>
            <w:t>前  言</w:t>
          </w:r>
          <w:r>
            <w:rPr>
              <w:b w:val="0"/>
              <w:bCs/>
            </w:rPr>
            <w:tab/>
          </w:r>
          <w:r>
            <w:rPr>
              <w:b w:val="0"/>
              <w:bCs/>
            </w:rPr>
            <w:fldChar w:fldCharType="begin"/>
          </w:r>
          <w:r>
            <w:rPr>
              <w:b w:val="0"/>
              <w:bCs/>
            </w:rPr>
            <w:instrText xml:space="preserve"> PAGEREF _Toc11103 \h </w:instrText>
          </w:r>
          <w:r>
            <w:rPr>
              <w:b w:val="0"/>
              <w:bCs/>
            </w:rPr>
            <w:fldChar w:fldCharType="separate"/>
          </w:r>
          <w:r>
            <w:rPr>
              <w:b w:val="0"/>
              <w:bCs/>
            </w:rPr>
            <w:t>1</w:t>
          </w:r>
          <w:r>
            <w:rPr>
              <w:b w:val="0"/>
              <w:bCs/>
            </w:rPr>
            <w:fldChar w:fldCharType="end"/>
          </w:r>
          <w:r>
            <w:rPr>
              <w:b w:val="0"/>
              <w:bCs/>
            </w:rPr>
            <w:fldChar w:fldCharType="end"/>
          </w:r>
        </w:p>
        <w:p>
          <w:pPr>
            <w:pStyle w:val="11"/>
            <w:tabs>
              <w:tab w:val="right" w:leader="dot" w:pos="8730"/>
            </w:tabs>
            <w:rPr>
              <w:b w:val="0"/>
              <w:bCs/>
            </w:rPr>
          </w:pPr>
          <w:r>
            <w:fldChar w:fldCharType="begin"/>
          </w:r>
          <w:r>
            <w:instrText xml:space="preserve"> HYPERLINK \l "_Toc31938" </w:instrText>
          </w:r>
          <w:r>
            <w:fldChar w:fldCharType="separate"/>
          </w:r>
          <w:r>
            <w:rPr>
              <w:rFonts w:hint="eastAsia"/>
              <w:b w:val="0"/>
              <w:bCs/>
              <w:szCs w:val="32"/>
            </w:rPr>
            <w:t>一、总则</w:t>
          </w:r>
          <w:r>
            <w:rPr>
              <w:b w:val="0"/>
              <w:bCs/>
            </w:rPr>
            <w:tab/>
          </w:r>
          <w:r>
            <w:rPr>
              <w:b w:val="0"/>
              <w:bCs/>
            </w:rPr>
            <w:fldChar w:fldCharType="begin"/>
          </w:r>
          <w:r>
            <w:rPr>
              <w:b w:val="0"/>
              <w:bCs/>
            </w:rPr>
            <w:instrText xml:space="preserve"> PAGEREF _Toc31938 \h </w:instrText>
          </w:r>
          <w:r>
            <w:rPr>
              <w:b w:val="0"/>
              <w:bCs/>
            </w:rPr>
            <w:fldChar w:fldCharType="separate"/>
          </w:r>
          <w:r>
            <w:rPr>
              <w:b w:val="0"/>
              <w:bCs/>
            </w:rPr>
            <w:t>2</w:t>
          </w:r>
          <w:r>
            <w:rPr>
              <w:b w:val="0"/>
              <w:bCs/>
            </w:rPr>
            <w:fldChar w:fldCharType="end"/>
          </w:r>
          <w:r>
            <w:rPr>
              <w:b w:val="0"/>
              <w:bCs/>
            </w:rPr>
            <w:fldChar w:fldCharType="end"/>
          </w:r>
        </w:p>
        <w:p>
          <w:pPr>
            <w:pStyle w:val="12"/>
            <w:tabs>
              <w:tab w:val="right" w:leader="dot" w:pos="8730"/>
            </w:tabs>
            <w:ind w:firstLine="560"/>
            <w:rPr>
              <w:bCs/>
            </w:rPr>
          </w:pPr>
          <w:r>
            <w:fldChar w:fldCharType="begin"/>
          </w:r>
          <w:r>
            <w:instrText xml:space="preserve"> HYPERLINK \l "_Toc28579" </w:instrText>
          </w:r>
          <w:r>
            <w:fldChar w:fldCharType="separate"/>
          </w:r>
          <w:r>
            <w:rPr>
              <w:rFonts w:hint="eastAsia" w:ascii="楷体" w:hAnsi="楷体" w:eastAsia="楷体" w:cs="楷体"/>
              <w:bCs/>
            </w:rPr>
            <w:t>（一）宏观背景</w:t>
          </w:r>
          <w:r>
            <w:rPr>
              <w:bCs/>
            </w:rPr>
            <w:tab/>
          </w:r>
          <w:r>
            <w:rPr>
              <w:bCs/>
            </w:rPr>
            <w:fldChar w:fldCharType="begin"/>
          </w:r>
          <w:r>
            <w:rPr>
              <w:bCs/>
            </w:rPr>
            <w:instrText xml:space="preserve"> PAGEREF _Toc28579 \h </w:instrText>
          </w:r>
          <w:r>
            <w:rPr>
              <w:bCs/>
            </w:rPr>
            <w:fldChar w:fldCharType="separate"/>
          </w:r>
          <w:r>
            <w:rPr>
              <w:bCs/>
            </w:rPr>
            <w:t>2</w:t>
          </w:r>
          <w:r>
            <w:rPr>
              <w:bCs/>
            </w:rPr>
            <w:fldChar w:fldCharType="end"/>
          </w:r>
          <w:r>
            <w:rPr>
              <w:bCs/>
            </w:rPr>
            <w:fldChar w:fldCharType="end"/>
          </w:r>
        </w:p>
        <w:p>
          <w:pPr>
            <w:pStyle w:val="12"/>
            <w:tabs>
              <w:tab w:val="right" w:leader="dot" w:pos="8730"/>
            </w:tabs>
            <w:ind w:firstLine="560"/>
            <w:rPr>
              <w:bCs/>
            </w:rPr>
          </w:pPr>
          <w:r>
            <w:fldChar w:fldCharType="begin"/>
          </w:r>
          <w:r>
            <w:instrText xml:space="preserve"> HYPERLINK \l "_Toc15892" </w:instrText>
          </w:r>
          <w:r>
            <w:fldChar w:fldCharType="separate"/>
          </w:r>
          <w:r>
            <w:rPr>
              <w:rFonts w:hint="eastAsia" w:ascii="楷体" w:hAnsi="楷体" w:eastAsia="楷体" w:cs="楷体"/>
              <w:bCs/>
            </w:rPr>
            <w:t>（二）编制目的</w:t>
          </w:r>
          <w:r>
            <w:rPr>
              <w:bCs/>
            </w:rPr>
            <w:tab/>
          </w:r>
          <w:r>
            <w:rPr>
              <w:bCs/>
            </w:rPr>
            <w:fldChar w:fldCharType="begin"/>
          </w:r>
          <w:r>
            <w:rPr>
              <w:bCs/>
            </w:rPr>
            <w:instrText xml:space="preserve"> PAGEREF _Toc15892 \h </w:instrText>
          </w:r>
          <w:r>
            <w:rPr>
              <w:bCs/>
            </w:rPr>
            <w:fldChar w:fldCharType="separate"/>
          </w:r>
          <w:r>
            <w:rPr>
              <w:bCs/>
            </w:rPr>
            <w:t>4</w:t>
          </w:r>
          <w:r>
            <w:rPr>
              <w:bCs/>
            </w:rPr>
            <w:fldChar w:fldCharType="end"/>
          </w:r>
          <w:r>
            <w:rPr>
              <w:bCs/>
            </w:rPr>
            <w:fldChar w:fldCharType="end"/>
          </w:r>
        </w:p>
        <w:p>
          <w:pPr>
            <w:pStyle w:val="12"/>
            <w:tabs>
              <w:tab w:val="right" w:leader="dot" w:pos="8730"/>
            </w:tabs>
            <w:ind w:firstLine="560"/>
            <w:rPr>
              <w:bCs/>
            </w:rPr>
          </w:pPr>
          <w:r>
            <w:fldChar w:fldCharType="begin"/>
          </w:r>
          <w:r>
            <w:instrText xml:space="preserve"> HYPERLINK \l "_Toc2293" </w:instrText>
          </w:r>
          <w:r>
            <w:fldChar w:fldCharType="separate"/>
          </w:r>
          <w:r>
            <w:rPr>
              <w:rFonts w:hint="eastAsia" w:ascii="楷体" w:hAnsi="楷体" w:eastAsia="楷体" w:cs="楷体"/>
              <w:bCs/>
            </w:rPr>
            <w:t>（三）规划范围</w:t>
          </w:r>
          <w:r>
            <w:rPr>
              <w:bCs/>
            </w:rPr>
            <w:tab/>
          </w:r>
          <w:r>
            <w:rPr>
              <w:bCs/>
            </w:rPr>
            <w:fldChar w:fldCharType="begin"/>
          </w:r>
          <w:r>
            <w:rPr>
              <w:bCs/>
            </w:rPr>
            <w:instrText xml:space="preserve"> PAGEREF _Toc2293 \h </w:instrText>
          </w:r>
          <w:r>
            <w:rPr>
              <w:bCs/>
            </w:rPr>
            <w:fldChar w:fldCharType="separate"/>
          </w:r>
          <w:r>
            <w:rPr>
              <w:bCs/>
            </w:rPr>
            <w:t>4</w:t>
          </w:r>
          <w:r>
            <w:rPr>
              <w:bCs/>
            </w:rPr>
            <w:fldChar w:fldCharType="end"/>
          </w:r>
          <w:r>
            <w:rPr>
              <w:bCs/>
            </w:rPr>
            <w:fldChar w:fldCharType="end"/>
          </w:r>
        </w:p>
        <w:p>
          <w:pPr>
            <w:pStyle w:val="12"/>
            <w:tabs>
              <w:tab w:val="right" w:leader="dot" w:pos="8730"/>
            </w:tabs>
            <w:ind w:firstLine="560"/>
            <w:rPr>
              <w:bCs/>
            </w:rPr>
          </w:pPr>
          <w:r>
            <w:fldChar w:fldCharType="begin"/>
          </w:r>
          <w:r>
            <w:instrText xml:space="preserve"> HYPERLINK \l "_Toc17254" </w:instrText>
          </w:r>
          <w:r>
            <w:fldChar w:fldCharType="separate"/>
          </w:r>
          <w:r>
            <w:rPr>
              <w:rFonts w:hint="eastAsia" w:ascii="楷体" w:hAnsi="楷体" w:eastAsia="楷体" w:cs="楷体"/>
              <w:bCs/>
            </w:rPr>
            <w:t>（四）规划依据</w:t>
          </w:r>
          <w:r>
            <w:rPr>
              <w:bCs/>
            </w:rPr>
            <w:tab/>
          </w:r>
          <w:r>
            <w:rPr>
              <w:bCs/>
            </w:rPr>
            <w:fldChar w:fldCharType="begin"/>
          </w:r>
          <w:r>
            <w:rPr>
              <w:bCs/>
            </w:rPr>
            <w:instrText xml:space="preserve"> PAGEREF _Toc17254 \h </w:instrText>
          </w:r>
          <w:r>
            <w:rPr>
              <w:bCs/>
            </w:rPr>
            <w:fldChar w:fldCharType="separate"/>
          </w:r>
          <w:r>
            <w:rPr>
              <w:bCs/>
            </w:rPr>
            <w:t>5</w:t>
          </w:r>
          <w:r>
            <w:rPr>
              <w:bCs/>
            </w:rPr>
            <w:fldChar w:fldCharType="end"/>
          </w:r>
          <w:r>
            <w:rPr>
              <w:bCs/>
            </w:rPr>
            <w:fldChar w:fldCharType="end"/>
          </w:r>
        </w:p>
        <w:p>
          <w:pPr>
            <w:pStyle w:val="12"/>
            <w:tabs>
              <w:tab w:val="right" w:leader="dot" w:pos="8730"/>
            </w:tabs>
            <w:ind w:firstLine="560"/>
            <w:rPr>
              <w:bCs/>
            </w:rPr>
          </w:pPr>
          <w:r>
            <w:fldChar w:fldCharType="begin"/>
          </w:r>
          <w:r>
            <w:instrText xml:space="preserve"> HYPERLINK \l "_Toc18885" </w:instrText>
          </w:r>
          <w:r>
            <w:fldChar w:fldCharType="separate"/>
          </w:r>
          <w:r>
            <w:rPr>
              <w:rFonts w:hint="eastAsia" w:ascii="楷体" w:hAnsi="楷体" w:eastAsia="楷体" w:cs="楷体"/>
              <w:bCs/>
            </w:rPr>
            <w:t>（五）规划期限</w:t>
          </w:r>
          <w:r>
            <w:rPr>
              <w:bCs/>
            </w:rPr>
            <w:tab/>
          </w:r>
          <w:r>
            <w:rPr>
              <w:bCs/>
            </w:rPr>
            <w:fldChar w:fldCharType="begin"/>
          </w:r>
          <w:r>
            <w:rPr>
              <w:bCs/>
            </w:rPr>
            <w:instrText xml:space="preserve"> PAGEREF _Toc18885 \h </w:instrText>
          </w:r>
          <w:r>
            <w:rPr>
              <w:bCs/>
            </w:rPr>
            <w:fldChar w:fldCharType="separate"/>
          </w:r>
          <w:r>
            <w:rPr>
              <w:bCs/>
            </w:rPr>
            <w:t>6</w:t>
          </w:r>
          <w:r>
            <w:rPr>
              <w:bCs/>
            </w:rPr>
            <w:fldChar w:fldCharType="end"/>
          </w:r>
          <w:r>
            <w:rPr>
              <w:bCs/>
            </w:rPr>
            <w:fldChar w:fldCharType="end"/>
          </w:r>
        </w:p>
        <w:p>
          <w:pPr>
            <w:pStyle w:val="11"/>
            <w:tabs>
              <w:tab w:val="right" w:leader="dot" w:pos="8730"/>
            </w:tabs>
            <w:rPr>
              <w:b w:val="0"/>
              <w:bCs/>
            </w:rPr>
          </w:pPr>
          <w:r>
            <w:fldChar w:fldCharType="begin"/>
          </w:r>
          <w:r>
            <w:instrText xml:space="preserve"> HYPERLINK \l "_Toc16581" </w:instrText>
          </w:r>
          <w:r>
            <w:fldChar w:fldCharType="separate"/>
          </w:r>
          <w:r>
            <w:rPr>
              <w:rFonts w:hint="eastAsia"/>
              <w:b w:val="0"/>
              <w:bCs/>
            </w:rPr>
            <w:t>二、发展基础</w:t>
          </w:r>
          <w:r>
            <w:rPr>
              <w:b w:val="0"/>
              <w:bCs/>
            </w:rPr>
            <w:tab/>
          </w:r>
          <w:r>
            <w:rPr>
              <w:b w:val="0"/>
              <w:bCs/>
            </w:rPr>
            <w:fldChar w:fldCharType="begin"/>
          </w:r>
          <w:r>
            <w:rPr>
              <w:b w:val="0"/>
              <w:bCs/>
            </w:rPr>
            <w:instrText xml:space="preserve"> PAGEREF _Toc16581 \h </w:instrText>
          </w:r>
          <w:r>
            <w:rPr>
              <w:b w:val="0"/>
              <w:bCs/>
            </w:rPr>
            <w:fldChar w:fldCharType="separate"/>
          </w:r>
          <w:r>
            <w:rPr>
              <w:b w:val="0"/>
              <w:bCs/>
            </w:rPr>
            <w:t>7</w:t>
          </w:r>
          <w:r>
            <w:rPr>
              <w:b w:val="0"/>
              <w:bCs/>
            </w:rPr>
            <w:fldChar w:fldCharType="end"/>
          </w:r>
          <w:r>
            <w:rPr>
              <w:b w:val="0"/>
              <w:bCs/>
            </w:rPr>
            <w:fldChar w:fldCharType="end"/>
          </w:r>
        </w:p>
        <w:p>
          <w:pPr>
            <w:pStyle w:val="11"/>
            <w:tabs>
              <w:tab w:val="right" w:leader="dot" w:pos="8730"/>
            </w:tabs>
            <w:ind w:firstLine="643" w:firstLineChars="200"/>
            <w:rPr>
              <w:rFonts w:ascii="楷体" w:hAnsi="楷体" w:eastAsia="楷体" w:cs="楷体"/>
              <w:b w:val="0"/>
              <w:bCs/>
              <w:sz w:val="28"/>
            </w:rPr>
          </w:pPr>
          <w:r>
            <w:fldChar w:fldCharType="begin"/>
          </w:r>
          <w:r>
            <w:instrText xml:space="preserve"> HYPERLINK \l "_Toc31709" </w:instrText>
          </w:r>
          <w:r>
            <w:fldChar w:fldCharType="separate"/>
          </w:r>
          <w:r>
            <w:rPr>
              <w:rFonts w:hint="eastAsia" w:ascii="楷体" w:hAnsi="楷体" w:eastAsia="楷体" w:cs="楷体"/>
              <w:b w:val="0"/>
              <w:bCs/>
              <w:sz w:val="28"/>
            </w:rPr>
            <w:t>（一）发展概况</w:t>
          </w:r>
          <w:r>
            <w:rPr>
              <w:rFonts w:hint="eastAsia" w:ascii="楷体" w:hAnsi="楷体" w:eastAsia="楷体" w:cs="楷体"/>
              <w:b w:val="0"/>
              <w:bCs/>
              <w:sz w:val="28"/>
            </w:rPr>
            <w:tab/>
          </w:r>
          <w:r>
            <w:rPr>
              <w:rFonts w:hint="eastAsia" w:ascii="楷体" w:hAnsi="楷体" w:eastAsia="楷体" w:cs="楷体"/>
              <w:b w:val="0"/>
              <w:bCs/>
              <w:sz w:val="28"/>
            </w:rPr>
            <w:fldChar w:fldCharType="begin"/>
          </w:r>
          <w:r>
            <w:rPr>
              <w:rFonts w:hint="eastAsia" w:ascii="楷体" w:hAnsi="楷体" w:eastAsia="楷体" w:cs="楷体"/>
              <w:b w:val="0"/>
              <w:bCs/>
              <w:sz w:val="28"/>
            </w:rPr>
            <w:instrText xml:space="preserve"> PAGEREF _Toc31709 \h </w:instrText>
          </w:r>
          <w:r>
            <w:rPr>
              <w:rFonts w:hint="eastAsia" w:ascii="楷体" w:hAnsi="楷体" w:eastAsia="楷体" w:cs="楷体"/>
              <w:b w:val="0"/>
              <w:bCs/>
              <w:sz w:val="28"/>
            </w:rPr>
            <w:fldChar w:fldCharType="separate"/>
          </w:r>
          <w:r>
            <w:rPr>
              <w:rFonts w:hint="eastAsia" w:ascii="楷体" w:hAnsi="楷体" w:eastAsia="楷体" w:cs="楷体"/>
              <w:b w:val="0"/>
              <w:bCs/>
              <w:sz w:val="28"/>
            </w:rPr>
            <w:t>7</w:t>
          </w:r>
          <w:r>
            <w:rPr>
              <w:rFonts w:hint="eastAsia" w:ascii="楷体" w:hAnsi="楷体" w:eastAsia="楷体" w:cs="楷体"/>
              <w:b w:val="0"/>
              <w:bCs/>
              <w:sz w:val="28"/>
            </w:rPr>
            <w:fldChar w:fldCharType="end"/>
          </w:r>
          <w:r>
            <w:rPr>
              <w:rFonts w:hint="eastAsia" w:ascii="楷体" w:hAnsi="楷体" w:eastAsia="楷体" w:cs="楷体"/>
              <w:b w:val="0"/>
              <w:bCs/>
              <w:sz w:val="28"/>
            </w:rPr>
            <w:fldChar w:fldCharType="end"/>
          </w:r>
        </w:p>
        <w:p>
          <w:pPr>
            <w:pStyle w:val="12"/>
            <w:tabs>
              <w:tab w:val="right" w:leader="dot" w:pos="8730"/>
            </w:tabs>
            <w:ind w:firstLine="560"/>
            <w:rPr>
              <w:bCs/>
            </w:rPr>
          </w:pPr>
          <w:r>
            <w:fldChar w:fldCharType="begin"/>
          </w:r>
          <w:r>
            <w:instrText xml:space="preserve"> HYPERLINK \l "_Toc28409" </w:instrText>
          </w:r>
          <w:r>
            <w:fldChar w:fldCharType="separate"/>
          </w:r>
          <w:r>
            <w:rPr>
              <w:rFonts w:hint="eastAsia" w:ascii="楷体" w:hAnsi="楷体" w:eastAsia="楷体" w:cs="楷体"/>
              <w:bCs/>
            </w:rPr>
            <w:t>（二）存在问题</w:t>
          </w:r>
          <w:r>
            <w:rPr>
              <w:bCs/>
            </w:rPr>
            <w:tab/>
          </w:r>
          <w:r>
            <w:rPr>
              <w:bCs/>
            </w:rPr>
            <w:fldChar w:fldCharType="begin"/>
          </w:r>
          <w:r>
            <w:rPr>
              <w:bCs/>
            </w:rPr>
            <w:instrText xml:space="preserve"> PAGEREF _Toc28409 \h </w:instrText>
          </w:r>
          <w:r>
            <w:rPr>
              <w:bCs/>
            </w:rPr>
            <w:fldChar w:fldCharType="separate"/>
          </w:r>
          <w:r>
            <w:rPr>
              <w:bCs/>
            </w:rPr>
            <w:t>8</w:t>
          </w:r>
          <w:r>
            <w:rPr>
              <w:bCs/>
            </w:rPr>
            <w:fldChar w:fldCharType="end"/>
          </w:r>
          <w:r>
            <w:rPr>
              <w:bCs/>
            </w:rPr>
            <w:fldChar w:fldCharType="end"/>
          </w:r>
        </w:p>
        <w:p>
          <w:pPr>
            <w:pStyle w:val="11"/>
            <w:tabs>
              <w:tab w:val="right" w:leader="dot" w:pos="8730"/>
            </w:tabs>
            <w:rPr>
              <w:b w:val="0"/>
              <w:bCs/>
            </w:rPr>
          </w:pPr>
          <w:r>
            <w:fldChar w:fldCharType="begin"/>
          </w:r>
          <w:r>
            <w:instrText xml:space="preserve"> HYPERLINK \l "_Toc23146" </w:instrText>
          </w:r>
          <w:r>
            <w:fldChar w:fldCharType="separate"/>
          </w:r>
          <w:r>
            <w:rPr>
              <w:rFonts w:hint="eastAsia"/>
              <w:b w:val="0"/>
              <w:bCs/>
            </w:rPr>
            <w:t>三、总体要求</w:t>
          </w:r>
          <w:r>
            <w:rPr>
              <w:b w:val="0"/>
              <w:bCs/>
            </w:rPr>
            <w:tab/>
          </w:r>
          <w:r>
            <w:rPr>
              <w:b w:val="0"/>
              <w:bCs/>
            </w:rPr>
            <w:fldChar w:fldCharType="begin"/>
          </w:r>
          <w:r>
            <w:rPr>
              <w:b w:val="0"/>
              <w:bCs/>
            </w:rPr>
            <w:instrText xml:space="preserve"> PAGEREF _Toc23146 \h </w:instrText>
          </w:r>
          <w:r>
            <w:rPr>
              <w:b w:val="0"/>
              <w:bCs/>
            </w:rPr>
            <w:fldChar w:fldCharType="separate"/>
          </w:r>
          <w:r>
            <w:rPr>
              <w:b w:val="0"/>
              <w:bCs/>
            </w:rPr>
            <w:t>10</w:t>
          </w:r>
          <w:r>
            <w:rPr>
              <w:b w:val="0"/>
              <w:bCs/>
            </w:rPr>
            <w:fldChar w:fldCharType="end"/>
          </w:r>
          <w:r>
            <w:rPr>
              <w:b w:val="0"/>
              <w:bCs/>
            </w:rPr>
            <w:fldChar w:fldCharType="end"/>
          </w:r>
        </w:p>
        <w:p>
          <w:pPr>
            <w:pStyle w:val="12"/>
            <w:tabs>
              <w:tab w:val="right" w:leader="dot" w:pos="8730"/>
            </w:tabs>
            <w:ind w:firstLine="560"/>
            <w:rPr>
              <w:bCs/>
            </w:rPr>
          </w:pPr>
          <w:r>
            <w:fldChar w:fldCharType="begin"/>
          </w:r>
          <w:r>
            <w:instrText xml:space="preserve"> HYPERLINK \l "_Toc29689" </w:instrText>
          </w:r>
          <w:r>
            <w:fldChar w:fldCharType="separate"/>
          </w:r>
          <w:r>
            <w:rPr>
              <w:rFonts w:hint="eastAsia" w:ascii="楷体" w:hAnsi="楷体" w:eastAsia="楷体" w:cs="楷体"/>
              <w:bCs/>
            </w:rPr>
            <w:t>（一）指导思想</w:t>
          </w:r>
          <w:r>
            <w:rPr>
              <w:bCs/>
            </w:rPr>
            <w:tab/>
          </w:r>
          <w:r>
            <w:rPr>
              <w:bCs/>
            </w:rPr>
            <w:fldChar w:fldCharType="begin"/>
          </w:r>
          <w:r>
            <w:rPr>
              <w:bCs/>
            </w:rPr>
            <w:instrText xml:space="preserve"> PAGEREF _Toc29689 \h </w:instrText>
          </w:r>
          <w:r>
            <w:rPr>
              <w:bCs/>
            </w:rPr>
            <w:fldChar w:fldCharType="separate"/>
          </w:r>
          <w:r>
            <w:rPr>
              <w:bCs/>
            </w:rPr>
            <w:t>11</w:t>
          </w:r>
          <w:r>
            <w:rPr>
              <w:bCs/>
            </w:rPr>
            <w:fldChar w:fldCharType="end"/>
          </w:r>
          <w:r>
            <w:rPr>
              <w:bCs/>
            </w:rPr>
            <w:fldChar w:fldCharType="end"/>
          </w:r>
        </w:p>
        <w:p>
          <w:pPr>
            <w:pStyle w:val="12"/>
            <w:tabs>
              <w:tab w:val="right" w:leader="dot" w:pos="8730"/>
            </w:tabs>
            <w:ind w:firstLine="560"/>
            <w:rPr>
              <w:bCs/>
            </w:rPr>
          </w:pPr>
          <w:r>
            <w:fldChar w:fldCharType="begin"/>
          </w:r>
          <w:r>
            <w:instrText xml:space="preserve"> HYPERLINK \l "_Toc21784" </w:instrText>
          </w:r>
          <w:r>
            <w:fldChar w:fldCharType="separate"/>
          </w:r>
          <w:r>
            <w:rPr>
              <w:rFonts w:hint="eastAsia" w:ascii="楷体" w:hAnsi="楷体" w:eastAsia="楷体" w:cs="楷体"/>
              <w:bCs/>
            </w:rPr>
            <w:t>（二）基本原则</w:t>
          </w:r>
          <w:r>
            <w:rPr>
              <w:bCs/>
            </w:rPr>
            <w:tab/>
          </w:r>
          <w:r>
            <w:rPr>
              <w:bCs/>
            </w:rPr>
            <w:fldChar w:fldCharType="begin"/>
          </w:r>
          <w:r>
            <w:rPr>
              <w:bCs/>
            </w:rPr>
            <w:instrText xml:space="preserve"> PAGEREF _Toc21784 \h </w:instrText>
          </w:r>
          <w:r>
            <w:rPr>
              <w:bCs/>
            </w:rPr>
            <w:fldChar w:fldCharType="separate"/>
          </w:r>
          <w:r>
            <w:rPr>
              <w:bCs/>
            </w:rPr>
            <w:t>11</w:t>
          </w:r>
          <w:r>
            <w:rPr>
              <w:bCs/>
            </w:rPr>
            <w:fldChar w:fldCharType="end"/>
          </w:r>
          <w:r>
            <w:rPr>
              <w:bCs/>
            </w:rPr>
            <w:fldChar w:fldCharType="end"/>
          </w:r>
        </w:p>
        <w:p>
          <w:pPr>
            <w:pStyle w:val="12"/>
            <w:tabs>
              <w:tab w:val="right" w:leader="dot" w:pos="8730"/>
            </w:tabs>
            <w:ind w:firstLine="560"/>
            <w:rPr>
              <w:bCs/>
            </w:rPr>
          </w:pPr>
          <w:r>
            <w:fldChar w:fldCharType="begin"/>
          </w:r>
          <w:r>
            <w:instrText xml:space="preserve"> HYPERLINK \l "_Toc9225" </w:instrText>
          </w:r>
          <w:r>
            <w:fldChar w:fldCharType="separate"/>
          </w:r>
          <w:r>
            <w:rPr>
              <w:rFonts w:hint="eastAsia" w:ascii="楷体" w:hAnsi="楷体" w:eastAsia="楷体" w:cs="楷体"/>
              <w:bCs/>
            </w:rPr>
            <w:t>（三）发展目标</w:t>
          </w:r>
          <w:r>
            <w:rPr>
              <w:bCs/>
            </w:rPr>
            <w:tab/>
          </w:r>
          <w:r>
            <w:rPr>
              <w:bCs/>
            </w:rPr>
            <w:fldChar w:fldCharType="begin"/>
          </w:r>
          <w:r>
            <w:rPr>
              <w:bCs/>
            </w:rPr>
            <w:instrText xml:space="preserve"> PAGEREF _Toc9225 \h </w:instrText>
          </w:r>
          <w:r>
            <w:rPr>
              <w:bCs/>
            </w:rPr>
            <w:fldChar w:fldCharType="separate"/>
          </w:r>
          <w:r>
            <w:rPr>
              <w:bCs/>
            </w:rPr>
            <w:t>13</w:t>
          </w:r>
          <w:r>
            <w:rPr>
              <w:bCs/>
            </w:rPr>
            <w:fldChar w:fldCharType="end"/>
          </w:r>
          <w:r>
            <w:rPr>
              <w:bCs/>
            </w:rPr>
            <w:fldChar w:fldCharType="end"/>
          </w:r>
        </w:p>
        <w:p>
          <w:pPr>
            <w:pStyle w:val="12"/>
            <w:tabs>
              <w:tab w:val="right" w:leader="dot" w:pos="8730"/>
            </w:tabs>
            <w:ind w:firstLine="560"/>
            <w:rPr>
              <w:bCs/>
            </w:rPr>
          </w:pPr>
          <w:r>
            <w:fldChar w:fldCharType="begin"/>
          </w:r>
          <w:r>
            <w:instrText xml:space="preserve"> HYPERLINK \l "_Toc11577" </w:instrText>
          </w:r>
          <w:r>
            <w:fldChar w:fldCharType="separate"/>
          </w:r>
          <w:r>
            <w:rPr>
              <w:rFonts w:hint="eastAsia" w:ascii="楷体" w:hAnsi="楷体" w:eastAsia="楷体" w:cs="楷体"/>
              <w:bCs/>
            </w:rPr>
            <w:t>（四）发展策略</w:t>
          </w:r>
          <w:r>
            <w:rPr>
              <w:bCs/>
            </w:rPr>
            <w:tab/>
          </w:r>
          <w:r>
            <w:rPr>
              <w:bCs/>
            </w:rPr>
            <w:fldChar w:fldCharType="begin"/>
          </w:r>
          <w:r>
            <w:rPr>
              <w:bCs/>
            </w:rPr>
            <w:instrText xml:space="preserve"> PAGEREF _Toc11577 \h </w:instrText>
          </w:r>
          <w:r>
            <w:rPr>
              <w:bCs/>
            </w:rPr>
            <w:fldChar w:fldCharType="separate"/>
          </w:r>
          <w:r>
            <w:rPr>
              <w:bCs/>
            </w:rPr>
            <w:t>17</w:t>
          </w:r>
          <w:r>
            <w:rPr>
              <w:bCs/>
            </w:rPr>
            <w:fldChar w:fldCharType="end"/>
          </w:r>
          <w:r>
            <w:rPr>
              <w:bCs/>
            </w:rPr>
            <w:fldChar w:fldCharType="end"/>
          </w:r>
        </w:p>
        <w:p>
          <w:pPr>
            <w:pStyle w:val="12"/>
            <w:tabs>
              <w:tab w:val="right" w:leader="dot" w:pos="8730"/>
            </w:tabs>
            <w:ind w:firstLine="560"/>
            <w:rPr>
              <w:bCs/>
            </w:rPr>
          </w:pPr>
          <w:r>
            <w:fldChar w:fldCharType="begin"/>
          </w:r>
          <w:r>
            <w:instrText xml:space="preserve"> HYPERLINK \l "_Toc2253" </w:instrText>
          </w:r>
          <w:r>
            <w:fldChar w:fldCharType="separate"/>
          </w:r>
          <w:r>
            <w:rPr>
              <w:rFonts w:hint="eastAsia" w:ascii="楷体" w:hAnsi="楷体" w:eastAsia="楷体" w:cs="楷体"/>
              <w:bCs/>
            </w:rPr>
            <w:t>（五）总体布局</w:t>
          </w:r>
          <w:r>
            <w:rPr>
              <w:bCs/>
            </w:rPr>
            <w:tab/>
          </w:r>
          <w:r>
            <w:rPr>
              <w:bCs/>
            </w:rPr>
            <w:fldChar w:fldCharType="begin"/>
          </w:r>
          <w:r>
            <w:rPr>
              <w:bCs/>
            </w:rPr>
            <w:instrText xml:space="preserve"> PAGEREF _Toc2253 \h </w:instrText>
          </w:r>
          <w:r>
            <w:rPr>
              <w:bCs/>
            </w:rPr>
            <w:fldChar w:fldCharType="separate"/>
          </w:r>
          <w:r>
            <w:rPr>
              <w:bCs/>
            </w:rPr>
            <w:t>20</w:t>
          </w:r>
          <w:r>
            <w:rPr>
              <w:bCs/>
            </w:rPr>
            <w:fldChar w:fldCharType="end"/>
          </w:r>
          <w:r>
            <w:rPr>
              <w:bCs/>
            </w:rPr>
            <w:fldChar w:fldCharType="end"/>
          </w:r>
        </w:p>
        <w:p>
          <w:pPr>
            <w:pStyle w:val="11"/>
            <w:tabs>
              <w:tab w:val="right" w:leader="dot" w:pos="8730"/>
            </w:tabs>
            <w:rPr>
              <w:b w:val="0"/>
              <w:bCs/>
            </w:rPr>
          </w:pPr>
          <w:r>
            <w:fldChar w:fldCharType="begin"/>
          </w:r>
          <w:r>
            <w:instrText xml:space="preserve"> HYPERLINK \l "_Toc17689" </w:instrText>
          </w:r>
          <w:r>
            <w:fldChar w:fldCharType="separate"/>
          </w:r>
          <w:r>
            <w:rPr>
              <w:rFonts w:hint="eastAsia"/>
              <w:b w:val="0"/>
              <w:bCs/>
            </w:rPr>
            <w:t>四、重点任务</w:t>
          </w:r>
          <w:r>
            <w:rPr>
              <w:b w:val="0"/>
              <w:bCs/>
            </w:rPr>
            <w:tab/>
          </w:r>
          <w:r>
            <w:rPr>
              <w:b w:val="0"/>
              <w:bCs/>
            </w:rPr>
            <w:fldChar w:fldCharType="begin"/>
          </w:r>
          <w:r>
            <w:rPr>
              <w:b w:val="0"/>
              <w:bCs/>
            </w:rPr>
            <w:instrText xml:space="preserve"> PAGEREF _Toc17689 \h </w:instrText>
          </w:r>
          <w:r>
            <w:rPr>
              <w:b w:val="0"/>
              <w:bCs/>
            </w:rPr>
            <w:fldChar w:fldCharType="separate"/>
          </w:r>
          <w:r>
            <w:rPr>
              <w:b w:val="0"/>
              <w:bCs/>
            </w:rPr>
            <w:t>29</w:t>
          </w:r>
          <w:r>
            <w:rPr>
              <w:b w:val="0"/>
              <w:bCs/>
            </w:rPr>
            <w:fldChar w:fldCharType="end"/>
          </w:r>
          <w:r>
            <w:rPr>
              <w:b w:val="0"/>
              <w:bCs/>
            </w:rPr>
            <w:fldChar w:fldCharType="end"/>
          </w:r>
        </w:p>
        <w:p>
          <w:pPr>
            <w:pStyle w:val="12"/>
            <w:tabs>
              <w:tab w:val="right" w:leader="dot" w:pos="8730"/>
            </w:tabs>
            <w:ind w:firstLine="560"/>
            <w:rPr>
              <w:bCs/>
            </w:rPr>
          </w:pPr>
          <w:r>
            <w:fldChar w:fldCharType="begin"/>
          </w:r>
          <w:r>
            <w:instrText xml:space="preserve"> HYPERLINK \l "_Toc17867" </w:instrText>
          </w:r>
          <w:r>
            <w:fldChar w:fldCharType="separate"/>
          </w:r>
          <w:r>
            <w:rPr>
              <w:rFonts w:hint="eastAsia" w:ascii="楷体" w:hAnsi="楷体" w:eastAsia="楷体" w:cs="楷体"/>
              <w:bCs/>
            </w:rPr>
            <w:t>（一）产业创导，聚力打造六大特色产业链</w:t>
          </w:r>
          <w:r>
            <w:rPr>
              <w:bCs/>
            </w:rPr>
            <w:tab/>
          </w:r>
          <w:r>
            <w:rPr>
              <w:bCs/>
            </w:rPr>
            <w:fldChar w:fldCharType="begin"/>
          </w:r>
          <w:r>
            <w:rPr>
              <w:bCs/>
            </w:rPr>
            <w:instrText xml:space="preserve"> PAGEREF _Toc17867 \h </w:instrText>
          </w:r>
          <w:r>
            <w:rPr>
              <w:bCs/>
            </w:rPr>
            <w:fldChar w:fldCharType="separate"/>
          </w:r>
          <w:r>
            <w:rPr>
              <w:bCs/>
            </w:rPr>
            <w:t>29</w:t>
          </w:r>
          <w:r>
            <w:rPr>
              <w:bCs/>
            </w:rPr>
            <w:fldChar w:fldCharType="end"/>
          </w:r>
          <w:r>
            <w:rPr>
              <w:bCs/>
            </w:rPr>
            <w:fldChar w:fldCharType="end"/>
          </w:r>
        </w:p>
        <w:p>
          <w:pPr>
            <w:pStyle w:val="12"/>
            <w:tabs>
              <w:tab w:val="right" w:leader="dot" w:pos="8730"/>
            </w:tabs>
            <w:ind w:firstLine="560"/>
            <w:rPr>
              <w:bCs/>
            </w:rPr>
          </w:pPr>
          <w:r>
            <w:fldChar w:fldCharType="begin"/>
          </w:r>
          <w:r>
            <w:instrText xml:space="preserve"> HYPERLINK \l "_Toc31460" </w:instrText>
          </w:r>
          <w:r>
            <w:fldChar w:fldCharType="separate"/>
          </w:r>
          <w:r>
            <w:rPr>
              <w:rFonts w:hint="eastAsia" w:ascii="楷体" w:hAnsi="楷体" w:eastAsia="楷体" w:cs="楷体"/>
              <w:bCs/>
            </w:rPr>
            <w:t>（二）用海创新，精细深耕高质量渔业空间</w:t>
          </w:r>
          <w:r>
            <w:rPr>
              <w:bCs/>
            </w:rPr>
            <w:tab/>
          </w:r>
          <w:r>
            <w:rPr>
              <w:bCs/>
            </w:rPr>
            <w:fldChar w:fldCharType="begin"/>
          </w:r>
          <w:r>
            <w:rPr>
              <w:bCs/>
            </w:rPr>
            <w:instrText xml:space="preserve"> PAGEREF _Toc31460 \h </w:instrText>
          </w:r>
          <w:r>
            <w:rPr>
              <w:bCs/>
            </w:rPr>
            <w:fldChar w:fldCharType="separate"/>
          </w:r>
          <w:r>
            <w:rPr>
              <w:bCs/>
            </w:rPr>
            <w:t>33</w:t>
          </w:r>
          <w:r>
            <w:rPr>
              <w:bCs/>
            </w:rPr>
            <w:fldChar w:fldCharType="end"/>
          </w:r>
          <w:r>
            <w:rPr>
              <w:bCs/>
            </w:rPr>
            <w:fldChar w:fldCharType="end"/>
          </w:r>
        </w:p>
        <w:p>
          <w:pPr>
            <w:pStyle w:val="12"/>
            <w:tabs>
              <w:tab w:val="right" w:leader="dot" w:pos="8730"/>
            </w:tabs>
            <w:ind w:firstLine="560"/>
            <w:rPr>
              <w:bCs/>
            </w:rPr>
          </w:pPr>
          <w:r>
            <w:fldChar w:fldCharType="begin"/>
          </w:r>
          <w:r>
            <w:instrText xml:space="preserve"> HYPERLINK \l "_Toc28217" </w:instrText>
          </w:r>
          <w:r>
            <w:fldChar w:fldCharType="separate"/>
          </w:r>
          <w:r>
            <w:rPr>
              <w:rFonts w:hint="eastAsia" w:ascii="楷体" w:hAnsi="楷体" w:eastAsia="楷体" w:cs="楷体"/>
              <w:bCs/>
            </w:rPr>
            <w:t>（三）分区创举，差异化发展推动提质增效</w:t>
          </w:r>
          <w:r>
            <w:rPr>
              <w:bCs/>
            </w:rPr>
            <w:tab/>
          </w:r>
          <w:r>
            <w:rPr>
              <w:bCs/>
            </w:rPr>
            <w:fldChar w:fldCharType="begin"/>
          </w:r>
          <w:r>
            <w:rPr>
              <w:bCs/>
            </w:rPr>
            <w:instrText xml:space="preserve"> PAGEREF _Toc28217 \h </w:instrText>
          </w:r>
          <w:r>
            <w:rPr>
              <w:bCs/>
            </w:rPr>
            <w:fldChar w:fldCharType="separate"/>
          </w:r>
          <w:r>
            <w:rPr>
              <w:bCs/>
            </w:rPr>
            <w:t>38</w:t>
          </w:r>
          <w:r>
            <w:rPr>
              <w:bCs/>
            </w:rPr>
            <w:fldChar w:fldCharType="end"/>
          </w:r>
          <w:r>
            <w:rPr>
              <w:bCs/>
            </w:rPr>
            <w:fldChar w:fldCharType="end"/>
          </w:r>
        </w:p>
        <w:p>
          <w:pPr>
            <w:pStyle w:val="12"/>
            <w:tabs>
              <w:tab w:val="right" w:leader="dot" w:pos="8730"/>
            </w:tabs>
            <w:ind w:firstLine="560"/>
            <w:rPr>
              <w:bCs/>
            </w:rPr>
          </w:pPr>
          <w:r>
            <w:fldChar w:fldCharType="begin"/>
          </w:r>
          <w:r>
            <w:instrText xml:space="preserve"> HYPERLINK \l "_Toc29643" </w:instrText>
          </w:r>
          <w:r>
            <w:fldChar w:fldCharType="separate"/>
          </w:r>
          <w:r>
            <w:rPr>
              <w:rFonts w:hint="eastAsia" w:ascii="楷体" w:hAnsi="楷体" w:eastAsia="楷体" w:cs="楷体"/>
              <w:bCs/>
            </w:rPr>
            <w:t>（四）保驾护航，五工程强化海陆统筹联动</w:t>
          </w:r>
          <w:r>
            <w:rPr>
              <w:bCs/>
            </w:rPr>
            <w:tab/>
          </w:r>
          <w:r>
            <w:rPr>
              <w:bCs/>
            </w:rPr>
            <w:fldChar w:fldCharType="begin"/>
          </w:r>
          <w:r>
            <w:rPr>
              <w:bCs/>
            </w:rPr>
            <w:instrText xml:space="preserve"> PAGEREF _Toc29643 \h </w:instrText>
          </w:r>
          <w:r>
            <w:rPr>
              <w:bCs/>
            </w:rPr>
            <w:fldChar w:fldCharType="separate"/>
          </w:r>
          <w:r>
            <w:rPr>
              <w:bCs/>
            </w:rPr>
            <w:t>50</w:t>
          </w:r>
          <w:r>
            <w:rPr>
              <w:bCs/>
            </w:rPr>
            <w:fldChar w:fldCharType="end"/>
          </w:r>
          <w:r>
            <w:rPr>
              <w:bCs/>
            </w:rPr>
            <w:fldChar w:fldCharType="end"/>
          </w:r>
        </w:p>
        <w:p>
          <w:pPr>
            <w:pStyle w:val="12"/>
            <w:tabs>
              <w:tab w:val="right" w:leader="dot" w:pos="8730"/>
            </w:tabs>
            <w:ind w:firstLine="560"/>
            <w:rPr>
              <w:bCs/>
            </w:rPr>
          </w:pPr>
          <w:r>
            <w:fldChar w:fldCharType="begin"/>
          </w:r>
          <w:r>
            <w:instrText xml:space="preserve"> HYPERLINK \l "_Toc15885" </w:instrText>
          </w:r>
          <w:r>
            <w:fldChar w:fldCharType="separate"/>
          </w:r>
          <w:r>
            <w:rPr>
              <w:rFonts w:hint="eastAsia" w:ascii="楷体" w:hAnsi="楷体" w:eastAsia="楷体" w:cs="楷体"/>
              <w:bCs/>
            </w:rPr>
            <w:t>（五）配套完善，全方位构建产业服务生态</w:t>
          </w:r>
          <w:r>
            <w:rPr>
              <w:bCs/>
            </w:rPr>
            <w:tab/>
          </w:r>
          <w:r>
            <w:rPr>
              <w:bCs/>
            </w:rPr>
            <w:fldChar w:fldCharType="begin"/>
          </w:r>
          <w:r>
            <w:rPr>
              <w:bCs/>
            </w:rPr>
            <w:instrText xml:space="preserve"> PAGEREF _Toc15885 \h </w:instrText>
          </w:r>
          <w:r>
            <w:rPr>
              <w:bCs/>
            </w:rPr>
            <w:fldChar w:fldCharType="separate"/>
          </w:r>
          <w:r>
            <w:rPr>
              <w:bCs/>
            </w:rPr>
            <w:t>52</w:t>
          </w:r>
          <w:r>
            <w:rPr>
              <w:bCs/>
            </w:rPr>
            <w:fldChar w:fldCharType="end"/>
          </w:r>
          <w:r>
            <w:rPr>
              <w:bCs/>
            </w:rPr>
            <w:fldChar w:fldCharType="end"/>
          </w:r>
        </w:p>
        <w:p>
          <w:pPr>
            <w:pStyle w:val="12"/>
            <w:tabs>
              <w:tab w:val="right" w:leader="dot" w:pos="8730"/>
            </w:tabs>
            <w:ind w:firstLine="560"/>
            <w:rPr>
              <w:bCs/>
            </w:rPr>
          </w:pPr>
          <w:r>
            <w:fldChar w:fldCharType="begin"/>
          </w:r>
          <w:r>
            <w:instrText xml:space="preserve"> HYPERLINK \l "_Toc8528" </w:instrText>
          </w:r>
          <w:r>
            <w:fldChar w:fldCharType="separate"/>
          </w:r>
          <w:r>
            <w:rPr>
              <w:rFonts w:hint="eastAsia" w:ascii="楷体" w:hAnsi="楷体" w:eastAsia="楷体" w:cs="楷体"/>
              <w:bCs/>
            </w:rPr>
            <w:t>（六）模式创新，多维度优化提升营商环境</w:t>
          </w:r>
          <w:r>
            <w:rPr>
              <w:bCs/>
            </w:rPr>
            <w:tab/>
          </w:r>
          <w:r>
            <w:rPr>
              <w:bCs/>
            </w:rPr>
            <w:fldChar w:fldCharType="begin"/>
          </w:r>
          <w:r>
            <w:rPr>
              <w:bCs/>
            </w:rPr>
            <w:instrText xml:space="preserve"> PAGEREF _Toc8528 \h </w:instrText>
          </w:r>
          <w:r>
            <w:rPr>
              <w:bCs/>
            </w:rPr>
            <w:fldChar w:fldCharType="separate"/>
          </w:r>
          <w:r>
            <w:rPr>
              <w:bCs/>
            </w:rPr>
            <w:t>60</w:t>
          </w:r>
          <w:r>
            <w:rPr>
              <w:bCs/>
            </w:rPr>
            <w:fldChar w:fldCharType="end"/>
          </w:r>
          <w:r>
            <w:rPr>
              <w:bCs/>
            </w:rPr>
            <w:fldChar w:fldCharType="end"/>
          </w:r>
        </w:p>
        <w:p>
          <w:pPr>
            <w:pStyle w:val="11"/>
            <w:tabs>
              <w:tab w:val="right" w:leader="dot" w:pos="8730"/>
            </w:tabs>
            <w:rPr>
              <w:b w:val="0"/>
              <w:bCs/>
            </w:rPr>
          </w:pPr>
          <w:r>
            <w:fldChar w:fldCharType="begin"/>
          </w:r>
          <w:r>
            <w:instrText xml:space="preserve"> HYPERLINK \l "_Toc30881" </w:instrText>
          </w:r>
          <w:r>
            <w:fldChar w:fldCharType="separate"/>
          </w:r>
          <w:r>
            <w:rPr>
              <w:rFonts w:hint="eastAsia"/>
              <w:b w:val="0"/>
              <w:bCs/>
            </w:rPr>
            <w:t>五、保障措施</w:t>
          </w:r>
          <w:r>
            <w:rPr>
              <w:b w:val="0"/>
              <w:bCs/>
            </w:rPr>
            <w:tab/>
          </w:r>
          <w:r>
            <w:rPr>
              <w:b w:val="0"/>
              <w:bCs/>
            </w:rPr>
            <w:fldChar w:fldCharType="begin"/>
          </w:r>
          <w:r>
            <w:rPr>
              <w:b w:val="0"/>
              <w:bCs/>
            </w:rPr>
            <w:instrText xml:space="preserve"> PAGEREF _Toc30881 \h </w:instrText>
          </w:r>
          <w:r>
            <w:rPr>
              <w:b w:val="0"/>
              <w:bCs/>
            </w:rPr>
            <w:fldChar w:fldCharType="separate"/>
          </w:r>
          <w:r>
            <w:rPr>
              <w:b w:val="0"/>
              <w:bCs/>
            </w:rPr>
            <w:t>66</w:t>
          </w:r>
          <w:r>
            <w:rPr>
              <w:b w:val="0"/>
              <w:bCs/>
            </w:rPr>
            <w:fldChar w:fldCharType="end"/>
          </w:r>
          <w:r>
            <w:rPr>
              <w:b w:val="0"/>
              <w:bCs/>
            </w:rPr>
            <w:fldChar w:fldCharType="end"/>
          </w:r>
        </w:p>
        <w:p>
          <w:pPr>
            <w:pStyle w:val="12"/>
            <w:tabs>
              <w:tab w:val="right" w:leader="dot" w:pos="8730"/>
            </w:tabs>
            <w:ind w:firstLine="560"/>
            <w:rPr>
              <w:bCs/>
            </w:rPr>
          </w:pPr>
          <w:r>
            <w:fldChar w:fldCharType="begin"/>
          </w:r>
          <w:r>
            <w:instrText xml:space="preserve"> HYPERLINK \l "_Toc22998" </w:instrText>
          </w:r>
          <w:r>
            <w:fldChar w:fldCharType="separate"/>
          </w:r>
          <w:r>
            <w:rPr>
              <w:rFonts w:hint="eastAsia" w:ascii="楷体" w:hAnsi="楷体" w:eastAsia="楷体" w:cs="楷体"/>
              <w:bCs/>
            </w:rPr>
            <w:t>（一）创新体制机制</w:t>
          </w:r>
          <w:r>
            <w:rPr>
              <w:bCs/>
            </w:rPr>
            <w:tab/>
          </w:r>
          <w:r>
            <w:rPr>
              <w:bCs/>
            </w:rPr>
            <w:fldChar w:fldCharType="begin"/>
          </w:r>
          <w:r>
            <w:rPr>
              <w:bCs/>
            </w:rPr>
            <w:instrText xml:space="preserve"> PAGEREF _Toc22998 \h </w:instrText>
          </w:r>
          <w:r>
            <w:rPr>
              <w:bCs/>
            </w:rPr>
            <w:fldChar w:fldCharType="separate"/>
          </w:r>
          <w:r>
            <w:rPr>
              <w:bCs/>
            </w:rPr>
            <w:t>66</w:t>
          </w:r>
          <w:r>
            <w:rPr>
              <w:bCs/>
            </w:rPr>
            <w:fldChar w:fldCharType="end"/>
          </w:r>
          <w:r>
            <w:rPr>
              <w:bCs/>
            </w:rPr>
            <w:fldChar w:fldCharType="end"/>
          </w:r>
        </w:p>
        <w:p>
          <w:pPr>
            <w:pStyle w:val="12"/>
            <w:tabs>
              <w:tab w:val="right" w:leader="dot" w:pos="8730"/>
            </w:tabs>
            <w:ind w:firstLine="560"/>
            <w:rPr>
              <w:bCs/>
            </w:rPr>
          </w:pPr>
          <w:r>
            <w:fldChar w:fldCharType="begin"/>
          </w:r>
          <w:r>
            <w:instrText xml:space="preserve"> HYPERLINK \l "_Toc364" </w:instrText>
          </w:r>
          <w:r>
            <w:fldChar w:fldCharType="separate"/>
          </w:r>
          <w:r>
            <w:rPr>
              <w:rFonts w:hint="eastAsia" w:ascii="楷体" w:hAnsi="楷体" w:eastAsia="楷体" w:cs="楷体"/>
              <w:bCs/>
            </w:rPr>
            <w:t>（二）深化行业改革</w:t>
          </w:r>
          <w:r>
            <w:rPr>
              <w:bCs/>
            </w:rPr>
            <w:tab/>
          </w:r>
          <w:r>
            <w:rPr>
              <w:bCs/>
            </w:rPr>
            <w:fldChar w:fldCharType="begin"/>
          </w:r>
          <w:r>
            <w:rPr>
              <w:bCs/>
            </w:rPr>
            <w:instrText xml:space="preserve"> PAGEREF _Toc364 \h </w:instrText>
          </w:r>
          <w:r>
            <w:rPr>
              <w:bCs/>
            </w:rPr>
            <w:fldChar w:fldCharType="separate"/>
          </w:r>
          <w:r>
            <w:rPr>
              <w:bCs/>
            </w:rPr>
            <w:t>67</w:t>
          </w:r>
          <w:r>
            <w:rPr>
              <w:bCs/>
            </w:rPr>
            <w:fldChar w:fldCharType="end"/>
          </w:r>
          <w:r>
            <w:rPr>
              <w:bCs/>
            </w:rPr>
            <w:fldChar w:fldCharType="end"/>
          </w:r>
        </w:p>
        <w:p>
          <w:pPr>
            <w:pStyle w:val="12"/>
            <w:tabs>
              <w:tab w:val="right" w:leader="dot" w:pos="8730"/>
            </w:tabs>
            <w:ind w:firstLine="560"/>
            <w:rPr>
              <w:bCs/>
            </w:rPr>
          </w:pPr>
          <w:r>
            <w:fldChar w:fldCharType="begin"/>
          </w:r>
          <w:r>
            <w:instrText xml:space="preserve"> HYPERLINK \l "_Toc26358" </w:instrText>
          </w:r>
          <w:r>
            <w:fldChar w:fldCharType="separate"/>
          </w:r>
          <w:r>
            <w:rPr>
              <w:rFonts w:hint="eastAsia" w:ascii="楷体" w:hAnsi="楷体" w:eastAsia="楷体" w:cs="楷体"/>
              <w:bCs/>
            </w:rPr>
            <w:t>（三）强化人才队伍</w:t>
          </w:r>
          <w:r>
            <w:rPr>
              <w:bCs/>
            </w:rPr>
            <w:tab/>
          </w:r>
          <w:r>
            <w:rPr>
              <w:bCs/>
            </w:rPr>
            <w:fldChar w:fldCharType="begin"/>
          </w:r>
          <w:r>
            <w:rPr>
              <w:bCs/>
            </w:rPr>
            <w:instrText xml:space="preserve"> PAGEREF _Toc26358 \h </w:instrText>
          </w:r>
          <w:r>
            <w:rPr>
              <w:bCs/>
            </w:rPr>
            <w:fldChar w:fldCharType="separate"/>
          </w:r>
          <w:r>
            <w:rPr>
              <w:bCs/>
            </w:rPr>
            <w:t>70</w:t>
          </w:r>
          <w:r>
            <w:rPr>
              <w:bCs/>
            </w:rPr>
            <w:fldChar w:fldCharType="end"/>
          </w:r>
          <w:r>
            <w:rPr>
              <w:bCs/>
            </w:rPr>
            <w:fldChar w:fldCharType="end"/>
          </w:r>
        </w:p>
        <w:p>
          <w:pPr>
            <w:pStyle w:val="12"/>
            <w:tabs>
              <w:tab w:val="right" w:leader="dot" w:pos="8730"/>
            </w:tabs>
            <w:ind w:firstLine="560"/>
            <w:rPr>
              <w:bCs/>
            </w:rPr>
          </w:pPr>
          <w:r>
            <w:fldChar w:fldCharType="begin"/>
          </w:r>
          <w:r>
            <w:instrText xml:space="preserve"> HYPERLINK \l "_Toc10150" </w:instrText>
          </w:r>
          <w:r>
            <w:fldChar w:fldCharType="separate"/>
          </w:r>
          <w:r>
            <w:rPr>
              <w:rFonts w:hint="eastAsia" w:ascii="楷体" w:hAnsi="楷体" w:eastAsia="楷体" w:cs="楷体"/>
              <w:bCs/>
            </w:rPr>
            <w:t>（四）加强安全监管</w:t>
          </w:r>
          <w:r>
            <w:rPr>
              <w:bCs/>
            </w:rPr>
            <w:tab/>
          </w:r>
          <w:r>
            <w:rPr>
              <w:bCs/>
            </w:rPr>
            <w:fldChar w:fldCharType="begin"/>
          </w:r>
          <w:r>
            <w:rPr>
              <w:bCs/>
            </w:rPr>
            <w:instrText xml:space="preserve"> PAGEREF _Toc10150 \h </w:instrText>
          </w:r>
          <w:r>
            <w:rPr>
              <w:bCs/>
            </w:rPr>
            <w:fldChar w:fldCharType="separate"/>
          </w:r>
          <w:r>
            <w:rPr>
              <w:bCs/>
            </w:rPr>
            <w:t>71</w:t>
          </w:r>
          <w:r>
            <w:rPr>
              <w:bCs/>
            </w:rPr>
            <w:fldChar w:fldCharType="end"/>
          </w:r>
          <w:r>
            <w:rPr>
              <w:bCs/>
            </w:rPr>
            <w:fldChar w:fldCharType="end"/>
          </w:r>
        </w:p>
        <w:p>
          <w:pPr>
            <w:pStyle w:val="12"/>
            <w:tabs>
              <w:tab w:val="right" w:leader="dot" w:pos="8730"/>
            </w:tabs>
            <w:ind w:firstLine="560"/>
            <w:rPr>
              <w:bCs/>
            </w:rPr>
          </w:pPr>
          <w:r>
            <w:fldChar w:fldCharType="begin"/>
          </w:r>
          <w:r>
            <w:instrText xml:space="preserve"> HYPERLINK \l "_Toc16159" </w:instrText>
          </w:r>
          <w:r>
            <w:fldChar w:fldCharType="separate"/>
          </w:r>
          <w:r>
            <w:rPr>
              <w:rFonts w:hint="eastAsia" w:ascii="楷体" w:hAnsi="楷体" w:eastAsia="楷体" w:cs="楷体"/>
              <w:bCs/>
            </w:rPr>
            <w:t>（五）落实扶持政策</w:t>
          </w:r>
          <w:r>
            <w:rPr>
              <w:bCs/>
            </w:rPr>
            <w:tab/>
          </w:r>
          <w:r>
            <w:rPr>
              <w:bCs/>
            </w:rPr>
            <w:fldChar w:fldCharType="begin"/>
          </w:r>
          <w:r>
            <w:rPr>
              <w:bCs/>
            </w:rPr>
            <w:instrText xml:space="preserve"> PAGEREF _Toc16159 \h </w:instrText>
          </w:r>
          <w:r>
            <w:rPr>
              <w:bCs/>
            </w:rPr>
            <w:fldChar w:fldCharType="separate"/>
          </w:r>
          <w:r>
            <w:rPr>
              <w:bCs/>
            </w:rPr>
            <w:t>72</w:t>
          </w:r>
          <w:r>
            <w:rPr>
              <w:bCs/>
            </w:rPr>
            <w:fldChar w:fldCharType="end"/>
          </w:r>
          <w:r>
            <w:rPr>
              <w:bCs/>
            </w:rPr>
            <w:fldChar w:fldCharType="end"/>
          </w:r>
        </w:p>
        <w:p>
          <w:pPr>
            <w:pStyle w:val="12"/>
            <w:tabs>
              <w:tab w:val="right" w:leader="dot" w:pos="8730"/>
            </w:tabs>
            <w:ind w:firstLine="560"/>
            <w:rPr>
              <w:bCs/>
            </w:rPr>
          </w:pPr>
          <w:r>
            <w:fldChar w:fldCharType="begin"/>
          </w:r>
          <w:r>
            <w:instrText xml:space="preserve"> HYPERLINK \l "_Toc9159" </w:instrText>
          </w:r>
          <w:r>
            <w:fldChar w:fldCharType="separate"/>
          </w:r>
          <w:r>
            <w:rPr>
              <w:rFonts w:hint="eastAsia" w:ascii="楷体" w:hAnsi="楷体" w:eastAsia="楷体" w:cs="楷体"/>
              <w:bCs/>
            </w:rPr>
            <w:t>（六）推动海陆统筹</w:t>
          </w:r>
          <w:r>
            <w:rPr>
              <w:bCs/>
            </w:rPr>
            <w:tab/>
          </w:r>
          <w:r>
            <w:rPr>
              <w:bCs/>
            </w:rPr>
            <w:fldChar w:fldCharType="begin"/>
          </w:r>
          <w:r>
            <w:rPr>
              <w:bCs/>
            </w:rPr>
            <w:instrText xml:space="preserve"> PAGEREF _Toc9159 \h </w:instrText>
          </w:r>
          <w:r>
            <w:rPr>
              <w:bCs/>
            </w:rPr>
            <w:fldChar w:fldCharType="separate"/>
          </w:r>
          <w:r>
            <w:rPr>
              <w:bCs/>
            </w:rPr>
            <w:t>74</w:t>
          </w:r>
          <w:r>
            <w:rPr>
              <w:bCs/>
            </w:rPr>
            <w:fldChar w:fldCharType="end"/>
          </w:r>
          <w:r>
            <w:rPr>
              <w:bCs/>
            </w:rPr>
            <w:fldChar w:fldCharType="end"/>
          </w:r>
        </w:p>
        <w:p>
          <w:pPr>
            <w:pStyle w:val="11"/>
            <w:tabs>
              <w:tab w:val="right" w:leader="dot" w:pos="8730"/>
            </w:tabs>
            <w:rPr>
              <w:b w:val="0"/>
              <w:bCs/>
            </w:rPr>
          </w:pPr>
          <w:r>
            <w:fldChar w:fldCharType="begin"/>
          </w:r>
          <w:r>
            <w:instrText xml:space="preserve"> HYPERLINK \l "_Toc3465" </w:instrText>
          </w:r>
          <w:r>
            <w:fldChar w:fldCharType="separate"/>
          </w:r>
          <w:r>
            <w:rPr>
              <w:rFonts w:hint="eastAsia"/>
              <w:b w:val="0"/>
              <w:bCs/>
            </w:rPr>
            <w:t>六、环境影响评价</w:t>
          </w:r>
          <w:r>
            <w:rPr>
              <w:b w:val="0"/>
              <w:bCs/>
            </w:rPr>
            <w:tab/>
          </w:r>
          <w:r>
            <w:rPr>
              <w:b w:val="0"/>
              <w:bCs/>
            </w:rPr>
            <w:fldChar w:fldCharType="begin"/>
          </w:r>
          <w:r>
            <w:rPr>
              <w:b w:val="0"/>
              <w:bCs/>
            </w:rPr>
            <w:instrText xml:space="preserve"> PAGEREF _Toc3465 \h </w:instrText>
          </w:r>
          <w:r>
            <w:rPr>
              <w:b w:val="0"/>
              <w:bCs/>
            </w:rPr>
            <w:fldChar w:fldCharType="separate"/>
          </w:r>
          <w:r>
            <w:rPr>
              <w:b w:val="0"/>
              <w:bCs/>
            </w:rPr>
            <w:t>76</w:t>
          </w:r>
          <w:r>
            <w:rPr>
              <w:b w:val="0"/>
              <w:bCs/>
            </w:rPr>
            <w:fldChar w:fldCharType="end"/>
          </w:r>
          <w:r>
            <w:rPr>
              <w:b w:val="0"/>
              <w:bCs/>
            </w:rPr>
            <w:fldChar w:fldCharType="end"/>
          </w:r>
        </w:p>
        <w:p>
          <w:pPr>
            <w:pStyle w:val="12"/>
            <w:tabs>
              <w:tab w:val="right" w:leader="dot" w:pos="8730"/>
            </w:tabs>
            <w:ind w:firstLine="560"/>
            <w:rPr>
              <w:bCs/>
            </w:rPr>
          </w:pPr>
          <w:r>
            <w:fldChar w:fldCharType="begin"/>
          </w:r>
          <w:r>
            <w:instrText xml:space="preserve"> HYPERLINK \l "_Toc32322" </w:instrText>
          </w:r>
          <w:r>
            <w:fldChar w:fldCharType="separate"/>
          </w:r>
          <w:r>
            <w:rPr>
              <w:rFonts w:hint="eastAsia" w:ascii="楷体" w:hAnsi="楷体" w:eastAsia="楷体" w:cs="楷体"/>
              <w:bCs/>
            </w:rPr>
            <w:t>（一）环境影响的分析与评价</w:t>
          </w:r>
          <w:r>
            <w:rPr>
              <w:bCs/>
            </w:rPr>
            <w:tab/>
          </w:r>
          <w:r>
            <w:rPr>
              <w:bCs/>
            </w:rPr>
            <w:fldChar w:fldCharType="begin"/>
          </w:r>
          <w:r>
            <w:rPr>
              <w:bCs/>
            </w:rPr>
            <w:instrText xml:space="preserve"> PAGEREF _Toc32322 \h </w:instrText>
          </w:r>
          <w:r>
            <w:rPr>
              <w:bCs/>
            </w:rPr>
            <w:fldChar w:fldCharType="separate"/>
          </w:r>
          <w:r>
            <w:rPr>
              <w:bCs/>
            </w:rPr>
            <w:t>76</w:t>
          </w:r>
          <w:r>
            <w:rPr>
              <w:bCs/>
            </w:rPr>
            <w:fldChar w:fldCharType="end"/>
          </w:r>
          <w:r>
            <w:rPr>
              <w:bCs/>
            </w:rPr>
            <w:fldChar w:fldCharType="end"/>
          </w:r>
        </w:p>
        <w:p>
          <w:pPr>
            <w:pStyle w:val="12"/>
            <w:tabs>
              <w:tab w:val="right" w:leader="dot" w:pos="8730"/>
            </w:tabs>
            <w:ind w:firstLine="560"/>
            <w:rPr>
              <w:bCs/>
            </w:rPr>
          </w:pPr>
          <w:r>
            <w:fldChar w:fldCharType="begin"/>
          </w:r>
          <w:r>
            <w:instrText xml:space="preserve"> HYPERLINK \l "_Toc653" </w:instrText>
          </w:r>
          <w:r>
            <w:fldChar w:fldCharType="separate"/>
          </w:r>
          <w:r>
            <w:rPr>
              <w:rFonts w:hint="eastAsia" w:ascii="楷体" w:hAnsi="楷体" w:eastAsia="楷体" w:cs="楷体"/>
              <w:bCs/>
            </w:rPr>
            <w:t>（二）环境影响的对策与措施</w:t>
          </w:r>
          <w:r>
            <w:rPr>
              <w:bCs/>
            </w:rPr>
            <w:tab/>
          </w:r>
          <w:r>
            <w:rPr>
              <w:bCs/>
            </w:rPr>
            <w:fldChar w:fldCharType="begin"/>
          </w:r>
          <w:r>
            <w:rPr>
              <w:bCs/>
            </w:rPr>
            <w:instrText xml:space="preserve"> PAGEREF _Toc653 \h </w:instrText>
          </w:r>
          <w:r>
            <w:rPr>
              <w:bCs/>
            </w:rPr>
            <w:fldChar w:fldCharType="separate"/>
          </w:r>
          <w:r>
            <w:rPr>
              <w:bCs/>
            </w:rPr>
            <w:t>78</w:t>
          </w:r>
          <w:r>
            <w:rPr>
              <w:bCs/>
            </w:rPr>
            <w:fldChar w:fldCharType="end"/>
          </w:r>
          <w:r>
            <w:rPr>
              <w:bCs/>
            </w:rPr>
            <w:fldChar w:fldCharType="end"/>
          </w:r>
        </w:p>
        <w:p>
          <w:pPr>
            <w:pStyle w:val="11"/>
            <w:tabs>
              <w:tab w:val="right" w:leader="dot" w:pos="8730"/>
            </w:tabs>
            <w:rPr>
              <w:b w:val="0"/>
              <w:bCs/>
            </w:rPr>
          </w:pPr>
          <w:r>
            <w:fldChar w:fldCharType="begin"/>
          </w:r>
          <w:r>
            <w:instrText xml:space="preserve"> HYPERLINK \l "_Toc4340" </w:instrText>
          </w:r>
          <w:r>
            <w:fldChar w:fldCharType="separate"/>
          </w:r>
          <w:r>
            <w:rPr>
              <w:rFonts w:hint="eastAsia"/>
              <w:b w:val="0"/>
              <w:bCs/>
            </w:rPr>
            <w:t>附图：</w:t>
          </w:r>
          <w:r>
            <w:rPr>
              <w:b w:val="0"/>
              <w:bCs/>
            </w:rPr>
            <w:tab/>
          </w:r>
          <w:r>
            <w:rPr>
              <w:b w:val="0"/>
              <w:bCs/>
            </w:rPr>
            <w:fldChar w:fldCharType="begin"/>
          </w:r>
          <w:r>
            <w:rPr>
              <w:b w:val="0"/>
              <w:bCs/>
            </w:rPr>
            <w:instrText xml:space="preserve"> PAGEREF _Toc4340 \h </w:instrText>
          </w:r>
          <w:r>
            <w:rPr>
              <w:b w:val="0"/>
              <w:bCs/>
            </w:rPr>
            <w:fldChar w:fldCharType="separate"/>
          </w:r>
          <w:r>
            <w:rPr>
              <w:b w:val="0"/>
              <w:bCs/>
            </w:rPr>
            <w:t>81</w:t>
          </w:r>
          <w:r>
            <w:rPr>
              <w:b w:val="0"/>
              <w:bCs/>
            </w:rPr>
            <w:fldChar w:fldCharType="end"/>
          </w:r>
          <w:r>
            <w:rPr>
              <w:b w:val="0"/>
              <w:bCs/>
            </w:rPr>
            <w:fldChar w:fldCharType="end"/>
          </w:r>
        </w:p>
        <w:p>
          <w:pPr>
            <w:pStyle w:val="11"/>
            <w:tabs>
              <w:tab w:val="right" w:leader="dot" w:pos="8730"/>
            </w:tabs>
          </w:pPr>
          <w:r>
            <w:fldChar w:fldCharType="begin"/>
          </w:r>
          <w:r>
            <w:instrText xml:space="preserve"> HYPERLINK \l "_Toc30680" </w:instrText>
          </w:r>
          <w:r>
            <w:fldChar w:fldCharType="separate"/>
          </w:r>
          <w:r>
            <w:rPr>
              <w:rFonts w:hint="eastAsia"/>
              <w:b w:val="0"/>
              <w:bCs/>
            </w:rPr>
            <w:t>附表：</w:t>
          </w:r>
          <w:r>
            <w:rPr>
              <w:b w:val="0"/>
              <w:bCs/>
            </w:rPr>
            <w:tab/>
          </w:r>
          <w:r>
            <w:rPr>
              <w:b w:val="0"/>
              <w:bCs/>
            </w:rPr>
            <w:fldChar w:fldCharType="begin"/>
          </w:r>
          <w:r>
            <w:rPr>
              <w:b w:val="0"/>
              <w:bCs/>
            </w:rPr>
            <w:instrText xml:space="preserve"> PAGEREF _Toc30680 \h </w:instrText>
          </w:r>
          <w:r>
            <w:rPr>
              <w:b w:val="0"/>
              <w:bCs/>
            </w:rPr>
            <w:fldChar w:fldCharType="separate"/>
          </w:r>
          <w:r>
            <w:rPr>
              <w:b w:val="0"/>
              <w:bCs/>
            </w:rPr>
            <w:t>89</w:t>
          </w:r>
          <w:r>
            <w:rPr>
              <w:b w:val="0"/>
              <w:bCs/>
            </w:rPr>
            <w:fldChar w:fldCharType="end"/>
          </w:r>
          <w:r>
            <w:rPr>
              <w:b w:val="0"/>
              <w:bCs/>
            </w:rPr>
            <w:fldChar w:fldCharType="end"/>
          </w:r>
        </w:p>
        <w:p>
          <w:pPr>
            <w:pStyle w:val="11"/>
            <w:tabs>
              <w:tab w:val="right" w:leader="dot" w:pos="8296"/>
            </w:tabs>
            <w:spacing w:line="560" w:lineRule="atLeast"/>
            <w:ind w:firstLine="420"/>
            <w:sectPr>
              <w:headerReference r:id="rId5" w:type="default"/>
              <w:footerReference r:id="rId6" w:type="default"/>
              <w:pgSz w:w="11906" w:h="16838"/>
              <w:pgMar w:top="1418" w:right="1588" w:bottom="1418" w:left="1588" w:header="851" w:footer="992" w:gutter="0"/>
              <w:pgNumType w:start="1"/>
              <w:cols w:space="425" w:num="1"/>
              <w:docGrid w:type="lines" w:linePitch="312" w:charSpace="0"/>
            </w:sectPr>
          </w:pPr>
          <w:r>
            <w:rPr>
              <w:sz w:val="24"/>
              <w:szCs w:val="24"/>
            </w:rPr>
            <w:fldChar w:fldCharType="end"/>
          </w:r>
        </w:p>
      </w:sdtContent>
    </w:sdt>
    <w:p>
      <w:pPr>
        <w:pStyle w:val="3"/>
        <w:spacing w:before="156" w:after="156" w:line="560" w:lineRule="atLeast"/>
        <w:jc w:val="center"/>
        <w:rPr>
          <w:b w:val="0"/>
          <w:bCs w:val="0"/>
        </w:rPr>
      </w:pPr>
      <w:bookmarkStart w:id="0" w:name="_Toc11103"/>
      <w:bookmarkStart w:id="1" w:name="_Toc22503"/>
      <w:bookmarkStart w:id="2" w:name="_Toc29148"/>
      <w:bookmarkStart w:id="3" w:name="_Toc51149473"/>
      <w:bookmarkStart w:id="4" w:name="_Toc22078"/>
      <w:bookmarkStart w:id="5" w:name="_Toc19223"/>
      <w:bookmarkStart w:id="6" w:name="_Toc30904"/>
      <w:bookmarkStart w:id="7" w:name="_Toc12488"/>
      <w:bookmarkStart w:id="8" w:name="_Toc17871"/>
      <w:bookmarkStart w:id="9" w:name="_Toc10287"/>
      <w:bookmarkStart w:id="10" w:name="_Toc3213"/>
      <w:bookmarkStart w:id="11" w:name="_Toc4528"/>
      <w:r>
        <w:rPr>
          <w:rFonts w:hint="eastAsia"/>
          <w:b w:val="0"/>
          <w:bCs w:val="0"/>
        </w:rPr>
        <w:t>前  言</w:t>
      </w:r>
      <w:bookmarkEnd w:id="0"/>
    </w:p>
    <w:p>
      <w:pPr>
        <w:spacing w:line="560" w:lineRule="atLeast"/>
        <w:ind w:firstLine="640"/>
      </w:pPr>
      <w:r>
        <w:rPr>
          <w:rFonts w:hint="eastAsia" w:ascii="方正仿宋_GB2312" w:hAnsi="方正仿宋_GB2312" w:eastAsia="方正仿宋_GB2312" w:cs="方正仿宋_GB2312"/>
        </w:rPr>
        <w:t>发达的海洋经济是建设海洋强国的重要支撑，发展海洋渔业经济是建设海洋强省的基础，是现代海洋产业体系的重要组成部分；发展海洋渔业生产是一项基本国策，是一项重大民生保障，是一项基础性产业；海洋渔业创新产业融合发展是新兴战略性产业，是地方发展支柱性产业的基础，是稳定农村和农业经济的重要抓手，是推动乡村振兴的重要方式，是为人类提供优质蛋白源的重要保障。中国是世界第一人口大国，是世界第一水产养殖大国和水产品贸易大国。广东是改革开放的排头兵、先行地、实验区，作为世界渔业国际商贸窗口，不仅是水产品的消费大省，也是水产品的输出大省；世界渔业看中国、中国渔业看广东，广东渔业经济连续多年稳居全国前列。广东省坚持四个全面、四个意识、五位一体、五大发展理念，奋力实现“四个走在全国前列”、当好“两个重要窗口”，科学把握新发展阶段，深入贯彻新发展理念，紧紧围绕构建以国内大循环为主体、国际国内双循环相互促进的新发展格局。发展海洋渔业是积极探索推广绿水青山转化为金山银山的有效路径。依据中央一号文件提出的高质量发展、绿色健康养殖发展等指导精神，以及广东省关于海洋、渔业、空间、生态、产业等政策指引和上位规划等文件的精神，紧紧围绕广东省海洋事业与海洋产业发展，着力打造海洋牧场、深水网箱养殖、优势特色产业带和优势特色产业集群等战略部署，特编制本规划。</w:t>
      </w:r>
      <w:r>
        <w:rPr>
          <w:rFonts w:hint="eastAsia"/>
        </w:rPr>
        <w:br w:type="page"/>
      </w:r>
    </w:p>
    <w:p>
      <w:pPr>
        <w:pStyle w:val="3"/>
        <w:spacing w:before="156" w:after="156" w:line="560" w:lineRule="atLeast"/>
        <w:ind w:firstLine="640" w:firstLineChars="200"/>
        <w:jc w:val="both"/>
        <w:rPr>
          <w:b w:val="0"/>
          <w:bCs w:val="0"/>
          <w:szCs w:val="32"/>
        </w:rPr>
      </w:pPr>
      <w:bookmarkStart w:id="12" w:name="_Toc31938"/>
      <w:r>
        <w:rPr>
          <w:rFonts w:hint="eastAsia"/>
          <w:b w:val="0"/>
          <w:bCs w:val="0"/>
          <w:szCs w:val="32"/>
        </w:rPr>
        <w:t>一、总则</w:t>
      </w:r>
      <w:bookmarkEnd w:id="12"/>
    </w:p>
    <w:p>
      <w:pPr>
        <w:pStyle w:val="4"/>
        <w:spacing w:before="156" w:after="156" w:line="560" w:lineRule="atLeast"/>
        <w:ind w:firstLine="640" w:firstLineChars="200"/>
        <w:jc w:val="both"/>
        <w:rPr>
          <w:rFonts w:ascii="楷体" w:hAnsi="楷体" w:eastAsia="楷体" w:cs="楷体"/>
          <w:b w:val="0"/>
          <w:bCs w:val="0"/>
        </w:rPr>
      </w:pPr>
      <w:bookmarkStart w:id="13" w:name="_Toc28579"/>
      <w:r>
        <w:rPr>
          <w:rFonts w:hint="eastAsia" w:ascii="楷体" w:hAnsi="楷体" w:eastAsia="楷体" w:cs="楷体"/>
          <w:b w:val="0"/>
          <w:bCs w:val="0"/>
        </w:rPr>
        <w:t>（一）宏观背景</w:t>
      </w:r>
      <w:bookmarkEnd w:id="13"/>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1.海洋渔业政策背景</w:t>
      </w:r>
    </w:p>
    <w:p>
      <w:pPr>
        <w:pStyle w:val="5"/>
        <w:spacing w:line="560" w:lineRule="atLeast"/>
        <w:ind w:firstLine="640"/>
        <w:rPr>
          <w:rFonts w:ascii="仿宋" w:hAnsi="仿宋" w:eastAsia="仿宋" w:cs="仿宋"/>
          <w:b w:val="0"/>
          <w:bCs w:val="0"/>
          <w:szCs w:val="22"/>
        </w:rPr>
      </w:pPr>
      <w:r>
        <w:rPr>
          <w:rFonts w:hint="eastAsia" w:ascii="仿宋" w:hAnsi="仿宋" w:eastAsia="仿宋" w:cs="仿宋"/>
          <w:b w:val="0"/>
          <w:bCs w:val="0"/>
          <w:szCs w:val="22"/>
        </w:rPr>
        <w:t>十九届五中全会提出加快壮大新一代海洋装备产业、推动现代服务业与现代农业深度融合等“十四五”时期发展目标和发展方向，推动实现渔业高质量发展。《中华人民共和国国民经济和社会发展第十四个五年规划和2035年远景目标纲要》《国家质量兴农战略规划（2018-2022年）》等多项政策提出推进我国渔业现代化，注重渔业多方产业、多种形式融合，推进渔业供给侧结构性改革，实现渔业高质量发展。</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广东省人民政府工作报告连续多年提出大力发展和做大做强海洋经济，要推动海洋渔业提质增效，加快发展海洋产业集群，大力发展深远海大型智能养殖平台。此外还持续出台《中共广东省委 广东省人民政府关于全面推进乡村振兴加快农业农村现代化的实施意见》《广东省发展现代农业与食品战略性支柱产业集群行动计划（2021-2025年）》等多项相关政策，对海洋渔业发展提出了新要求、新方向。</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汕尾市近年来立足于自身得天独厚的蓝色滨海资源，大力推进海洋经济强市建设，在“十四五”规划中明确提出，要推动建设特色鲜明的渔港经济区，打造现代海洋渔业基地，大力发展远洋捕捞、海洋牧场、休闲渔业、水产品加工业等产业。并出台多项政策，推进发展深水网箱、工厂化养殖、海区吊养、底播增养殖等多种养殖方式，科学合理利用水域从事水产养殖生产，加快推动海水养殖业转型升级。</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2.海洋渔业发展态势</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20世纪60年代以后，全球食用水产动物消费量年均增长率超过了人口增长率，高于全部陆生动物肉类增长率，约占全球人口动物蛋白消费量的17%，水产动物提供了人均动物蛋白摄入量的近20%。据联合国粮食及农业组织（FAO）表示，水产养殖在过去30年中以平均每年8%的速度持续增长，是当前全球增长最快的食品生产部分。</w:t>
      </w:r>
    </w:p>
    <w:p>
      <w:pPr>
        <w:spacing w:line="560" w:lineRule="atLeast"/>
        <w:ind w:firstLine="640"/>
        <w:rPr>
          <w:rFonts w:ascii="仿宋" w:hAnsi="仿宋" w:eastAsia="仿宋" w:cs="仿宋"/>
        </w:rPr>
      </w:pPr>
      <w:r>
        <w:rPr>
          <w:rFonts w:hint="eastAsia" w:ascii="仿宋" w:hAnsi="仿宋" w:eastAsia="仿宋" w:cs="仿宋"/>
        </w:rPr>
        <w:t>我国水产养殖产量连续32年稳居世界第一，水产养殖业已经成为沿海地区的重要经济增长点和“三农”稳产保供增收的重要来源。而海洋养殖作为水产养殖的重要组成部分，既可维护海洋国土安全，创造和平崛起的环境，又能摆脱淡水水域和陆地空间的限制，是现代渔业高质量发展的必然选择。多年来，中国海洋渔业经济产值持续增长，其中近五年海水养殖产值稳定增长，年平均增长率为5.1%。</w:t>
      </w:r>
    </w:p>
    <w:p>
      <w:pPr>
        <w:spacing w:line="560" w:lineRule="atLeast"/>
        <w:ind w:firstLine="640"/>
        <w:rPr>
          <w:rFonts w:ascii="仿宋" w:hAnsi="仿宋" w:eastAsia="仿宋" w:cs="仿宋"/>
        </w:rPr>
      </w:pPr>
      <w:r>
        <w:rPr>
          <w:rFonts w:hint="eastAsia" w:ascii="仿宋" w:hAnsi="仿宋" w:eastAsia="仿宋" w:cs="仿宋"/>
        </w:rPr>
        <w:t>广东省是中国水产品生产强省，自改革开放以来产量一直处于全国领先地位。广东省水产品产量较为稳定，渔业经济在全省的经济发展和社会发展大局中的地位日益突出，</w:t>
      </w:r>
      <w:r>
        <w:rPr>
          <w:rFonts w:ascii="仿宋" w:hAnsi="仿宋" w:eastAsia="仿宋" w:cs="仿宋"/>
        </w:rPr>
        <w:t>渔业</w:t>
      </w:r>
      <w:r>
        <w:rPr>
          <w:rFonts w:hint="eastAsia" w:ascii="仿宋" w:hAnsi="仿宋" w:eastAsia="仿宋" w:cs="仿宋"/>
        </w:rPr>
        <w:t>总</w:t>
      </w:r>
      <w:r>
        <w:rPr>
          <w:rFonts w:ascii="仿宋" w:hAnsi="仿宋" w:eastAsia="仿宋" w:cs="仿宋"/>
        </w:rPr>
        <w:t>产值2014年</w:t>
      </w:r>
      <w:r>
        <w:rPr>
          <w:rFonts w:hint="eastAsia" w:ascii="仿宋" w:hAnsi="仿宋" w:eastAsia="仿宋" w:cs="仿宋"/>
        </w:rPr>
        <w:t>开始已突破</w:t>
      </w:r>
      <w:r>
        <w:rPr>
          <w:rFonts w:ascii="仿宋" w:hAnsi="仿宋" w:eastAsia="仿宋" w:cs="仿宋"/>
        </w:rPr>
        <w:t>1000亿元</w:t>
      </w:r>
      <w:r>
        <w:rPr>
          <w:rFonts w:hint="eastAsia" w:ascii="仿宋" w:hAnsi="仿宋" w:eastAsia="仿宋" w:cs="仿宋"/>
        </w:rPr>
        <w:t>以上，渔业产值增速加快，养殖比重继续上升，种业建设成效显著，渔业综合实力迈上新台阶。海水养殖产值持续稳定增长，近五年年平均增长率为9.1%，保持在全国前三。</w:t>
      </w:r>
    </w:p>
    <w:p>
      <w:pPr>
        <w:spacing w:line="560" w:lineRule="atLeast"/>
        <w:ind w:firstLine="640"/>
        <w:rPr>
          <w:rFonts w:ascii="仿宋" w:hAnsi="仿宋" w:eastAsia="仿宋" w:cs="仿宋"/>
        </w:rPr>
      </w:pPr>
      <w:r>
        <w:rPr>
          <w:rFonts w:hint="eastAsia" w:ascii="仿宋" w:hAnsi="仿宋" w:eastAsia="仿宋" w:cs="仿宋"/>
        </w:rPr>
        <w:t>汕尾近五年海水养殖产值稳步增长，产量产值始终保持全省前列。其中2019年海水养殖产值为56.5亿元，位居省内第三；海水养殖产量为33.8万吨，位居省内第四；海水养殖面积为1.36万公顷，位居省内第五。纵观汕尾在省内的渔业发展情况，汕尾要发展海洋养殖业，应逐步拓宽海洋养殖空间体量与高效利用，提供多维度空间支撑。</w:t>
      </w:r>
    </w:p>
    <w:p>
      <w:pPr>
        <w:pStyle w:val="4"/>
        <w:spacing w:before="156" w:after="156" w:line="560" w:lineRule="atLeast"/>
        <w:ind w:firstLine="640" w:firstLineChars="200"/>
        <w:jc w:val="both"/>
        <w:rPr>
          <w:rFonts w:ascii="楷体" w:hAnsi="楷体" w:eastAsia="楷体" w:cs="楷体"/>
          <w:b w:val="0"/>
          <w:bCs w:val="0"/>
        </w:rPr>
      </w:pPr>
      <w:bookmarkStart w:id="14" w:name="_Toc15892"/>
      <w:r>
        <w:rPr>
          <w:rFonts w:hint="eastAsia" w:ascii="楷体" w:hAnsi="楷体" w:eastAsia="楷体" w:cs="楷体"/>
          <w:b w:val="0"/>
          <w:bCs w:val="0"/>
        </w:rPr>
        <w:t>（二）编制目的</w:t>
      </w:r>
      <w:bookmarkEnd w:id="14"/>
    </w:p>
    <w:p>
      <w:pPr>
        <w:spacing w:line="560" w:lineRule="atLeast"/>
        <w:ind w:firstLine="640"/>
        <w:rPr>
          <w:rFonts w:ascii="仿宋" w:hAnsi="仿宋" w:eastAsia="仿宋" w:cs="仿宋"/>
        </w:rPr>
      </w:pPr>
      <w:r>
        <w:rPr>
          <w:rFonts w:hint="eastAsia" w:ascii="仿宋" w:hAnsi="仿宋" w:eastAsia="仿宋" w:cs="仿宋"/>
        </w:rPr>
        <w:t>通过编制《汕尾市海洋养殖发展规划》，衔接《广东省国土空间规划（征求意见稿）》《广东省海洋生态红线》《汕尾市国民经济和社会发展第十四个五年规划和2035年远景目标纲要》《汕尾市养殖水域滩涂规划》《汕尾市国土空间规划（征求意见稿）》等上位规划部署。统筹梳理汕尾海洋渔业生产、渔业生活、渔业生态三生空间利用，以及渔业一产、二产、三产、四产融合发展，引导汕尾海洋渔业产业发展和生态空间复合化承载利用，协调衔接蓝色国土空间划定产业发展承载空间区域，拓展多维度多元化“三生空间”，构筑多链条多功能多产业融合发展与蓝色空间发展新格局，加快推动海洋渔业绿色创新与高质量发展。</w:t>
      </w:r>
    </w:p>
    <w:p>
      <w:pPr>
        <w:pStyle w:val="4"/>
        <w:spacing w:before="156" w:after="156" w:line="560" w:lineRule="atLeast"/>
        <w:ind w:firstLine="640" w:firstLineChars="200"/>
        <w:jc w:val="both"/>
        <w:rPr>
          <w:rFonts w:ascii="楷体" w:hAnsi="楷体" w:eastAsia="楷体" w:cs="楷体"/>
          <w:b w:val="0"/>
          <w:bCs w:val="0"/>
        </w:rPr>
      </w:pPr>
      <w:bookmarkStart w:id="15" w:name="_Toc2293"/>
      <w:r>
        <w:rPr>
          <w:rFonts w:hint="eastAsia" w:ascii="楷体" w:hAnsi="楷体" w:eastAsia="楷体" w:cs="楷体"/>
          <w:b w:val="0"/>
          <w:bCs w:val="0"/>
        </w:rPr>
        <w:t>（三）规划范围</w:t>
      </w:r>
      <w:bookmarkEnd w:id="15"/>
    </w:p>
    <w:p>
      <w:pPr>
        <w:spacing w:line="560" w:lineRule="atLeast"/>
        <w:ind w:firstLine="640"/>
        <w:rPr>
          <w:rFonts w:ascii="仿宋" w:hAnsi="仿宋" w:eastAsia="仿宋" w:cs="仿宋"/>
        </w:rPr>
      </w:pPr>
      <w:r>
        <w:rPr>
          <w:rFonts w:hint="eastAsia" w:ascii="仿宋" w:hAnsi="仿宋" w:eastAsia="仿宋" w:cs="仿宋"/>
        </w:rPr>
        <w:t>《汕尾市海洋养殖发展规划》以汕尾市国土空间规划、养殖水域滩涂规划所划定海域面积6426平方公里作为核心发展区，东至甲子镇，西至乌山，北边界为现状海岸线，南至领海线（东沙群岛属于汕尾市城区，包含在规划范围之内）。</w:t>
      </w:r>
    </w:p>
    <w:p>
      <w:pPr>
        <w:spacing w:line="560" w:lineRule="atLeast"/>
        <w:ind w:firstLine="640"/>
        <w:rPr>
          <w:rFonts w:ascii="仿宋" w:hAnsi="仿宋" w:eastAsia="仿宋" w:cs="仿宋"/>
        </w:rPr>
      </w:pPr>
      <w:r>
        <w:rPr>
          <w:rFonts w:hint="eastAsia" w:ascii="仿宋" w:hAnsi="仿宋" w:eastAsia="仿宋" w:cs="仿宋"/>
        </w:rPr>
        <w:t>汕尾市水域辽阔，管辖海域面积约2.39万平方公里，海岸线长约455.2千米，区域内拥有12个渔港，主要海产品种有200多种，水产资源丰富，海产品类繁多，海洋渔业特色与品质优势显著。</w:t>
      </w:r>
    </w:p>
    <w:p>
      <w:pPr>
        <w:spacing w:line="560" w:lineRule="atLeast"/>
        <w:ind w:firstLine="0" w:firstLineChars="0"/>
      </w:pPr>
      <w:r>
        <w:drawing>
          <wp:inline distT="0" distB="0" distL="114300" distR="114300">
            <wp:extent cx="5673090" cy="6010910"/>
            <wp:effectExtent l="0" t="0" r="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673090" cy="6010910"/>
                    </a:xfrm>
                    <a:prstGeom prst="rect">
                      <a:avLst/>
                    </a:prstGeom>
                  </pic:spPr>
                </pic:pic>
              </a:graphicData>
            </a:graphic>
          </wp:inline>
        </w:drawing>
      </w:r>
    </w:p>
    <w:p>
      <w:pPr>
        <w:pStyle w:val="7"/>
        <w:autoSpaceDE w:val="0"/>
        <w:autoSpaceDN w:val="0"/>
        <w:spacing w:line="560" w:lineRule="atLeast"/>
        <w:ind w:firstLine="0" w:firstLineChars="0"/>
        <w:jc w:val="center"/>
        <w:rPr>
          <w:rFonts w:ascii="黑体" w:hAnsi="黑体" w:cs="黑体"/>
          <w:kern w:val="0"/>
          <w:sz w:val="28"/>
          <w:szCs w:val="28"/>
          <w:lang w:bidi="zh-CN"/>
        </w:rPr>
      </w:pPr>
      <w:r>
        <w:rPr>
          <w:rFonts w:hint="eastAsia" w:ascii="黑体" w:hAnsi="黑体" w:cs="黑体"/>
          <w:kern w:val="0"/>
          <w:sz w:val="28"/>
          <w:szCs w:val="28"/>
          <w:lang w:bidi="zh-CN"/>
        </w:rPr>
        <w:t>图1-1 汕尾市海洋养殖规划范围图</w:t>
      </w:r>
    </w:p>
    <w:p>
      <w:pPr>
        <w:pStyle w:val="4"/>
        <w:spacing w:before="156" w:after="156" w:line="560" w:lineRule="atLeast"/>
        <w:ind w:firstLine="640" w:firstLineChars="200"/>
        <w:jc w:val="both"/>
        <w:rPr>
          <w:rFonts w:ascii="楷体" w:hAnsi="楷体" w:eastAsia="楷体" w:cs="楷体"/>
          <w:b w:val="0"/>
          <w:bCs w:val="0"/>
        </w:rPr>
      </w:pPr>
      <w:bookmarkStart w:id="16" w:name="_Toc17254"/>
    </w:p>
    <w:p>
      <w:pPr>
        <w:pStyle w:val="4"/>
        <w:spacing w:before="156" w:after="156" w:line="560" w:lineRule="atLeast"/>
        <w:ind w:firstLine="640" w:firstLineChars="200"/>
        <w:jc w:val="both"/>
        <w:rPr>
          <w:rFonts w:ascii="楷体" w:hAnsi="楷体" w:eastAsia="楷体" w:cs="楷体"/>
          <w:b w:val="0"/>
          <w:bCs w:val="0"/>
        </w:rPr>
      </w:pPr>
      <w:r>
        <w:rPr>
          <w:rFonts w:hint="eastAsia" w:ascii="楷体" w:hAnsi="楷体" w:eastAsia="楷体" w:cs="楷体"/>
          <w:b w:val="0"/>
          <w:bCs w:val="0"/>
        </w:rPr>
        <w:t>（四）规划依据</w:t>
      </w:r>
      <w:bookmarkEnd w:id="16"/>
    </w:p>
    <w:p>
      <w:pPr>
        <w:spacing w:line="560" w:lineRule="atLeast"/>
        <w:ind w:firstLine="640"/>
        <w:rPr>
          <w:rFonts w:ascii="仿宋" w:hAnsi="仿宋" w:eastAsia="仿宋" w:cs="仿宋"/>
          <w:color w:val="000000"/>
          <w:szCs w:val="32"/>
        </w:rPr>
      </w:pPr>
      <w:r>
        <w:rPr>
          <w:rFonts w:hint="eastAsia" w:ascii="仿宋" w:hAnsi="仿宋" w:eastAsia="仿宋" w:cs="仿宋"/>
          <w:color w:val="000000"/>
          <w:szCs w:val="32"/>
        </w:rPr>
        <w:t>规划依据《中华人民共和国渔业法》《中华人民共和国海域使用管理法》《中华人民共和国海洋环境保护法》等相关法律法规，以及《广东省国土空间规划（征求意见稿）》《广东省海洋生态红线》《广东省海洋生态红线》《广东省推进农业农村现代化“十四五”规划》《广东省沿海经济带综合发展规划（2017-2030年）》《广东省海岸带综合保护与利用总体规划（2017-2025年）》</w:t>
      </w:r>
    </w:p>
    <w:p>
      <w:pPr>
        <w:spacing w:line="560" w:lineRule="atLeast"/>
        <w:ind w:firstLine="0" w:firstLineChars="0"/>
        <w:rPr>
          <w:rFonts w:ascii="仿宋" w:hAnsi="仿宋" w:eastAsia="仿宋" w:cs="仿宋"/>
        </w:rPr>
      </w:pPr>
      <w:r>
        <w:rPr>
          <w:rFonts w:hint="eastAsia" w:ascii="仿宋" w:hAnsi="仿宋" w:eastAsia="仿宋" w:cs="仿宋"/>
          <w:color w:val="000000"/>
          <w:szCs w:val="32"/>
        </w:rPr>
        <w:t>《汕尾市养殖水域滩涂规划（2018-2030年）》等上位规划制定。</w:t>
      </w:r>
    </w:p>
    <w:p>
      <w:pPr>
        <w:pStyle w:val="4"/>
        <w:spacing w:before="156" w:after="156" w:line="560" w:lineRule="atLeast"/>
        <w:ind w:firstLine="640" w:firstLineChars="200"/>
        <w:jc w:val="both"/>
        <w:rPr>
          <w:rFonts w:ascii="楷体" w:hAnsi="楷体" w:eastAsia="楷体" w:cs="楷体"/>
          <w:b w:val="0"/>
          <w:bCs w:val="0"/>
        </w:rPr>
      </w:pPr>
      <w:bookmarkStart w:id="17" w:name="_Toc18885"/>
      <w:r>
        <w:rPr>
          <w:rFonts w:hint="eastAsia" w:ascii="楷体" w:hAnsi="楷体" w:eastAsia="楷体" w:cs="楷体"/>
          <w:b w:val="0"/>
          <w:bCs w:val="0"/>
        </w:rPr>
        <w:t>（五）规划期限</w:t>
      </w:r>
      <w:bookmarkEnd w:id="17"/>
    </w:p>
    <w:p>
      <w:pPr>
        <w:spacing w:line="560" w:lineRule="atLeast"/>
        <w:ind w:firstLine="640"/>
        <w:rPr>
          <w:rFonts w:ascii="仿宋" w:hAnsi="仿宋" w:eastAsia="仿宋" w:cs="仿宋"/>
        </w:rPr>
      </w:pPr>
      <w:r>
        <w:rPr>
          <w:rFonts w:hint="eastAsia" w:ascii="仿宋" w:hAnsi="仿宋" w:eastAsia="仿宋" w:cs="仿宋"/>
        </w:rPr>
        <w:t>本规划规划期限为2021-2030年，其中：</w:t>
      </w:r>
    </w:p>
    <w:p>
      <w:pPr>
        <w:spacing w:line="560" w:lineRule="atLeast"/>
        <w:ind w:firstLine="640"/>
        <w:rPr>
          <w:rFonts w:ascii="仿宋" w:hAnsi="仿宋" w:eastAsia="仿宋" w:cs="仿宋"/>
        </w:rPr>
      </w:pPr>
      <w:r>
        <w:rPr>
          <w:rFonts w:hint="eastAsia" w:ascii="仿宋" w:hAnsi="仿宋" w:eastAsia="仿宋" w:cs="仿宋"/>
        </w:rPr>
        <w:t>近期：2021-2025年；</w:t>
      </w:r>
    </w:p>
    <w:p>
      <w:pPr>
        <w:spacing w:line="560" w:lineRule="atLeast"/>
        <w:ind w:firstLine="640"/>
        <w:rPr>
          <w:rFonts w:ascii="仿宋" w:hAnsi="仿宋" w:eastAsia="仿宋" w:cs="仿宋"/>
        </w:rPr>
      </w:pPr>
      <w:r>
        <w:rPr>
          <w:rFonts w:hint="eastAsia" w:ascii="仿宋" w:hAnsi="仿宋" w:eastAsia="仿宋" w:cs="仿宋"/>
        </w:rPr>
        <w:t>中远期：2026-2030年。</w:t>
      </w:r>
    </w:p>
    <w:p>
      <w:pPr>
        <w:spacing w:line="560" w:lineRule="atLeast"/>
        <w:ind w:firstLine="640"/>
      </w:pPr>
      <w:r>
        <w:rPr>
          <w:rFonts w:hint="eastAsia"/>
        </w:rPr>
        <w:br w:type="page"/>
      </w:r>
    </w:p>
    <w:p>
      <w:pPr>
        <w:pStyle w:val="3"/>
        <w:spacing w:before="156" w:after="156" w:line="560" w:lineRule="atLeast"/>
        <w:ind w:firstLine="640" w:firstLineChars="200"/>
        <w:jc w:val="both"/>
        <w:rPr>
          <w:b w:val="0"/>
          <w:bCs w:val="0"/>
        </w:rPr>
      </w:pPr>
      <w:bookmarkStart w:id="18" w:name="_Toc16581"/>
      <w:r>
        <w:rPr>
          <w:rFonts w:hint="eastAsia"/>
          <w:b w:val="0"/>
          <w:bCs w:val="0"/>
        </w:rPr>
        <w:t>二、发展基础</w:t>
      </w:r>
      <w:bookmarkEnd w:id="18"/>
    </w:p>
    <w:p>
      <w:pPr>
        <w:pStyle w:val="3"/>
        <w:spacing w:before="156" w:after="156" w:line="560" w:lineRule="atLeast"/>
        <w:ind w:firstLine="640" w:firstLineChars="200"/>
        <w:jc w:val="both"/>
        <w:rPr>
          <w:rFonts w:ascii="楷体" w:hAnsi="楷体" w:eastAsia="楷体" w:cs="楷体"/>
          <w:b w:val="0"/>
          <w:bCs w:val="0"/>
        </w:rPr>
      </w:pPr>
      <w:bookmarkStart w:id="19" w:name="_Toc31709"/>
      <w:r>
        <w:rPr>
          <w:rFonts w:hint="eastAsia" w:ascii="楷体" w:hAnsi="楷体" w:eastAsia="楷体" w:cs="楷体"/>
          <w:b w:val="0"/>
          <w:bCs w:val="0"/>
        </w:rPr>
        <w:t>（一）发展概况</w:t>
      </w:r>
      <w:bookmarkEnd w:id="19"/>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1.汕尾市经济区位条件优越，未来渔业发展前景良好</w:t>
      </w:r>
    </w:p>
    <w:p>
      <w:pPr>
        <w:pStyle w:val="5"/>
        <w:spacing w:line="560" w:lineRule="atLeast"/>
        <w:ind w:firstLine="640"/>
        <w:rPr>
          <w:b w:val="0"/>
          <w:bCs w:val="0"/>
        </w:rPr>
      </w:pPr>
      <w:r>
        <w:rPr>
          <w:rFonts w:hint="eastAsia" w:ascii="仿宋" w:hAnsi="仿宋" w:eastAsia="仿宋" w:cs="仿宋"/>
          <w:b w:val="0"/>
          <w:bCs w:val="0"/>
        </w:rPr>
        <w:t>地理区位条件优越，水陆交通方便，广汕公路横贯境内，海运四通八达，往返快捷，汕尾港距香港仅81公里，往广州、汕头、厦门港也十分方便，是粤西与粤东、香港与内地之间经济联系的重要纽带，也是常年广东渔业产供销的粤东地区集散地。深汕合作“北有雄安，南有汕尾”的发展区位，为水产养殖产品运输流通提供良好的交通保障，也为汕尾海洋与渔业发展创造了有利的环境和条件。</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2.海洋养殖发展稳步提升，已成功打造贝类优品地标</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汕尾市海洋养殖规模庞大，近五年海水养殖产值保持稳步增长，其中2019年海水养殖产值为56.5亿元，同比增长8.3％，是近5年增长最快的一年。海水养殖产量稳步增长，2019年海水养殖产量达到33.8万吨，同比增长7.9％。汕尾鱼、虾、蟹、贝、藻类齐全，各品类产量常年位于全省前列，并成功打造红草晨洲蚝、高螺牡蛎等贝类地标性特色品牌。</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3.海洋渔业发展基础优厚，海洋渔业发展态势良好</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汕尾现有渔港12座，渔港建设规模和体量分布适宜、渔港功能齐全、岸上生产和生活配套设备完善，基本满足市内渔业生产和发展所需，为发展海洋渔业生产与活动提供有力保障。渔港陆岸渔业活动功能服务设施较为完备，现有获资质认证的渔业修造船厂4家，加工、冷藏制冰厂共9座。海域地势平坦开阔、地层简单，为养殖提供良好的栖息环境；且常年近岸海域水质条件为一类、二类水质，为汕尾市海洋养殖发展、海鲜风味鲜甜奠定了坚实的海洋生态环境基础。</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4.水产品市场需求大，养殖产品与市场吻合度高</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国内海鲜市场供需缺口逐渐增大，海鲜水产行业发展前景良好。近五年全省水产品总产量从873.8万吨上升至885.9万吨，广东每年水产品消费量超过700万吨，是我国顶级的水产品生产基地和集约化出口商品基地之一，是全球最重要的水产品加工贸易的集散地之一。根据广东省2019年广东省海水渔情监测销售数量和销售额情况，销售量最多、市场需求量最大的品种有扇贝、牡蛎、卵形鲳鲹、海水鲈鱼等，销售额较高的品种有石斑鱼、南美白对虾、青蟹、卵形鲳鲹等品种，汕尾主要养殖海产品吻合市场需求。</w:t>
      </w:r>
    </w:p>
    <w:p>
      <w:pPr>
        <w:pStyle w:val="4"/>
        <w:spacing w:before="156" w:after="156" w:line="560" w:lineRule="atLeast"/>
        <w:ind w:firstLine="640" w:firstLineChars="200"/>
        <w:jc w:val="both"/>
        <w:rPr>
          <w:b w:val="0"/>
          <w:bCs w:val="0"/>
        </w:rPr>
      </w:pPr>
      <w:bookmarkStart w:id="20" w:name="_Toc28409"/>
      <w:r>
        <w:rPr>
          <w:rFonts w:hint="eastAsia" w:ascii="楷体" w:hAnsi="楷体" w:eastAsia="楷体" w:cs="楷体"/>
          <w:b w:val="0"/>
          <w:bCs w:val="0"/>
        </w:rPr>
        <w:t>（二）存在问题</w:t>
      </w:r>
      <w:bookmarkEnd w:id="20"/>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1.海洋养殖集约化程度低，环境污染等问题滞碍渔业发展</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汕尾部分养殖海域现状以粗放型和密集型的传统渔业养殖为主，对渔业用海生态资源、空间资源集约利用程度较低，同时受到碣石湾水域及甲子角附近海区等部分介于海口、内河口处的陆源排污，以及养殖活动过度密集和无序开发渔业活动等影响，对海域水环境造成严重危害，降低了渔业用海水体的多重生态和经济功能，也损害了渔业自身，滞碍了渔业生态经济的协调可持续发展。</w:t>
      </w:r>
    </w:p>
    <w:p>
      <w:pPr>
        <w:ind w:firstLine="640"/>
      </w:pP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2.海洋开发未全面协调，社会与经济发展矛盾有待改善</w:t>
      </w:r>
    </w:p>
    <w:p>
      <w:pPr>
        <w:pStyle w:val="5"/>
        <w:spacing w:line="560" w:lineRule="atLeast"/>
        <w:ind w:firstLine="640"/>
        <w:rPr>
          <w:b w:val="0"/>
          <w:bCs w:val="0"/>
        </w:rPr>
      </w:pPr>
      <w:r>
        <w:rPr>
          <w:rFonts w:hint="eastAsia" w:ascii="仿宋" w:hAnsi="仿宋" w:eastAsia="仿宋" w:cs="仿宋"/>
          <w:b w:val="0"/>
          <w:bCs w:val="0"/>
        </w:rPr>
        <w:t>随着现代渔业加快推进，渔业基本经营制度不完善、渔业用海确权不清晰、渔业组织化程度低等问题日渐凸显，部分民生渔业用海问题未能得到全面改善，养殖方式等不够规范，加剧了养殖海域的海洋生态环境问题，影响渔业养殖经济可持续发展。同时渔户在养殖用海中存在“无度、无序、无偿”等现象，对渔业生态基底环境造成一定破坏，继而影响到渔区和谐稳定以及渔业经济可持续发展。</w:t>
      </w:r>
    </w:p>
    <w:p>
      <w:pPr>
        <w:pStyle w:val="5"/>
        <w:spacing w:line="560" w:lineRule="atLeast"/>
        <w:ind w:firstLine="640"/>
        <w:rPr>
          <w:rFonts w:ascii="仿宋" w:hAnsi="仿宋" w:eastAsia="仿宋" w:cs="仿宋"/>
          <w:b w:val="0"/>
          <w:bCs w:val="0"/>
        </w:rPr>
      </w:pPr>
      <w:r>
        <w:rPr>
          <w:rFonts w:hint="eastAsia" w:ascii="仿宋" w:hAnsi="仿宋" w:eastAsia="仿宋"/>
          <w:b w:val="0"/>
          <w:bCs w:val="0"/>
        </w:rPr>
        <w:t>3</w:t>
      </w:r>
      <w:r>
        <w:rPr>
          <w:rFonts w:hint="eastAsia" w:ascii="仿宋" w:hAnsi="仿宋" w:eastAsia="仿宋" w:cs="仿宋"/>
          <w:b w:val="0"/>
          <w:bCs w:val="0"/>
        </w:rPr>
        <w:t>.海洋养殖方式与发展模式较滞后，产业结构有待优化</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现状养殖仍以传统塘基、网箱养殖等传统养殖方式为主，现代渔业养殖方式规模较小，不足以匹配未来渔业养殖、加工等发展方向的需求，滞碍现代海洋渔业发展。海水经营发展以传统经营模式为主，小企业、个体户居多，技术、养殖面积等零丁散乱，影响新型渔业发展模式转型。海洋渔业现状产业结构主要以初加工、运输、售卖鲜活海水鱼品居多，精深加工企业和冷链物流企业较少，产业链结构处于初级层次，不利于产业的高质量发展。</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4.海洋养殖防灾减灾能力薄弱，渔业安全生产风险较高</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广东省历来是全国受台风影响最严重的地区之一，年均登陆台风3.7个，居全国之首，最多年份高达7个。近年来，汕尾市每次遭遇台风侵袭所造成的经济损失都较大。而汕尾市现状海洋养殖以传统养殖方式和养殖技术为主，水面养殖平台材料抗风性较弱、污染较为突出，且养殖相关的灾害防范和应急系统不完备，面对海洋环境常年影响较大的灾害性天气防御和抵抗能力不足，渔业养殖生产的安全风险较高。</w:t>
      </w:r>
    </w:p>
    <w:p>
      <w:pPr>
        <w:pStyle w:val="3"/>
        <w:spacing w:before="156" w:after="156" w:line="560" w:lineRule="atLeast"/>
        <w:jc w:val="both"/>
        <w:rPr>
          <w:b w:val="0"/>
          <w:bCs w:val="0"/>
        </w:rPr>
      </w:pPr>
      <w:bookmarkStart w:id="21" w:name="_Toc23146"/>
      <w:r>
        <w:rPr>
          <w:rFonts w:hint="eastAsia"/>
        </w:rPr>
        <w:br w:type="column"/>
      </w:r>
      <w:bookmarkEnd w:id="1"/>
      <w:bookmarkEnd w:id="2"/>
      <w:bookmarkEnd w:id="3"/>
      <w:bookmarkEnd w:id="4"/>
      <w:bookmarkEnd w:id="5"/>
      <w:bookmarkEnd w:id="6"/>
      <w:bookmarkEnd w:id="7"/>
      <w:bookmarkEnd w:id="8"/>
      <w:bookmarkEnd w:id="9"/>
      <w:bookmarkEnd w:id="10"/>
      <w:bookmarkEnd w:id="11"/>
      <w:bookmarkStart w:id="22" w:name="_Toc1021"/>
      <w:bookmarkStart w:id="23" w:name="_Toc22487"/>
      <w:bookmarkStart w:id="24" w:name="_Toc28438"/>
      <w:bookmarkStart w:id="25" w:name="_Toc23845"/>
      <w:bookmarkStart w:id="26" w:name="_Toc11652"/>
      <w:bookmarkStart w:id="27" w:name="_Toc51149495"/>
      <w:bookmarkStart w:id="28" w:name="_Toc20743"/>
      <w:bookmarkStart w:id="29" w:name="_Toc10954"/>
      <w:bookmarkStart w:id="30" w:name="_Toc16457"/>
      <w:bookmarkStart w:id="31" w:name="_Toc21337"/>
      <w:bookmarkStart w:id="32" w:name="_Toc11794"/>
      <w:r>
        <w:rPr>
          <w:rFonts w:hint="eastAsia"/>
        </w:rPr>
        <w:t xml:space="preserve">    </w:t>
      </w:r>
      <w:r>
        <w:rPr>
          <w:rFonts w:hint="eastAsia"/>
          <w:b w:val="0"/>
          <w:bCs w:val="0"/>
        </w:rPr>
        <w:t>三、</w:t>
      </w:r>
      <w:bookmarkEnd w:id="22"/>
      <w:bookmarkEnd w:id="23"/>
      <w:bookmarkEnd w:id="24"/>
      <w:bookmarkEnd w:id="25"/>
      <w:bookmarkEnd w:id="26"/>
      <w:bookmarkEnd w:id="27"/>
      <w:bookmarkEnd w:id="28"/>
      <w:bookmarkEnd w:id="29"/>
      <w:bookmarkEnd w:id="30"/>
      <w:bookmarkEnd w:id="31"/>
      <w:bookmarkEnd w:id="32"/>
      <w:r>
        <w:rPr>
          <w:rFonts w:hint="eastAsia"/>
          <w:b w:val="0"/>
          <w:bCs w:val="0"/>
        </w:rPr>
        <w:t>总体要求</w:t>
      </w:r>
      <w:bookmarkEnd w:id="21"/>
    </w:p>
    <w:p>
      <w:pPr>
        <w:pStyle w:val="4"/>
        <w:spacing w:before="156" w:after="156" w:line="560" w:lineRule="atLeast"/>
        <w:ind w:firstLine="640" w:firstLineChars="200"/>
        <w:jc w:val="both"/>
        <w:rPr>
          <w:rFonts w:ascii="楷体" w:hAnsi="楷体" w:eastAsia="楷体" w:cs="楷体"/>
          <w:b w:val="0"/>
          <w:bCs w:val="0"/>
        </w:rPr>
      </w:pPr>
      <w:bookmarkStart w:id="33" w:name="_Toc51149496"/>
      <w:bookmarkStart w:id="34" w:name="_Toc13279"/>
      <w:bookmarkStart w:id="35" w:name="_Toc24502"/>
      <w:bookmarkStart w:id="36" w:name="_Toc13590"/>
      <w:bookmarkStart w:id="37" w:name="_Toc29689"/>
      <w:bookmarkStart w:id="38" w:name="_Toc25649"/>
      <w:bookmarkStart w:id="39" w:name="_Toc15408"/>
      <w:bookmarkStart w:id="40" w:name="_Toc17632"/>
      <w:bookmarkStart w:id="41" w:name="_Toc4436"/>
      <w:bookmarkStart w:id="42" w:name="_Toc16817"/>
      <w:bookmarkStart w:id="43" w:name="_Toc15684"/>
      <w:bookmarkStart w:id="44" w:name="_Toc11443"/>
      <w:r>
        <w:rPr>
          <w:rFonts w:hint="eastAsia" w:ascii="楷体" w:hAnsi="楷体" w:eastAsia="楷体" w:cs="楷体"/>
          <w:b w:val="0"/>
          <w:bCs w:val="0"/>
        </w:rPr>
        <w:t>（一）指导思想</w:t>
      </w:r>
      <w:bookmarkEnd w:id="33"/>
      <w:bookmarkEnd w:id="34"/>
      <w:bookmarkEnd w:id="35"/>
      <w:bookmarkEnd w:id="36"/>
      <w:bookmarkEnd w:id="37"/>
      <w:bookmarkEnd w:id="38"/>
      <w:bookmarkEnd w:id="39"/>
      <w:bookmarkEnd w:id="40"/>
      <w:bookmarkEnd w:id="41"/>
      <w:bookmarkEnd w:id="42"/>
      <w:bookmarkEnd w:id="43"/>
      <w:bookmarkEnd w:id="44"/>
    </w:p>
    <w:p>
      <w:pPr>
        <w:spacing w:line="560" w:lineRule="atLeast"/>
        <w:ind w:firstLine="640"/>
        <w:rPr>
          <w:rFonts w:ascii="仿宋" w:hAnsi="仿宋" w:eastAsia="仿宋" w:cs="仿宋"/>
        </w:rPr>
      </w:pPr>
      <w:r>
        <w:rPr>
          <w:rFonts w:hint="eastAsia" w:ascii="仿宋" w:hAnsi="仿宋" w:eastAsia="仿宋" w:cs="仿宋"/>
        </w:rPr>
        <w:t>以习近平新时代中国特色社会主义思想为指导，深入贯彻落实党的十九大和十九届三中、四中、五中、六中全会精神，以及统筹推进“五位一体”总体布局，协调推进“四个全面”战略布局，贯彻落实省委“1+1+9”工作部署、“双区建设”“乡村振兴”战略，紧抓汕尾经济发展“融湾入带”“飞地经济”和打造海洋经济振兴发展示范市等契机，以“绿色兴渔、创新强渔、协调惠渔、共享富渔、开放助渔”渔业发展理念为引领，以国内大循环为主体、国内国际双循环相互促进、渔业供给侧结构性改革为主线，以创新驱动引领海洋渔业现代化高质量发展为主要任务，以绿色发展、渔民增收、渔业增值、技术先进、乡村振兴为目标，不断创新发展机制，培育发展新动能，提高发展质量与绿色创新水平，加快推进海洋渔业转型升级，引导海洋养殖空间科学集约化利用、海洋渔业用海方式复合化利用、海洋生态产品价值创新转化，海洋渔业全产业链融合发展，构建具有汕尾市特色优势的现代化海洋渔业发展新格局，全面推动建成渔业经济强市，助力打造海洋经济强市。</w:t>
      </w:r>
    </w:p>
    <w:p>
      <w:pPr>
        <w:pStyle w:val="4"/>
        <w:spacing w:before="156" w:after="156" w:line="560" w:lineRule="atLeast"/>
        <w:ind w:firstLine="640" w:firstLineChars="200"/>
        <w:jc w:val="both"/>
        <w:rPr>
          <w:rFonts w:ascii="楷体" w:hAnsi="楷体" w:eastAsia="楷体" w:cs="楷体"/>
          <w:b w:val="0"/>
          <w:bCs w:val="0"/>
        </w:rPr>
      </w:pPr>
      <w:bookmarkStart w:id="45" w:name="_Toc27359"/>
      <w:bookmarkStart w:id="46" w:name="_Toc9301"/>
      <w:bookmarkStart w:id="47" w:name="_Toc10123"/>
      <w:bookmarkStart w:id="48" w:name="_Toc16712"/>
      <w:bookmarkStart w:id="49" w:name="_Toc31262"/>
      <w:bookmarkStart w:id="50" w:name="_Toc1373"/>
      <w:bookmarkStart w:id="51" w:name="_Toc6420"/>
      <w:bookmarkStart w:id="52" w:name="_Toc25339"/>
      <w:bookmarkStart w:id="53" w:name="_Toc22501"/>
      <w:bookmarkStart w:id="54" w:name="_Toc51149497"/>
      <w:bookmarkStart w:id="55" w:name="_Toc23094"/>
      <w:bookmarkStart w:id="56" w:name="_Toc21784"/>
      <w:r>
        <w:rPr>
          <w:rFonts w:hint="eastAsia" w:ascii="楷体" w:hAnsi="楷体" w:eastAsia="楷体" w:cs="楷体"/>
          <w:b w:val="0"/>
          <w:bCs w:val="0"/>
        </w:rPr>
        <w:t>（二）基本原则</w:t>
      </w:r>
      <w:bookmarkEnd w:id="45"/>
      <w:bookmarkEnd w:id="46"/>
      <w:bookmarkEnd w:id="47"/>
      <w:bookmarkEnd w:id="48"/>
      <w:bookmarkEnd w:id="49"/>
      <w:bookmarkEnd w:id="50"/>
      <w:bookmarkEnd w:id="51"/>
      <w:bookmarkEnd w:id="52"/>
      <w:bookmarkEnd w:id="53"/>
      <w:bookmarkEnd w:id="54"/>
      <w:bookmarkEnd w:id="55"/>
      <w:bookmarkEnd w:id="56"/>
    </w:p>
    <w:p>
      <w:pPr>
        <w:spacing w:line="560" w:lineRule="atLeast"/>
        <w:ind w:firstLine="640"/>
        <w:rPr>
          <w:rFonts w:ascii="仿宋" w:hAnsi="仿宋" w:eastAsia="仿宋" w:cs="仿宋"/>
        </w:rPr>
      </w:pPr>
      <w:r>
        <w:rPr>
          <w:rFonts w:hint="eastAsia" w:ascii="仿宋" w:hAnsi="仿宋" w:eastAsia="仿宋" w:cs="仿宋"/>
        </w:rPr>
        <w:t>生态优先，协调发展。渔业发展与渔业用海坚持以海洋生物栖息地修复、生态环境保护和渔业资源养护优先，注重产卵场、索饵场、越冬场、洄游通道等重要渔业水域保护修复，加强环保新材料、生态新材料和实用新技术开发推广，统筹协调人工鱼礁、海洋牧场、深水网箱等事业与产业开发建设，确保海洋生态保护、渔业资源养护、休闲渔业开发、渔业产业与关联产业融合开发等协调发展。</w:t>
      </w:r>
    </w:p>
    <w:p>
      <w:pPr>
        <w:spacing w:line="560" w:lineRule="atLeast"/>
        <w:ind w:firstLine="640"/>
        <w:rPr>
          <w:rFonts w:ascii="仿宋" w:hAnsi="仿宋" w:eastAsia="仿宋" w:cs="仿宋"/>
        </w:rPr>
      </w:pPr>
      <w:r>
        <w:rPr>
          <w:rFonts w:hint="eastAsia" w:ascii="仿宋" w:hAnsi="仿宋" w:eastAsia="仿宋" w:cs="仿宋"/>
        </w:rPr>
        <w:t>科学布局，集约利用。基于汕尾市养殖水域滩涂规划划定的禁止养殖区、限制养殖区与养殖区，结合广东国土空间规划、广东省海洋生态红线区控图、汕尾市岸线功能管控等限制要求，在10米等深线内的海域布局资源管护类、资源共享类用海，助力生态修复及渔民转产转业，在10米等深线至领海基线范围内集约布局经济渔业类海域，开展经济渔业养殖，突出汕尾特色，尽可能地减轻局部养殖压力，发挥海域最优最大效益。</w:t>
      </w:r>
    </w:p>
    <w:p>
      <w:pPr>
        <w:spacing w:line="560" w:lineRule="atLeast"/>
        <w:ind w:firstLine="640"/>
        <w:rPr>
          <w:rFonts w:ascii="仿宋" w:hAnsi="仿宋" w:eastAsia="仿宋" w:cs="仿宋"/>
        </w:rPr>
      </w:pPr>
      <w:r>
        <w:rPr>
          <w:rFonts w:hint="eastAsia" w:ascii="仿宋" w:hAnsi="仿宋" w:eastAsia="仿宋" w:cs="仿宋"/>
        </w:rPr>
        <w:t>政府引导，多方参与。坚持政府引导汕尾市渔业用海分区分类，引导渔民及相关企业采用分类对应的养殖方式，用好国家和地方支持海洋养殖和休闲渔业发展、环境保护、转产转业、扶贫开发等相关政策措施，调动涉渔企业、渔民组织和渔户的积极性，助力渔民转产转业，提升“三农”稳产保供增效。引导企业与相关利益者的规范养殖方式与生产行为，健全公共服务体系，提升海洋资源管护、海洋养殖发展和休闲渔业开发的整体素质和相关效益。</w:t>
      </w:r>
    </w:p>
    <w:p>
      <w:pPr>
        <w:spacing w:line="560" w:lineRule="atLeast"/>
        <w:ind w:firstLine="640"/>
        <w:rPr>
          <w:rFonts w:ascii="仿宋" w:hAnsi="仿宋" w:eastAsia="仿宋" w:cs="仿宋"/>
        </w:rPr>
      </w:pPr>
      <w:r>
        <w:rPr>
          <w:rFonts w:hint="eastAsia" w:ascii="仿宋" w:hAnsi="仿宋" w:eastAsia="仿宋" w:cs="仿宋"/>
        </w:rPr>
        <w:t>严格管控，强化支撑。严格按照广东国土空间规划、广东省海洋生态红线管控要求、汕尾市航道等上位规划要求和法律法规进行相关活动。坚持统一领导、分工负责，加强与相关部门协作，健全海洋养殖分区管护机制措施，协调资源环境保护、海洋养殖发展和休闲渔业有序开发。加强多渠道宣传，提高渔民、企业及相关利益方的海洋资源环境保护的意识、积极性和法制观念。着力集成海洋养殖优势科技力量、科技手段、科技资金和相关技术，加强海洋养殖关键技术联合攻关与产业应用，加强海洋养殖监测和效果评估，支撑海洋养殖可持续发展。</w:t>
      </w:r>
    </w:p>
    <w:p>
      <w:pPr>
        <w:pStyle w:val="4"/>
        <w:spacing w:before="156" w:after="156" w:line="560" w:lineRule="atLeast"/>
        <w:ind w:firstLine="640" w:firstLineChars="200"/>
        <w:jc w:val="both"/>
        <w:rPr>
          <w:rFonts w:ascii="楷体" w:hAnsi="楷体" w:eastAsia="楷体" w:cs="楷体"/>
          <w:b w:val="0"/>
          <w:bCs w:val="0"/>
        </w:rPr>
      </w:pPr>
      <w:bookmarkStart w:id="57" w:name="_Toc21837"/>
      <w:bookmarkStart w:id="58" w:name="_Toc25108"/>
      <w:bookmarkStart w:id="59" w:name="_Toc32214"/>
      <w:bookmarkStart w:id="60" w:name="_Toc21622"/>
      <w:bookmarkStart w:id="61" w:name="_Toc9225"/>
      <w:bookmarkStart w:id="62" w:name="_Toc15616"/>
      <w:bookmarkStart w:id="63" w:name="_Toc29119"/>
      <w:bookmarkStart w:id="64" w:name="_Toc5112"/>
      <w:bookmarkStart w:id="65" w:name="_Toc21753"/>
      <w:bookmarkStart w:id="66" w:name="_Toc5570"/>
      <w:bookmarkStart w:id="67" w:name="_Toc11010"/>
      <w:bookmarkStart w:id="68" w:name="_Toc51149501"/>
      <w:r>
        <w:rPr>
          <w:rFonts w:hint="eastAsia" w:ascii="楷体" w:hAnsi="楷体" w:eastAsia="楷体" w:cs="楷体"/>
          <w:b w:val="0"/>
          <w:bCs w:val="0"/>
        </w:rPr>
        <w:t>（三）发展目标</w:t>
      </w:r>
      <w:bookmarkEnd w:id="57"/>
      <w:bookmarkEnd w:id="58"/>
      <w:bookmarkEnd w:id="59"/>
      <w:bookmarkEnd w:id="60"/>
      <w:bookmarkEnd w:id="61"/>
      <w:bookmarkEnd w:id="62"/>
      <w:bookmarkEnd w:id="63"/>
      <w:bookmarkEnd w:id="64"/>
      <w:bookmarkEnd w:id="65"/>
      <w:bookmarkEnd w:id="66"/>
      <w:bookmarkEnd w:id="67"/>
      <w:bookmarkEnd w:id="68"/>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1.总体目标</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紧扣国家、省、市促进发展海洋经济推动建设海洋强国等战略部署和行动计划，立足于国际视野，以“国家农业绿色发展先行区”为目标，探索渔业发展的生态价值创制，推动产业融合发展与转型升级，先行先试推动高效化集约化立体化渔业用海，构建具有汕尾特色的现代化海洋渔业发展新格局，将汕尾建设成为海洋渔业强市，助力推动建设海洋经济示范市。在此基础上，开展海洋渔业全产业链条的技术提升和产品开发应用，拓展深远海养殖发展途径。重点培育深水网箱养殖产业集聚区，构建海水鱼类和对虾两条百亿级产业链，创造产业要素集聚、资源高度集约的产业生态。加强内循环与外循环融合，推动渔业融湾入带，以国家、省市鼓励发展的优势特色产业为主导发展方向，以国家、省市鼓励的食品战略性海水养殖品种为主体发展重点，努力把汕尾市培育成粤港澳大湾区“粤海粮仓”主阵地。</w:t>
      </w:r>
      <w:bookmarkStart w:id="69" w:name="_Toc51149505"/>
    </w:p>
    <w:p>
      <w:pPr>
        <w:spacing w:line="560" w:lineRule="atLeast"/>
        <w:ind w:firstLine="640"/>
      </w:pPr>
      <w:r>
        <w:rPr>
          <w:rFonts w:hint="eastAsia" w:ascii="仿宋" w:hAnsi="仿宋" w:eastAsia="仿宋" w:cs="仿宋"/>
        </w:rPr>
        <w:t>围绕总体目标，规划期内重点实现两个阶段性目标：</w:t>
      </w:r>
    </w:p>
    <w:p>
      <w:pPr>
        <w:spacing w:line="560" w:lineRule="atLeast"/>
        <w:ind w:firstLine="643"/>
        <w:rPr>
          <w:rFonts w:ascii="仿宋" w:hAnsi="仿宋" w:eastAsia="仿宋" w:cs="仿宋"/>
        </w:rPr>
      </w:pPr>
      <w:r>
        <w:rPr>
          <w:rFonts w:hint="eastAsia" w:ascii="仿宋" w:hAnsi="仿宋" w:eastAsia="仿宋" w:cs="仿宋"/>
          <w:b/>
          <w:bCs/>
        </w:rPr>
        <w:t>近期（2020-2025年）：</w:t>
      </w:r>
      <w:r>
        <w:rPr>
          <w:rFonts w:hint="eastAsia" w:ascii="仿宋" w:hAnsi="仿宋" w:eastAsia="仿宋" w:cs="仿宋"/>
        </w:rPr>
        <w:t>对标国际渔业先进发展水平，构建现代渔业全产业链体系，充分研判国家、省市水产品消费形态以及海洋渔业发展的趋势性变化，有效指导海洋渔业供给侧改革与产业结构调整。加强海洋渔业内生动能，提出适应新时期渔业发展的养殖方式与发展模式，优化布局海洋养殖区域，构建渔业用海分类利用体系，严格保护海洋渔业生态空间，有序拓展海洋渔业生产空间，积极培育休闲渔业发展空间，实现2025年全市海水养殖总产值突破100亿元以上，海产品二三产业比重达到55%以上，全力建设广东省海洋渔业强市。</w:t>
      </w:r>
    </w:p>
    <w:p>
      <w:pPr>
        <w:spacing w:line="560" w:lineRule="atLeast"/>
        <w:ind w:firstLine="643"/>
        <w:rPr>
          <w:rFonts w:ascii="仿宋" w:hAnsi="仿宋" w:eastAsia="仿宋" w:cs="仿宋"/>
        </w:rPr>
      </w:pPr>
      <w:r>
        <w:rPr>
          <w:rFonts w:hint="eastAsia" w:ascii="仿宋" w:hAnsi="仿宋" w:eastAsia="仿宋" w:cs="仿宋"/>
          <w:b/>
          <w:bCs/>
        </w:rPr>
        <w:t>中远期（2026-2030年）：</w:t>
      </w:r>
      <w:r>
        <w:rPr>
          <w:rFonts w:hint="eastAsia" w:ascii="仿宋" w:hAnsi="仿宋" w:eastAsia="仿宋" w:cs="仿宋"/>
        </w:rPr>
        <w:t>加快发展现代渔业与食品战略性支柱产业集群，重点培育深水网箱养殖产业集聚区，打造粤港澳大湾区“粤海粮仓”重要阵地，力争实现2030年全市海水养殖总产值向1</w:t>
      </w:r>
      <w:r>
        <w:rPr>
          <w:rFonts w:ascii="仿宋" w:hAnsi="仿宋" w:eastAsia="仿宋" w:cs="仿宋"/>
        </w:rPr>
        <w:t>50</w:t>
      </w:r>
      <w:r>
        <w:rPr>
          <w:rFonts w:hint="eastAsia" w:ascii="仿宋" w:hAnsi="仿宋" w:eastAsia="仿宋" w:cs="仿宋"/>
        </w:rPr>
        <w:t>亿元挺进，海产品二三产业比重达65%以上，海水鱼类、对虾产业链产值突破百亿级等目标。全面建设成为产业优势突出、要素高度聚集、设施装备先进、生产方式绿色、经济效益显著、辐射带动力强的国家农业绿色发展先行区。</w:t>
      </w:r>
    </w:p>
    <w:p>
      <w:pPr>
        <w:pStyle w:val="2"/>
        <w:rPr>
          <w:rFonts w:ascii="仿宋" w:hAnsi="仿宋" w:eastAsia="仿宋" w:cs="仿宋"/>
        </w:rPr>
      </w:pPr>
    </w:p>
    <w:p>
      <w:pPr>
        <w:ind w:firstLine="640"/>
        <w:rPr>
          <w:rFonts w:ascii="仿宋" w:hAnsi="仿宋" w:eastAsia="仿宋" w:cs="仿宋"/>
        </w:rPr>
      </w:pPr>
    </w:p>
    <w:p>
      <w:pPr>
        <w:pStyle w:val="2"/>
        <w:rPr>
          <w:rFonts w:ascii="仿宋" w:hAnsi="仿宋" w:eastAsia="仿宋" w:cs="仿宋"/>
        </w:rPr>
      </w:pPr>
    </w:p>
    <w:p>
      <w:pPr>
        <w:pStyle w:val="2"/>
      </w:pPr>
    </w:p>
    <w:p>
      <w:pPr>
        <w:pStyle w:val="5"/>
        <w:spacing w:line="560" w:lineRule="atLeast"/>
        <w:ind w:firstLine="643"/>
        <w:rPr>
          <w:rFonts w:ascii="仿宋" w:hAnsi="仿宋" w:eastAsia="仿宋" w:cs="仿宋"/>
        </w:rPr>
      </w:pP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2.目标指标</w:t>
      </w:r>
    </w:p>
    <w:p>
      <w:pPr>
        <w:spacing w:after="156" w:afterLines="50"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表3-1 汕尾市海洋渔业生产目标指标表</w:t>
      </w:r>
    </w:p>
    <w:tbl>
      <w:tblPr>
        <w:tblStyle w:val="14"/>
        <w:tblW w:w="4917" w:type="pct"/>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1083"/>
        <w:gridCol w:w="1149"/>
        <w:gridCol w:w="3366"/>
        <w:gridCol w:w="1334"/>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序号</w:t>
            </w:r>
          </w:p>
        </w:tc>
        <w:tc>
          <w:tcPr>
            <w:tcW w:w="616" w:type="pct"/>
            <w:shd w:val="clear" w:color="auto" w:fill="auto"/>
            <w:noWrap/>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目标</w:t>
            </w:r>
          </w:p>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类型</w:t>
            </w:r>
          </w:p>
        </w:tc>
        <w:tc>
          <w:tcPr>
            <w:tcW w:w="2566" w:type="pct"/>
            <w:gridSpan w:val="2"/>
            <w:shd w:val="clear" w:color="auto" w:fill="auto"/>
            <w:noWrap/>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指标</w:t>
            </w:r>
          </w:p>
        </w:tc>
        <w:tc>
          <w:tcPr>
            <w:tcW w:w="758" w:type="pct"/>
            <w:shd w:val="clear" w:color="auto" w:fill="auto"/>
            <w:noWrap/>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2025年</w:t>
            </w:r>
          </w:p>
        </w:tc>
        <w:tc>
          <w:tcPr>
            <w:tcW w:w="728" w:type="pct"/>
            <w:shd w:val="clear" w:color="auto" w:fill="auto"/>
            <w:noWrap/>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2030年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1</w:t>
            </w:r>
          </w:p>
        </w:tc>
        <w:tc>
          <w:tcPr>
            <w:tcW w:w="616" w:type="pct"/>
            <w:vMerge w:val="restar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经济</w:t>
            </w:r>
          </w:p>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指标</w:t>
            </w: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海水养殖总产值（亿元）</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100.07</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147.22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2</w:t>
            </w:r>
          </w:p>
        </w:tc>
        <w:tc>
          <w:tcPr>
            <w:tcW w:w="616"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海产品二三产业产值（亿元）</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122.31</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273.41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3</w:t>
            </w:r>
          </w:p>
        </w:tc>
        <w:tc>
          <w:tcPr>
            <w:tcW w:w="616"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水产品加工率（%）</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30</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31" w:type="pct"/>
            <w:shd w:val="clear" w:color="auto" w:fill="auto"/>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4</w:t>
            </w:r>
          </w:p>
        </w:tc>
        <w:tc>
          <w:tcPr>
            <w:tcW w:w="616" w:type="pct"/>
            <w:vMerge w:val="continue"/>
            <w:shd w:val="clear" w:color="auto" w:fill="auto"/>
            <w:vAlign w:val="center"/>
          </w:tcPr>
          <w:p>
            <w:pPr>
              <w:spacing w:line="560" w:lineRule="atLeast"/>
              <w:ind w:firstLine="0" w:firstLineChars="0"/>
              <w:jc w:val="center"/>
              <w:rPr>
                <w:rFonts w:ascii="仿宋" w:hAnsi="仿宋" w:eastAsia="仿宋" w:cs="仿宋"/>
                <w:sz w:val="28"/>
                <w:szCs w:val="28"/>
              </w:rPr>
            </w:pPr>
          </w:p>
        </w:tc>
        <w:tc>
          <w:tcPr>
            <w:tcW w:w="653" w:type="pct"/>
            <w:vMerge w:val="restar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海洋</w:t>
            </w:r>
          </w:p>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鱼类</w:t>
            </w:r>
          </w:p>
        </w:tc>
        <w:tc>
          <w:tcPr>
            <w:tcW w:w="1912"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养殖产量（吨）</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127849</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208170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331" w:type="pct"/>
            <w:shd w:val="clear" w:color="auto" w:fill="auto"/>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5</w:t>
            </w:r>
          </w:p>
        </w:tc>
        <w:tc>
          <w:tcPr>
            <w:tcW w:w="616" w:type="pct"/>
            <w:vMerge w:val="continue"/>
            <w:shd w:val="clear" w:color="auto" w:fill="auto"/>
            <w:vAlign w:val="center"/>
          </w:tcPr>
          <w:p>
            <w:pPr>
              <w:spacing w:line="560" w:lineRule="atLeast"/>
              <w:ind w:firstLine="0" w:firstLineChars="0"/>
              <w:jc w:val="center"/>
              <w:rPr>
                <w:rFonts w:ascii="仿宋" w:hAnsi="仿宋" w:eastAsia="仿宋" w:cs="仿宋"/>
                <w:sz w:val="28"/>
                <w:szCs w:val="28"/>
              </w:rPr>
            </w:pPr>
          </w:p>
        </w:tc>
        <w:tc>
          <w:tcPr>
            <w:tcW w:w="653"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1912"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养殖规模（公顷）</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5391</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8778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6</w:t>
            </w:r>
          </w:p>
        </w:tc>
        <w:tc>
          <w:tcPr>
            <w:tcW w:w="616" w:type="pct"/>
            <w:vMerge w:val="continue"/>
            <w:shd w:val="clear" w:color="auto" w:fill="auto"/>
            <w:vAlign w:val="center"/>
          </w:tcPr>
          <w:p>
            <w:pPr>
              <w:spacing w:line="560" w:lineRule="atLeast"/>
              <w:ind w:firstLine="0" w:firstLineChars="0"/>
              <w:jc w:val="center"/>
              <w:rPr>
                <w:rFonts w:ascii="仿宋" w:hAnsi="仿宋" w:eastAsia="仿宋" w:cs="仿宋"/>
                <w:sz w:val="28"/>
                <w:szCs w:val="28"/>
              </w:rPr>
            </w:pPr>
          </w:p>
        </w:tc>
        <w:tc>
          <w:tcPr>
            <w:tcW w:w="653" w:type="pct"/>
            <w:vMerge w:val="restar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贝类</w:t>
            </w:r>
          </w:p>
        </w:tc>
        <w:tc>
          <w:tcPr>
            <w:tcW w:w="1912"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养殖产量（吨）</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359895</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500699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7</w:t>
            </w:r>
          </w:p>
        </w:tc>
        <w:tc>
          <w:tcPr>
            <w:tcW w:w="616" w:type="pct"/>
            <w:vMerge w:val="continue"/>
            <w:shd w:val="clear" w:color="auto" w:fill="auto"/>
            <w:vAlign w:val="center"/>
          </w:tcPr>
          <w:p>
            <w:pPr>
              <w:spacing w:line="560" w:lineRule="atLeast"/>
              <w:ind w:firstLine="0" w:firstLineChars="0"/>
              <w:jc w:val="center"/>
              <w:rPr>
                <w:rFonts w:ascii="仿宋" w:hAnsi="仿宋" w:eastAsia="仿宋" w:cs="仿宋"/>
                <w:sz w:val="28"/>
                <w:szCs w:val="28"/>
              </w:rPr>
            </w:pPr>
          </w:p>
        </w:tc>
        <w:tc>
          <w:tcPr>
            <w:tcW w:w="653"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1912"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养殖规模（公顷）</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10096</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14045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8</w:t>
            </w:r>
          </w:p>
        </w:tc>
        <w:tc>
          <w:tcPr>
            <w:tcW w:w="616" w:type="pct"/>
            <w:vMerge w:val="continue"/>
            <w:shd w:val="clear" w:color="auto" w:fill="auto"/>
            <w:vAlign w:val="center"/>
          </w:tcPr>
          <w:p>
            <w:pPr>
              <w:spacing w:line="560" w:lineRule="atLeast"/>
              <w:ind w:firstLine="0" w:firstLineChars="0"/>
              <w:jc w:val="center"/>
              <w:rPr>
                <w:rFonts w:ascii="仿宋" w:hAnsi="仿宋" w:eastAsia="仿宋" w:cs="仿宋"/>
                <w:sz w:val="28"/>
                <w:szCs w:val="28"/>
              </w:rPr>
            </w:pPr>
          </w:p>
        </w:tc>
        <w:tc>
          <w:tcPr>
            <w:tcW w:w="653" w:type="pct"/>
            <w:vMerge w:val="restar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甲壳类</w:t>
            </w:r>
          </w:p>
        </w:tc>
        <w:tc>
          <w:tcPr>
            <w:tcW w:w="1912"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养殖产量（吨）</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87793</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120052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9</w:t>
            </w:r>
          </w:p>
        </w:tc>
        <w:tc>
          <w:tcPr>
            <w:tcW w:w="616" w:type="pct"/>
            <w:vMerge w:val="continue"/>
            <w:shd w:val="clear" w:color="auto" w:fill="auto"/>
            <w:vAlign w:val="center"/>
          </w:tcPr>
          <w:p>
            <w:pPr>
              <w:spacing w:line="560" w:lineRule="atLeast"/>
              <w:ind w:firstLine="0" w:firstLineChars="0"/>
              <w:jc w:val="center"/>
              <w:rPr>
                <w:rFonts w:ascii="仿宋" w:hAnsi="仿宋" w:eastAsia="仿宋" w:cs="仿宋"/>
                <w:sz w:val="28"/>
                <w:szCs w:val="28"/>
              </w:rPr>
            </w:pPr>
          </w:p>
        </w:tc>
        <w:tc>
          <w:tcPr>
            <w:tcW w:w="653"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1912"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养殖规模（公顷）</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7704</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10534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10</w:t>
            </w:r>
          </w:p>
        </w:tc>
        <w:tc>
          <w:tcPr>
            <w:tcW w:w="616" w:type="pct"/>
            <w:vMerge w:val="continue"/>
            <w:shd w:val="clear" w:color="auto" w:fill="auto"/>
            <w:vAlign w:val="center"/>
          </w:tcPr>
          <w:p>
            <w:pPr>
              <w:spacing w:line="560" w:lineRule="atLeast"/>
              <w:ind w:firstLine="0" w:firstLineChars="0"/>
              <w:jc w:val="center"/>
              <w:rPr>
                <w:rFonts w:ascii="仿宋" w:hAnsi="仿宋" w:eastAsia="仿宋" w:cs="仿宋"/>
                <w:sz w:val="28"/>
                <w:szCs w:val="28"/>
              </w:rPr>
            </w:pPr>
          </w:p>
        </w:tc>
        <w:tc>
          <w:tcPr>
            <w:tcW w:w="653" w:type="pct"/>
            <w:vMerge w:val="restar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藻类</w:t>
            </w:r>
          </w:p>
        </w:tc>
        <w:tc>
          <w:tcPr>
            <w:tcW w:w="1912"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养殖产量（吨）</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6057</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14232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11</w:t>
            </w:r>
          </w:p>
        </w:tc>
        <w:tc>
          <w:tcPr>
            <w:tcW w:w="616" w:type="pct"/>
            <w:vMerge w:val="continue"/>
            <w:shd w:val="clear" w:color="auto" w:fill="auto"/>
            <w:vAlign w:val="center"/>
          </w:tcPr>
          <w:p>
            <w:pPr>
              <w:spacing w:line="560" w:lineRule="atLeast"/>
              <w:ind w:firstLine="0" w:firstLineChars="0"/>
              <w:jc w:val="center"/>
              <w:rPr>
                <w:rFonts w:ascii="仿宋" w:hAnsi="仿宋" w:eastAsia="仿宋" w:cs="仿宋"/>
                <w:sz w:val="28"/>
                <w:szCs w:val="28"/>
              </w:rPr>
            </w:pPr>
          </w:p>
        </w:tc>
        <w:tc>
          <w:tcPr>
            <w:tcW w:w="653"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1912"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养殖规模（公顷）</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747</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1756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12</w:t>
            </w:r>
          </w:p>
        </w:tc>
        <w:tc>
          <w:tcPr>
            <w:tcW w:w="616"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全产业链产值（万元）</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1843556</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4096696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13</w:t>
            </w:r>
          </w:p>
        </w:tc>
        <w:tc>
          <w:tcPr>
            <w:tcW w:w="616"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海水鱼类产业链产值（万元）</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795505</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1952871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14</w:t>
            </w:r>
          </w:p>
        </w:tc>
        <w:tc>
          <w:tcPr>
            <w:tcW w:w="616"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对虾产业链（万元）</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551188</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1183592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15</w:t>
            </w:r>
          </w:p>
        </w:tc>
        <w:tc>
          <w:tcPr>
            <w:tcW w:w="616"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牡蛎产业链（万元）</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418048</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785481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16</w:t>
            </w:r>
          </w:p>
        </w:tc>
        <w:tc>
          <w:tcPr>
            <w:tcW w:w="616"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藻类产业链（万元）</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8076</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28610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17</w:t>
            </w:r>
          </w:p>
        </w:tc>
        <w:tc>
          <w:tcPr>
            <w:tcW w:w="616"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饲料营养产业链（万元）</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5644</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11351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18</w:t>
            </w:r>
          </w:p>
        </w:tc>
        <w:tc>
          <w:tcPr>
            <w:tcW w:w="616"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青蟹产业链（万元）</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65105</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134810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19</w:t>
            </w:r>
          </w:p>
        </w:tc>
        <w:tc>
          <w:tcPr>
            <w:tcW w:w="616" w:type="pct"/>
            <w:vMerge w:val="restar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生态</w:t>
            </w:r>
          </w:p>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指标</w:t>
            </w: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人工鱼礁和海洋牧场累计建设面积（公顷）</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9000</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20</w:t>
            </w:r>
          </w:p>
        </w:tc>
        <w:tc>
          <w:tcPr>
            <w:tcW w:w="616"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增殖放流苗种累计数量（亿尾、粒、只、枝）</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20</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21</w:t>
            </w:r>
          </w:p>
        </w:tc>
        <w:tc>
          <w:tcPr>
            <w:tcW w:w="616"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健康养殖示范面积比率（%）</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70</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22</w:t>
            </w:r>
          </w:p>
        </w:tc>
        <w:tc>
          <w:tcPr>
            <w:tcW w:w="616"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渔业种质资源保护面积（公顷）</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1919</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2372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23</w:t>
            </w:r>
          </w:p>
        </w:tc>
        <w:tc>
          <w:tcPr>
            <w:tcW w:w="616" w:type="pct"/>
            <w:vMerge w:val="restar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生产建设指标</w:t>
            </w: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共享渔场示范基地（个）</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0</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24</w:t>
            </w:r>
          </w:p>
        </w:tc>
        <w:tc>
          <w:tcPr>
            <w:tcW w:w="616"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水产生态绿色养殖基地（个）</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2</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25</w:t>
            </w:r>
          </w:p>
        </w:tc>
        <w:tc>
          <w:tcPr>
            <w:tcW w:w="616"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休闲渔业产业基地（个）</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2</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26</w:t>
            </w:r>
          </w:p>
        </w:tc>
        <w:tc>
          <w:tcPr>
            <w:tcW w:w="616"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深水网箱产业基地（个）</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4</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27</w:t>
            </w:r>
          </w:p>
        </w:tc>
        <w:tc>
          <w:tcPr>
            <w:tcW w:w="616"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生态渔业岛礁产业基地（个）</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2</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28</w:t>
            </w:r>
          </w:p>
        </w:tc>
        <w:tc>
          <w:tcPr>
            <w:tcW w:w="616"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能源融合养殖产业基地（个）</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1</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29</w:t>
            </w:r>
          </w:p>
        </w:tc>
        <w:tc>
          <w:tcPr>
            <w:tcW w:w="616"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海洋智慧渔业产业基地（个）</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3</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30</w:t>
            </w:r>
          </w:p>
        </w:tc>
        <w:tc>
          <w:tcPr>
            <w:tcW w:w="616"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海洋牧场示范基地（个）</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4</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31</w:t>
            </w:r>
          </w:p>
        </w:tc>
        <w:tc>
          <w:tcPr>
            <w:tcW w:w="616"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海洋渔业科技生产基地（个）</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0</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32</w:t>
            </w:r>
          </w:p>
        </w:tc>
        <w:tc>
          <w:tcPr>
            <w:tcW w:w="616"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海洋渔业科研基地（个）</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0</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33</w:t>
            </w:r>
          </w:p>
        </w:tc>
        <w:tc>
          <w:tcPr>
            <w:tcW w:w="616"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渔旅融合产业基地（个）</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2</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34</w:t>
            </w:r>
          </w:p>
        </w:tc>
        <w:tc>
          <w:tcPr>
            <w:tcW w:w="616" w:type="pct"/>
            <w:vMerge w:val="restar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基础支撑指标</w:t>
            </w: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渔业科技进步贡献率（%）</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60</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35</w:t>
            </w:r>
          </w:p>
        </w:tc>
        <w:tc>
          <w:tcPr>
            <w:tcW w:w="616"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海上应急避难场所（个）</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2</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36</w:t>
            </w:r>
          </w:p>
        </w:tc>
        <w:tc>
          <w:tcPr>
            <w:tcW w:w="616"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休闲渔业信息化服务管理平台（个）</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1</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31" w:type="pct"/>
            <w:shd w:val="clear" w:color="auto" w:fill="auto"/>
            <w:noWrap/>
            <w:vAlign w:val="center"/>
          </w:tcPr>
          <w:p>
            <w:pPr>
              <w:spacing w:line="560" w:lineRule="atLeast"/>
              <w:ind w:firstLine="0" w:firstLineChars="0"/>
              <w:jc w:val="center"/>
              <w:rPr>
                <w:rFonts w:ascii="黑体" w:hAnsi="黑体" w:eastAsia="黑体" w:cs="黑体"/>
                <w:sz w:val="24"/>
                <w:szCs w:val="20"/>
              </w:rPr>
            </w:pPr>
            <w:r>
              <w:rPr>
                <w:rFonts w:hint="eastAsia" w:ascii="黑体" w:hAnsi="黑体" w:eastAsia="黑体" w:cs="黑体"/>
                <w:sz w:val="24"/>
                <w:szCs w:val="20"/>
              </w:rPr>
              <w:t>37</w:t>
            </w:r>
          </w:p>
        </w:tc>
        <w:tc>
          <w:tcPr>
            <w:tcW w:w="616" w:type="pct"/>
            <w:vMerge w:val="continue"/>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566" w:type="pct"/>
            <w:gridSpan w:val="2"/>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海上冷链物流中心（个）</w:t>
            </w:r>
          </w:p>
        </w:tc>
        <w:tc>
          <w:tcPr>
            <w:tcW w:w="75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1</w:t>
            </w:r>
          </w:p>
        </w:tc>
        <w:tc>
          <w:tcPr>
            <w:tcW w:w="728" w:type="pct"/>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2</w:t>
            </w:r>
          </w:p>
        </w:tc>
      </w:tr>
      <w:bookmarkEnd w:id="69"/>
    </w:tbl>
    <w:p>
      <w:pPr>
        <w:pStyle w:val="4"/>
        <w:spacing w:before="312" w:beforeLines="100" w:after="156" w:line="560" w:lineRule="atLeast"/>
        <w:ind w:firstLine="640" w:firstLineChars="200"/>
        <w:rPr>
          <w:rFonts w:ascii="楷体" w:hAnsi="楷体" w:eastAsia="楷体" w:cs="楷体"/>
          <w:b w:val="0"/>
          <w:bCs w:val="0"/>
        </w:rPr>
      </w:pPr>
      <w:bookmarkStart w:id="70" w:name="_Toc3146"/>
      <w:bookmarkStart w:id="71" w:name="_Toc19419"/>
      <w:bookmarkStart w:id="72" w:name="_Toc4463"/>
      <w:bookmarkStart w:id="73" w:name="_Toc32237"/>
      <w:bookmarkStart w:id="74" w:name="_Toc10695"/>
      <w:bookmarkStart w:id="75" w:name="_Toc22431"/>
      <w:bookmarkStart w:id="76" w:name="_Toc51149511"/>
      <w:bookmarkStart w:id="77" w:name="_Toc23030"/>
      <w:bookmarkStart w:id="78" w:name="_Toc23863"/>
      <w:bookmarkStart w:id="79" w:name="_Toc26398"/>
      <w:bookmarkStart w:id="80" w:name="_Toc17710"/>
      <w:bookmarkStart w:id="81" w:name="_Toc11577"/>
      <w:r>
        <w:rPr>
          <w:rFonts w:hint="eastAsia" w:ascii="楷体" w:hAnsi="楷体" w:eastAsia="楷体" w:cs="楷体"/>
          <w:b w:val="0"/>
          <w:bCs w:val="0"/>
        </w:rPr>
        <w:t>（四）</w:t>
      </w:r>
      <w:bookmarkEnd w:id="70"/>
      <w:bookmarkEnd w:id="71"/>
      <w:bookmarkEnd w:id="72"/>
      <w:bookmarkEnd w:id="73"/>
      <w:bookmarkEnd w:id="74"/>
      <w:bookmarkEnd w:id="75"/>
      <w:bookmarkEnd w:id="76"/>
      <w:bookmarkEnd w:id="77"/>
      <w:bookmarkEnd w:id="78"/>
      <w:bookmarkEnd w:id="79"/>
      <w:bookmarkEnd w:id="80"/>
      <w:r>
        <w:rPr>
          <w:rFonts w:hint="eastAsia" w:ascii="楷体" w:hAnsi="楷体" w:eastAsia="楷体" w:cs="楷体"/>
          <w:b w:val="0"/>
          <w:bCs w:val="0"/>
        </w:rPr>
        <w:t>发展策略</w:t>
      </w:r>
      <w:bookmarkEnd w:id="81"/>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1.做强特色主导产业，构建百亿级产业链</w:t>
      </w:r>
      <w:bookmarkStart w:id="82" w:name="_Toc3971"/>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立足汕尾市海洋资源优势和海洋渔业发展基础，提出推进滨海绿色养殖、现代装备养殖、高科技养殖、饲料及药物加工、冷链物流集散、海洋休闲渔业等全产业链融合发展方向，集中力量强龙头、补链条、聚集群，加快形成现代渔业发展体系，争创汕尾市渔业创新发展新优势。推动汕尾市海洋渔业向园区化、集群化、高端化发展水平，加快形成优势特色产业集群，做强海水鱼类、对虾产业，构建海水鱼类、对虾百亿级产业链，壮大提升牡蛎、饲料营养、藻类产业链，积极培育青蟹产业链。大力推广鲍鱼、牡蛎、蛏、石斑鱼、鲈鱼、对虾、青蟹、紫菜等优势特色品类养殖，积极推进一二三产深度融合发展，带动促进汕尾市渔业产业的绿色创新与高质量发展，为汕尾市打造国家现代渔业先行示范区提供强有力的支撑。</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2.深耕海洋养殖产业，构建湾区粤海粮仓</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深耕海洋养殖产业，突出创新先行特色，发展成为“港产城融合、渔工贸互补”的汕尾特色渔业产业聚集区，推动海洋养殖由浅海向深远海发展。依托汕尾市丰富的海洋及水生生物资源，利用深水网箱等现代科技和先进生产设施装备，通过人工养殖、增殖及后续加工、贸易等行为，将近海、深海、远海开发建设成为可持续且高效提供优质蛋白源的“粤海粮仓”。并以国家、省市鼓励发展的优势特色产业为主导方向，以国家、省市鼓励的食品战略性海水养殖品种为发展战略基础，形成海上深水养殖产业园区基地，培育水产食品战略性支柱产业集群，构建深水网箱养殖产业集聚区，扩大海洋渔业产业规模，提升集聚水平，把汕尾市建设成大湾区的“粤海粮仓”主阵地。</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3.探索生态价值创制，推动产业融合发展</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着眼于创造海洋生态保护新机制和生态利用新价值，发展生态资源利用、种质资源保护与渔业生产相融合的海洋牧场，探索生态产品价值实现的有效路径，实现新时代重大改革成果。按国家海岛名录划定的农林渔牧用岛、公共服务用岛、旅游娱乐用岛等为依托，构建岛礁融合类海洋牧场，开展海洋经济鱼类、贝类、甲壳类等经济性养殖活动，并结合海岛旅游开发，融合发展岛礁休闲观光、海钓、渔事体验、渔文化体验等休闲渔业业态。以国家、省市鼓励发展的风能、波浪能等海洋能源为依托，开展海洋经济鱼类、贝类、甲壳类等经济性养殖活动，建设能源混合利用类海洋牧场与产业园区，有机利用能源平台的海上空间，开展生态渔业、休闲渔业与能源开发相融合的新型业态，推动“三生空间”与“三产融合”齐并创新发展。</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4.绿色创新先行先试，推动集约立体用海</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依托两个维度六层结构，即纵向“海上—海中—海床”三层结构和横向“潮间带—浅海—深海”三递空间的立体开发，构建海洋养殖空间复合化利用空间的典范。率先推动海上、海中、海床等不同海洋空间的立体化利用，同时探索由近岸带浅海和深海发展的创新产业部署。其中，海上部分以海上养殖平台为载体，在近海海域广泛开展休闲观光、潜水体验、休闲垂钓、研学科普、共享认养等休闲渔业活动；海中部分重点建设海洋牧场示范区、深水网箱养殖产业园，发展深海养殖业，可利用养殖设施沉入水中的部分，开展水下观光等休闲渔业活动；海床空间以开展底播增殖、人工鱼礁投放、藻类种植为主，推动建设资源管护类人工鱼礁，构建海底花园、海底森林；高效集约化利用海洋空间，全面促进海域牧场化发展。</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5.资源联动复合利用，巩固基础保障措施</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全面推动相关资源复合利用，促进全业全链全域服务体系全覆盖。一是构建现代渔港体系，完善渔政、渔港基础设施体系建设，创新渔港改扩建模式，建设高标准现代渔港。二是提升现代种业能力体系建设，加强渔业种质资源场、育种创新基地建设，构建覆盖全市主要养殖种类的水产良种繁育体系。三是形成海陆“不断链”冷链物流架构，完善冷链物流基础设施，建设海上冷链加工半潜式浮岛，构建设施先进、海陆衔接、功能完善的水产品冷链物流体系。四是加强水产品质量安全与疫病防控体系建设，建立水产品质量安全可追溯制度，实现水产品从“产地到餐桌”全过程可追溯，完善市级防疫站、县级防治站疫病监测体系。五是推进渔业生产安全管理体系建设，加强渔政执法装备建设，强化安全生产监督与执法，提升渔政执法的现代化、标准化和信息化水平。六是加强渔业安全应急管理体系建设，加强海洋渔船救生设备、安全装备配备的升级改造，增强渔船应急救助能力，建立海上应急救助防灾体系。</w:t>
      </w:r>
    </w:p>
    <w:p>
      <w:pPr>
        <w:pStyle w:val="4"/>
        <w:spacing w:before="156" w:after="156" w:line="560" w:lineRule="atLeast"/>
        <w:ind w:firstLine="640" w:firstLineChars="200"/>
        <w:rPr>
          <w:rFonts w:ascii="楷体" w:hAnsi="楷体" w:eastAsia="楷体" w:cs="楷体"/>
          <w:b w:val="0"/>
          <w:bCs w:val="0"/>
        </w:rPr>
      </w:pPr>
    </w:p>
    <w:p>
      <w:pPr>
        <w:ind w:firstLine="640"/>
      </w:pPr>
    </w:p>
    <w:p>
      <w:pPr>
        <w:pStyle w:val="4"/>
        <w:spacing w:before="156" w:after="156" w:line="560" w:lineRule="atLeast"/>
        <w:ind w:firstLine="640" w:firstLineChars="200"/>
        <w:rPr>
          <w:rFonts w:ascii="楷体" w:hAnsi="楷体" w:eastAsia="楷体" w:cs="楷体"/>
          <w:b w:val="0"/>
          <w:bCs w:val="0"/>
        </w:rPr>
      </w:pPr>
      <w:bookmarkStart w:id="83" w:name="_Toc2253"/>
      <w:r>
        <w:rPr>
          <w:rFonts w:hint="eastAsia" w:ascii="楷体" w:hAnsi="楷体" w:eastAsia="楷体" w:cs="楷体"/>
          <w:b w:val="0"/>
          <w:bCs w:val="0"/>
        </w:rPr>
        <w:t>（五）总体布局</w:t>
      </w:r>
      <w:bookmarkEnd w:id="83"/>
    </w:p>
    <w:p>
      <w:pPr>
        <w:spacing w:line="560" w:lineRule="atLeast"/>
        <w:ind w:firstLine="640"/>
        <w:rPr>
          <w:rFonts w:ascii="仿宋" w:hAnsi="仿宋" w:eastAsia="仿宋" w:cs="仿宋"/>
        </w:rPr>
      </w:pPr>
      <w:r>
        <w:rPr>
          <w:rFonts w:hint="eastAsia" w:ascii="仿宋" w:hAnsi="仿宋" w:eastAsia="仿宋" w:cs="仿宋"/>
        </w:rPr>
        <w:t>依据汕尾市海洋和渔业优良的资源禀赋，优越的渔业发展基础，良好的海洋生态环境承载力，广阔的滩涂养殖空间，以及渔业用海空间、海洋生态红线、渔业发展相关政策资源和市场环境条件等核心要素，以“绿色兴渔、创新强渔、协调惠渔、共享富渔、开放助渔”为导向，以渔业用海空间有保有压、有进有退、绿色优先、创新发展为原则，以沿岸绿色优先、近岸低碳发展、远岸科技引领为主轴，促进渔业创新绿色发展、产业长链强链补链精链、“三农”稳产保供增收，以构建国家农业绿色发展先行区为目标，推动汕尾市现代海洋渔业绿色创新与高质量发展，全面构建“一核•一带•两湾一角•多点”的总体发展格局。</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1.一核——渔业绿色发展先行核</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以现代化海洋事业发展为指导思想，以绿色发展为主基调，以产业创新发展为目标。依托“海洋牧场+人工鱼礁+共享渔场”的基底建设，发挥“深水网箱产业+渔旅融合产业+渔业集散功能”支柱作用，以多功能绿色“渔业+”为内生动力，以碣石-金厢区域发展为核心，联动马宫-新港海域养殖空间，集国家级渔港经济区、国家级海洋牧场、共享渔业经济区、国家级休闲渔业基地、特色渔业养殖基地、良种保育基地、渔业装备基地、海洋经济桥头堡等拳头项目和众多关联产业项目聚集发展为依托，形成新兴产业功能融合聚集核，构建“新一代国家特色渔业产业集群先行区”，打造多模式、多功能、立体化相融合的“国家渔业绿色发展先行区”。构建东联、西拓、陆延、海进、中优，具有三生三产融合发展的现代渔业绿色发展的“先行地”和“引擎核”。</w:t>
      </w:r>
    </w:p>
    <w:p>
      <w:pPr>
        <w:spacing w:line="560" w:lineRule="atLeast"/>
        <w:ind w:firstLine="640"/>
        <w:rPr>
          <w:rFonts w:ascii="仿宋" w:hAnsi="仿宋" w:eastAsia="仿宋" w:cs="仿宋"/>
        </w:rPr>
      </w:pPr>
      <w:r>
        <w:rPr>
          <w:rFonts w:hint="eastAsia" w:ascii="仿宋" w:hAnsi="仿宋" w:eastAsia="仿宋" w:cs="仿宋"/>
        </w:rPr>
        <w:t>核心引擎的特色亮点内涵：着力于发展多鱼种资源集合、多空间管护类的创新型海洋资源管护区，并合理利用该海域休闲渔业资源，推动渔民转产转业，重点发展海洋养殖与休闲渔业融合的特色产业，打造集渔业养殖、娱乐、观光等功能于一体的先行试点的全民共享渔业经济区；形成具有生产、生活、生态和一产、二产、三产的“三生三产发展综合体”，着力实现“陆海岛”空间资源联动，构建现代渔业绿色发展体系，发挥一核的带动效用，形成“海上城市”示范新标杆。</w:t>
      </w:r>
    </w:p>
    <w:p>
      <w:pPr>
        <w:pStyle w:val="5"/>
        <w:tabs>
          <w:tab w:val="left" w:pos="312"/>
        </w:tabs>
        <w:spacing w:line="560" w:lineRule="atLeast"/>
        <w:ind w:left="643" w:firstLine="0" w:firstLineChars="0"/>
        <w:rPr>
          <w:rFonts w:ascii="仿宋" w:hAnsi="仿宋" w:eastAsia="仿宋" w:cs="仿宋"/>
          <w:b w:val="0"/>
          <w:bCs w:val="0"/>
        </w:rPr>
      </w:pPr>
      <w:r>
        <w:rPr>
          <w:rFonts w:hint="eastAsia" w:ascii="仿宋" w:hAnsi="仿宋" w:eastAsia="仿宋" w:cs="仿宋"/>
          <w:b w:val="0"/>
          <w:bCs w:val="0"/>
        </w:rPr>
        <w:t>2.一带——渔业创新联动发展带</w:t>
      </w:r>
    </w:p>
    <w:p>
      <w:pPr>
        <w:pStyle w:val="5"/>
        <w:tabs>
          <w:tab w:val="left" w:pos="312"/>
        </w:tabs>
        <w:spacing w:line="560" w:lineRule="atLeast"/>
        <w:ind w:firstLine="640"/>
        <w:rPr>
          <w:rFonts w:ascii="仿宋" w:hAnsi="仿宋" w:eastAsia="仿宋" w:cs="仿宋"/>
          <w:b w:val="0"/>
          <w:bCs w:val="0"/>
          <w:szCs w:val="22"/>
        </w:rPr>
      </w:pPr>
      <w:r>
        <w:rPr>
          <w:rFonts w:hint="eastAsia" w:ascii="仿宋" w:hAnsi="仿宋" w:eastAsia="仿宋" w:cs="仿宋"/>
          <w:b w:val="0"/>
          <w:bCs w:val="0"/>
          <w:szCs w:val="22"/>
        </w:rPr>
        <w:t>以渔业“三生空间、三产融合”协调创新发展为导向，串联碣石湾、红海湾和甲子角三大海域的海洋、经济、社会、文化、产业、渔业、渔港、渔村等方面的优势资源，以及渔业科技创新、渔业科研科普教育等相关资源，构建渔业产业创新联动发展带。聚集三横三纵产业空间，三横即构建沿岸以绿色发展为优先的滨海休闲度假与休闲渔业发展产业带，近岸以低碳产业发展为核心的绿色创新养殖发展产业带，远岸以科技引领为核心的深远海深水网箱养殖产业发展带，构建三带创融合发展。三纵即打造等深线10米水深以内的绿色生态保育与休闲渔业融合产业发展区；等深线在10米水深以外的海洋渔业养殖发展核心利用的高效渔业产业开发区；等深线在20米水深以外深远海深水网箱产业发展聚集区，全面形成东联、西拓、陆延、海进的联动发展创新格局。</w:t>
      </w:r>
    </w:p>
    <w:p>
      <w:pPr>
        <w:pStyle w:val="5"/>
        <w:tabs>
          <w:tab w:val="left" w:pos="312"/>
        </w:tabs>
        <w:spacing w:line="560" w:lineRule="atLeast"/>
        <w:ind w:firstLine="640"/>
        <w:rPr>
          <w:rFonts w:ascii="仿宋" w:hAnsi="仿宋" w:eastAsia="仿宋" w:cs="仿宋"/>
          <w:b w:val="0"/>
          <w:bCs w:val="0"/>
          <w:szCs w:val="22"/>
        </w:rPr>
      </w:pPr>
      <w:r>
        <w:rPr>
          <w:rFonts w:hint="eastAsia" w:ascii="仿宋" w:hAnsi="仿宋" w:eastAsia="仿宋" w:cs="仿宋"/>
          <w:b w:val="0"/>
          <w:bCs w:val="0"/>
          <w:szCs w:val="22"/>
        </w:rPr>
        <w:t>重点着力于绿色创新养殖发展产业带开发建设，在养殖产业资源整合上，聚焦汕尾市离岸开发海域10-20米水深海域，依托最丰富的海洋生物资源与最优质的养殖环境资源，推动养殖产业向经济鱼类、名贵贝类养殖深度拓展；在空间利用上，实现渔业资源互补、产业互助、布局互通，构建现代渔业立体化渔业用海空间联动发展方式，促进“两湾一角”海陆岛之间有效互联互通，推动汕尾市海洋传统沿岸生态产业优先、近岸养殖产业精选走向远海深蓝产业发展。</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3.两湾一角——泛碣石湾、红海湾和甲子角片区</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（1）泛红海湾片区</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依托红海湾优越的经济区位和海洋渔业资源优势，以海洋绿色养殖为基调，多模式、多功能、多元化融合为发展导向，结合滨海城市发展需要，针对滨海休闲渔业、海洋运动娱乐、旅游休闲度假、科研科普教育等需求，对标特色需求与现实需要，创建海洋资源管护类、共享渔业牧场类、岛礁融合发展类、深水网箱养殖类、休闲渔旅融合类等多类别用海模式，全面打造具有标杆示范的产业园区，在泛红海湾片区重点发展石斑鱼、鲈鱼、美国红鱼、卵形鲳鲹等经济鱼类养殖品种，全面打造构建为集绿色养殖、休闲、娱乐、资源保护功能于一体的海洋城市新型渔业发展集群区。</w:t>
      </w:r>
    </w:p>
    <w:p>
      <w:pPr>
        <w:pStyle w:val="5"/>
        <w:numPr>
          <w:ilvl w:val="0"/>
          <w:numId w:val="1"/>
        </w:numPr>
        <w:spacing w:line="560" w:lineRule="atLeast"/>
        <w:ind w:firstLine="640"/>
        <w:rPr>
          <w:rFonts w:ascii="仿宋" w:hAnsi="仿宋" w:eastAsia="仿宋" w:cs="仿宋"/>
          <w:b w:val="0"/>
          <w:bCs w:val="0"/>
        </w:rPr>
      </w:pPr>
      <w:r>
        <w:rPr>
          <w:rFonts w:hint="eastAsia" w:ascii="仿宋" w:hAnsi="仿宋" w:eastAsia="仿宋" w:cs="仿宋"/>
          <w:b w:val="0"/>
          <w:bCs w:val="0"/>
        </w:rPr>
        <w:t>泛碣石湾片区</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依托于碣石湾片区海域联动周边优势资源，以生态保育、绿色高效、特色养殖为发展导向，着力将其打造为生态保护型的特色渔业养殖区。对标国家大力推进绿色生产方式的发展需求，对沿岸近岸存在污染较大、密集度过高的养殖区进行提质或清退，积极引进现代绿色渔业新型渔用渔技渔具，加快传统养殖方式向循环水养殖、人工鱼礁、增殖放流等现代渔业绿色新型增养殖模式转型，统筹规范渔业用海布局，推动泛碣石湾片区打造海洋渔业高效生态养殖示范区。在泛碣石湾片区重点发展石斑鱼、中国对虾、鲍鱼、扇贝、蛤、藻类等优势特色养殖品种，着力打造碣石湾鲍鱼等特色性、地标性品牌，全面打造构建为绿色优势渔业产业发展集群区。</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（3）泛甲子角片区</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依托于甲子角沿岸区域的工业用海资源，以及甲子角光能、风能、波浪能等新型海洋能源产业优势，利用渔光一体等资源融合新型技术，将海洋风能、光能、波浪能等产业资源与渔业养殖进行多形式多维度的有机结合，在泛甲子角片区重点发展石斑鱼、鲈鱼、美国红鱼、卵形鲳鲹等经济鱼类养殖品种，打造公益类养殖、经济类养殖与海洋能源融合开发于一体的新型高科技渔业养殖区，助推渔业一二三产高新化、智能化、绿色化融合发展，全面打造构建为特色渔业产业融合发展集群区。</w:t>
      </w:r>
    </w:p>
    <w:p>
      <w:pPr>
        <w:pStyle w:val="2"/>
      </w:pPr>
    </w:p>
    <w:p>
      <w:pPr>
        <w:ind w:firstLine="640"/>
      </w:pP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4.多点</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（1）海洋渔业桥头堡</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以汕尾马宫、碣石、甲子三个渔港核心片区为中心，形成东中西三大渔港经济核心区“海洋经济桥头堡”试点，以陆城镇产业融合与一体化服务为依托，以海洋绿色渔业产业为基础，联动渔业用岛和公共服务用岛等资源，构建集渔港经济区、美丽休闲渔村、渔船避风港、物资补给、渔货交易、冷链物流、深精加工、海洋食药、海洋生态、休闲观光、城镇建设、渔业集散、数字交易等功能为一体，区域产业结构平衡、产业层次较高、辐射效应明显的一二三级海洋渔业绿色经济桥头堡，全面打造构建为国家级和省级渔港经济区。</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（2）海洋生态保护区</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以海洋生态环境保育和生态资源管护为主要目的，规划在黄江河口、螺河河口等周边海域内开展增殖放流、底播活动，建设海洋生态环境监测站，对海洋生态环境进行监测以及评估，为制定增殖活动计划提供数据支持与反馈，更快更好地保育海洋生态环境，适当开展休闲渔业活动，为环境的保育和管护提供资金支持，全面构建海洋生态保护地、海洋地质公园、海洋文化公园等具有生态文化保育体系建设的示范标杆，全面打造构建为以海洋生态管护功能和海洋生态保护功能为主的海洋生态保护区。</w:t>
      </w:r>
    </w:p>
    <w:p>
      <w:pPr>
        <w:spacing w:line="560" w:lineRule="atLeast"/>
        <w:ind w:firstLine="640"/>
        <w:rPr>
          <w:rFonts w:ascii="仿宋" w:hAnsi="仿宋" w:eastAsia="仿宋" w:cs="仿宋"/>
        </w:rPr>
      </w:pPr>
      <w:r>
        <w:rPr>
          <w:rFonts w:hint="eastAsia" w:ascii="仿宋" w:hAnsi="仿宋" w:eastAsia="仿宋" w:cs="仿宋"/>
        </w:rPr>
        <w:t>（3）渔业生态保护区</w:t>
      </w:r>
    </w:p>
    <w:p>
      <w:pPr>
        <w:spacing w:line="560" w:lineRule="atLeast"/>
        <w:ind w:firstLine="640"/>
        <w:rPr>
          <w:rFonts w:ascii="仿宋" w:hAnsi="仿宋" w:eastAsia="仿宋" w:cs="仿宋"/>
        </w:rPr>
      </w:pPr>
      <w:r>
        <w:rPr>
          <w:rFonts w:hint="eastAsia" w:ascii="仿宋" w:hAnsi="仿宋" w:eastAsia="仿宋" w:cs="仿宋"/>
        </w:rPr>
        <w:t>以渔业种质资源保育与管护为主要目的，规划在碣石湾、金厢、碣石等周边海域，开展底播、增殖放流、人工投礁等活动，加强对渔业资源的保育，并建设海上多功能管护平台，提供增殖放流点、人工鱼礁投放点、人工鱼礁管护、海洋环境监测、游钓平台等多项功能场地，促进渔业种质资源保育与渔业生态环境管护工作高质量推进，形成具有海洋渔业种群保护建设、渔业动态监护监管建设、渔业科研科普教育建设的生态治理体系，全面打造构建为海洋渔业生态保育示范区。</w:t>
      </w:r>
    </w:p>
    <w:p>
      <w:pPr>
        <w:spacing w:line="560" w:lineRule="atLeast"/>
        <w:ind w:firstLine="640"/>
        <w:rPr>
          <w:rFonts w:ascii="仿宋" w:hAnsi="仿宋" w:eastAsia="仿宋" w:cs="仿宋"/>
        </w:rPr>
      </w:pPr>
      <w:r>
        <w:rPr>
          <w:rFonts w:hint="eastAsia" w:ascii="仿宋" w:hAnsi="仿宋" w:eastAsia="仿宋" w:cs="仿宋"/>
        </w:rPr>
        <w:t>（4）海洋资源管护区</w:t>
      </w:r>
    </w:p>
    <w:p>
      <w:pPr>
        <w:spacing w:line="560" w:lineRule="atLeast"/>
        <w:ind w:firstLine="640"/>
        <w:rPr>
          <w:rFonts w:ascii="仿宋" w:hAnsi="仿宋" w:eastAsia="仿宋" w:cs="仿宋"/>
        </w:rPr>
      </w:pPr>
      <w:r>
        <w:rPr>
          <w:rFonts w:hint="eastAsia" w:ascii="仿宋" w:hAnsi="仿宋" w:eastAsia="仿宋" w:cs="仿宋"/>
        </w:rPr>
        <w:t>以海洋生态资源管护、改善海洋生态环境和增加生物多样性为目标，在龟龄岛、遮浪等海域以人工鱼礁、海洋牧场等政策性投入和公益性投入为主体的海洋资源管护区域，建设海洋环境监测站，对海洋生态环境管护效果进行动态评估、制定资源管护计划，实现对海洋环境、水文条件和自然灾害等实时监测管控，促进汕尾市海洋生态环境管护与海洋生态资源恢复。形成具有海洋渔业生态管护建设、渔业公众参与体系建设、渔业社会参与投资创新建设的生态治理体系，全面打造构建为海洋渔业生态管护示范区。</w:t>
      </w:r>
    </w:p>
    <w:p>
      <w:pPr>
        <w:spacing w:line="560" w:lineRule="atLeast"/>
        <w:ind w:firstLine="640"/>
        <w:rPr>
          <w:rFonts w:ascii="仿宋" w:hAnsi="仿宋" w:eastAsia="仿宋" w:cs="仿宋"/>
        </w:rPr>
      </w:pPr>
      <w:r>
        <w:rPr>
          <w:rFonts w:hint="eastAsia" w:ascii="仿宋" w:hAnsi="仿宋" w:eastAsia="仿宋" w:cs="仿宋"/>
        </w:rPr>
        <w:t>（5）渔业资源管护区</w:t>
      </w:r>
    </w:p>
    <w:p>
      <w:pPr>
        <w:spacing w:line="560" w:lineRule="atLeast"/>
        <w:ind w:firstLine="640"/>
        <w:rPr>
          <w:rFonts w:ascii="仿宋" w:hAnsi="仿宋" w:eastAsia="仿宋" w:cs="仿宋"/>
        </w:rPr>
      </w:pPr>
      <w:r>
        <w:rPr>
          <w:rFonts w:hint="eastAsia" w:ascii="仿宋" w:hAnsi="仿宋" w:eastAsia="仿宋" w:cs="仿宋"/>
        </w:rPr>
        <w:t>以渔业种质保护、改善区域群落结构和增加生物多样性为目标，在金厢等海域以人工鱼礁、海洋牧场等政策性投入和公益性投入为主体的海洋资源管护区域，建设资源管护增殖牧场、人工鱼礁区、海洋牧场等资源管护类渔业发展点，对渔业资源管护效果进行动态评估、制定资源管护计划，实现对鱼类种质、密度和数量等实时监测管控，促进汕尾市海洋渔业资源增殖保育与养殖环境生态环境恢复。形成具有海洋渔业生态基础体系建设、渔业生态管护结构建设、渔业生态文明治理建设的生态文明体系，全面打造构建为海洋渔业生态文明区。</w:t>
      </w:r>
    </w:p>
    <w:p>
      <w:pPr>
        <w:spacing w:line="560" w:lineRule="atLeast"/>
        <w:ind w:firstLine="640"/>
        <w:rPr>
          <w:rFonts w:ascii="仿宋" w:hAnsi="仿宋" w:eastAsia="仿宋" w:cs="仿宋"/>
        </w:rPr>
      </w:pPr>
      <w:r>
        <w:rPr>
          <w:rFonts w:hint="eastAsia" w:ascii="仿宋" w:hAnsi="仿宋" w:eastAsia="仿宋" w:cs="仿宋"/>
        </w:rPr>
        <w:t>（6）共享渔业牧场区</w:t>
      </w:r>
    </w:p>
    <w:p>
      <w:pPr>
        <w:spacing w:line="560" w:lineRule="atLeast"/>
        <w:ind w:firstLine="640"/>
        <w:rPr>
          <w:rFonts w:ascii="仿宋" w:hAnsi="仿宋" w:eastAsia="仿宋" w:cs="仿宋"/>
        </w:rPr>
      </w:pPr>
      <w:r>
        <w:rPr>
          <w:rFonts w:hint="eastAsia" w:ascii="仿宋" w:hAnsi="仿宋" w:eastAsia="仿宋" w:cs="仿宋"/>
        </w:rPr>
        <w:t>依托乌坎等海域优越的渔业经济发展基础，以渔民转产转业为发展导向，将其打造为集禁渔期渔民休闲渔业作业、全民日常增殖放流活动等渔业功能于一体的全民渔乐活动共享区。依据各大海域的发展方向和资源环境，合理统筹建设共享类渔业发展点，完善多功能管护平台、信息化服务平台等基础服务设施设备等，积极开展增殖放流、原生态渔事体验等新型活动项目，推动渔业向休闲化、生态化的新形式业态转型，全面打造构建为“三农”稳产保供增收创新“共享渔业牧场</w:t>
      </w:r>
      <w:r>
        <w:rPr>
          <w:rFonts w:ascii="仿宋" w:hAnsi="仿宋" w:eastAsia="仿宋" w:cs="仿宋"/>
        </w:rPr>
        <w:t>”</w:t>
      </w:r>
      <w:r>
        <w:rPr>
          <w:rFonts w:hint="eastAsia" w:ascii="仿宋" w:hAnsi="仿宋" w:eastAsia="仿宋" w:cs="仿宋"/>
        </w:rPr>
        <w:t>“共享渔业经济区”新典范。</w:t>
      </w:r>
    </w:p>
    <w:p>
      <w:pPr>
        <w:spacing w:line="560" w:lineRule="atLeast"/>
        <w:ind w:firstLine="640"/>
        <w:rPr>
          <w:rFonts w:ascii="仿宋" w:hAnsi="仿宋" w:eastAsia="仿宋" w:cs="仿宋"/>
        </w:rPr>
      </w:pPr>
      <w:r>
        <w:rPr>
          <w:rFonts w:hint="eastAsia" w:ascii="仿宋" w:hAnsi="仿宋" w:eastAsia="仿宋" w:cs="仿宋"/>
        </w:rPr>
        <w:t>（7）休闲渔旅融合区</w:t>
      </w:r>
    </w:p>
    <w:p>
      <w:pPr>
        <w:spacing w:line="560" w:lineRule="atLeast"/>
        <w:ind w:firstLine="640"/>
        <w:rPr>
          <w:rFonts w:ascii="仿宋" w:hAnsi="仿宋" w:eastAsia="仿宋" w:cs="仿宋"/>
        </w:rPr>
      </w:pPr>
      <w:r>
        <w:rPr>
          <w:rFonts w:hint="eastAsia" w:ascii="仿宋" w:hAnsi="仿宋" w:eastAsia="仿宋" w:cs="仿宋"/>
        </w:rPr>
        <w:t>依托马宫、乌坎、鲘门、北士岛海域独特的旅游资源以及滨海娱乐资源，以休闲渔业为主导，差异性开发相关海域的休闲垂钓、渔获等渔事体验、海洋养殖科研科普等休闲渔业业态，建设海上休闲渔业牧场、海洋鱼乐园等休闲渔旅区，完备相关基础服务和旅游服务设施设备，助力汕尾市打破以渔业养殖为主的单一发展形式，推动汕尾“渔业+旅游”高效融合发展。还城市于“蓝色客厅</w:t>
      </w:r>
      <w:r>
        <w:rPr>
          <w:rFonts w:ascii="仿宋" w:hAnsi="仿宋" w:eastAsia="仿宋" w:cs="仿宋"/>
        </w:rPr>
        <w:t>”</w:t>
      </w:r>
      <w:r>
        <w:rPr>
          <w:rFonts w:hint="eastAsia" w:ascii="仿宋" w:hAnsi="仿宋" w:eastAsia="仿宋" w:cs="仿宋"/>
        </w:rPr>
        <w:t>，还全民于“海上公园”，促进陆海空间整合发展，全面打造构建为休闲渔业发展示范区。</w:t>
      </w:r>
    </w:p>
    <w:p>
      <w:pPr>
        <w:spacing w:line="560" w:lineRule="atLeast"/>
        <w:ind w:firstLine="640"/>
        <w:rPr>
          <w:rFonts w:ascii="仿宋" w:hAnsi="仿宋" w:eastAsia="仿宋" w:cs="仿宋"/>
        </w:rPr>
      </w:pPr>
      <w:r>
        <w:rPr>
          <w:rFonts w:hint="eastAsia" w:ascii="仿宋" w:hAnsi="仿宋" w:eastAsia="仿宋" w:cs="仿宋"/>
        </w:rPr>
        <w:t>（8）绿色生态养殖区</w:t>
      </w:r>
    </w:p>
    <w:p>
      <w:pPr>
        <w:spacing w:line="560" w:lineRule="atLeast"/>
        <w:ind w:firstLine="640"/>
        <w:rPr>
          <w:rFonts w:ascii="仿宋" w:hAnsi="仿宋" w:eastAsia="仿宋" w:cs="仿宋"/>
        </w:rPr>
      </w:pPr>
      <w:r>
        <w:rPr>
          <w:rFonts w:hint="eastAsia" w:ascii="仿宋" w:hAnsi="仿宋" w:eastAsia="仿宋" w:cs="仿宋"/>
        </w:rPr>
        <w:t>大力推进芒屿、排尾岛、金厢、乌坎等的近岸海域发展绿色生态养殖，在该区离岸开发0-10米水深的海域合理统筹建设海上水产生态绿色养殖基地等，积极推进浅海传统养殖模式向浅海绿色生态养殖模式转型，将传统网箱升级改造为新型生态网箱等绿色高效的新型深水网箱，减轻近岸海域生态环境压力，提高近岸海域渔业养殖经济效益，全面打造构建为休闲渔业创新基地、海洋绿色创新生态牧场示范区。</w:t>
      </w:r>
    </w:p>
    <w:p>
      <w:pPr>
        <w:spacing w:line="560" w:lineRule="atLeast"/>
        <w:ind w:firstLine="640"/>
        <w:rPr>
          <w:rFonts w:ascii="仿宋" w:hAnsi="仿宋" w:eastAsia="仿宋" w:cs="仿宋"/>
        </w:rPr>
      </w:pPr>
      <w:r>
        <w:rPr>
          <w:rFonts w:hint="eastAsia" w:ascii="仿宋" w:hAnsi="仿宋" w:eastAsia="仿宋" w:cs="仿宋"/>
        </w:rPr>
        <w:t>（9）深水养殖产业区</w:t>
      </w:r>
    </w:p>
    <w:p>
      <w:pPr>
        <w:spacing w:line="560" w:lineRule="atLeast"/>
        <w:ind w:firstLine="640"/>
        <w:rPr>
          <w:rFonts w:ascii="仿宋" w:hAnsi="仿宋" w:eastAsia="仿宋" w:cs="仿宋"/>
        </w:rPr>
      </w:pPr>
      <w:r>
        <w:rPr>
          <w:rFonts w:hint="eastAsia" w:ascii="仿宋" w:hAnsi="仿宋" w:eastAsia="仿宋" w:cs="仿宋"/>
        </w:rPr>
        <w:t>大力推进江牡岛、田尾角、甲子角等海域深水网箱养殖产业发展，在该区离岸开发海域10-30米的水深海域合理统筹建设深水网箱产业园等，积极推进浅海网箱养殖模式向深海网箱养殖模式转型，将旧式深海网箱升级改造为深海抗风浪网箱等安全高效的新型深水网箱，并适当引进计算机、新材料等高新深水养殖技术，以及渔用声纳、声诱捕捞、声纳投饵、光影捕捞等现代智能生态渔业技术，实现养殖海域拓展、沿岸环境压力减轻、养殖鱼质量提高，从而提高海域渔业养殖经济效益，全面打造构建为智慧智能化深水养殖示范区。</w:t>
      </w:r>
    </w:p>
    <w:p>
      <w:pPr>
        <w:spacing w:line="560" w:lineRule="atLeast"/>
        <w:ind w:firstLine="640"/>
        <w:rPr>
          <w:rFonts w:ascii="仿宋" w:hAnsi="仿宋" w:eastAsia="仿宋" w:cs="仿宋"/>
        </w:rPr>
      </w:pPr>
      <w:r>
        <w:rPr>
          <w:rFonts w:hint="eastAsia" w:ascii="仿宋" w:hAnsi="仿宋" w:eastAsia="仿宋" w:cs="仿宋"/>
        </w:rPr>
        <w:t>（10）能源混合利用区</w:t>
      </w:r>
    </w:p>
    <w:p>
      <w:pPr>
        <w:spacing w:line="560" w:lineRule="atLeast"/>
        <w:ind w:firstLine="640"/>
        <w:rPr>
          <w:rFonts w:ascii="仿宋" w:hAnsi="仿宋" w:eastAsia="仿宋" w:cs="仿宋"/>
        </w:rPr>
      </w:pPr>
      <w:r>
        <w:rPr>
          <w:rFonts w:hint="eastAsia" w:ascii="仿宋" w:hAnsi="仿宋" w:eastAsia="仿宋" w:cs="仿宋"/>
        </w:rPr>
        <w:t>立足国家、省市鼓励发展海洋能源的发展目标，依托海洋风能、光能、波浪能等海洋能源，与渔业养殖开展多形式多维度的有机结合，在水面、岛上沿岸、水体、海床等空间引入海洋牧场与海上风电融合技术新模式、半潜式波浪能发电技术模式等新能源生产技术模式，开展“海上风电+海洋牧场”、半潜式波浪能养殖平台建设等项目，加快实现海洋渔业养殖各级空间能源高效开发利用，助力汕尾海洋渔业养殖高效科学发展，全面打造构建为渔能互补产业发展示范区。</w:t>
      </w:r>
    </w:p>
    <w:p>
      <w:pPr>
        <w:spacing w:line="560" w:lineRule="atLeast"/>
        <w:ind w:firstLine="640"/>
        <w:rPr>
          <w:rFonts w:ascii="仿宋" w:hAnsi="仿宋" w:eastAsia="仿宋" w:cs="仿宋"/>
        </w:rPr>
      </w:pPr>
      <w:r>
        <w:rPr>
          <w:rFonts w:hint="eastAsia" w:ascii="仿宋" w:hAnsi="仿宋" w:eastAsia="仿宋" w:cs="仿宋"/>
        </w:rPr>
        <w:t>（11）岛礁融合发展区</w:t>
      </w:r>
    </w:p>
    <w:p>
      <w:pPr>
        <w:spacing w:line="560" w:lineRule="atLeast"/>
        <w:ind w:firstLine="640"/>
        <w:rPr>
          <w:rFonts w:ascii="仿宋" w:hAnsi="仿宋" w:eastAsia="仿宋" w:cs="仿宋"/>
        </w:rPr>
      </w:pPr>
      <w:r>
        <w:rPr>
          <w:rFonts w:hint="eastAsia" w:ascii="仿宋" w:hAnsi="仿宋" w:eastAsia="仿宋" w:cs="仿宋"/>
        </w:rPr>
        <w:t>依托芒屿岛、鲘门、金屿、田尾角海域的农林渔牧用岛、公共服务用岛、旅游娱乐用岛等类型的岛礁资源，建设岛礁融合发展基地、岛礁融合牧场、岛礁鱼乐园等。以海洋养殖为基础，延伸新型业态，结合岛礁休闲观光、垂钓、渔事体验等活动，推动岛礁之间、岛岛之间、岛岸之间、礁岸之间的渔业养殖空间进行有效互动，引用高科技创新海上浮游平台技术，以及生态浮游岛等创新生产方式，构建产业发展新空间、新平台、新发展内涵与新发展业态，实现岛礁融合多空间、多维度联动协调发展，全面打造构建为渔岛创新融合发展示范区。</w:t>
      </w:r>
    </w:p>
    <w:p>
      <w:pPr>
        <w:spacing w:line="560" w:lineRule="atLeast"/>
        <w:ind w:firstLine="640"/>
        <w:rPr>
          <w:rFonts w:ascii="仿宋" w:hAnsi="仿宋" w:eastAsia="仿宋" w:cs="仿宋"/>
        </w:rPr>
      </w:pPr>
    </w:p>
    <w:p>
      <w:pPr>
        <w:spacing w:line="560" w:lineRule="atLeast"/>
        <w:ind w:firstLine="640"/>
      </w:pPr>
      <w:r>
        <w:br w:type="page"/>
      </w:r>
    </w:p>
    <w:bookmarkEnd w:id="82"/>
    <w:p>
      <w:pPr>
        <w:pStyle w:val="3"/>
        <w:spacing w:before="156" w:after="156" w:line="560" w:lineRule="atLeast"/>
        <w:ind w:firstLine="640" w:firstLineChars="200"/>
        <w:jc w:val="both"/>
        <w:rPr>
          <w:b w:val="0"/>
          <w:bCs w:val="0"/>
        </w:rPr>
      </w:pPr>
      <w:bookmarkStart w:id="84" w:name="_Toc21647"/>
      <w:bookmarkStart w:id="85" w:name="_Toc4305"/>
      <w:bookmarkStart w:id="86" w:name="_Toc32276"/>
      <w:bookmarkStart w:id="87" w:name="_Toc7497"/>
      <w:bookmarkStart w:id="88" w:name="_Toc901"/>
      <w:bookmarkStart w:id="89" w:name="_Toc32724"/>
      <w:bookmarkStart w:id="90" w:name="_Toc26510"/>
      <w:bookmarkStart w:id="91" w:name="_Toc58424603"/>
      <w:bookmarkStart w:id="92" w:name="_Toc30114"/>
      <w:bookmarkStart w:id="93" w:name="_Toc19576"/>
      <w:bookmarkStart w:id="94" w:name="_Toc20324"/>
      <w:bookmarkStart w:id="95" w:name="_Toc17689"/>
      <w:r>
        <w:rPr>
          <w:rFonts w:hint="eastAsia"/>
          <w:b w:val="0"/>
          <w:bCs w:val="0"/>
        </w:rPr>
        <w:t>四、</w:t>
      </w:r>
      <w:bookmarkEnd w:id="84"/>
      <w:bookmarkEnd w:id="85"/>
      <w:bookmarkEnd w:id="86"/>
      <w:bookmarkEnd w:id="87"/>
      <w:bookmarkEnd w:id="88"/>
      <w:bookmarkEnd w:id="89"/>
      <w:bookmarkEnd w:id="90"/>
      <w:bookmarkEnd w:id="91"/>
      <w:bookmarkEnd w:id="92"/>
      <w:bookmarkEnd w:id="93"/>
      <w:bookmarkEnd w:id="94"/>
      <w:r>
        <w:rPr>
          <w:rFonts w:hint="eastAsia"/>
          <w:b w:val="0"/>
          <w:bCs w:val="0"/>
        </w:rPr>
        <w:t>重点任务</w:t>
      </w:r>
      <w:bookmarkEnd w:id="95"/>
    </w:p>
    <w:p>
      <w:pPr>
        <w:pStyle w:val="4"/>
        <w:spacing w:before="156" w:after="156" w:line="560" w:lineRule="atLeast"/>
        <w:ind w:firstLine="640" w:firstLineChars="200"/>
        <w:rPr>
          <w:rFonts w:ascii="楷体" w:hAnsi="楷体" w:eastAsia="楷体" w:cs="楷体"/>
          <w:b w:val="0"/>
          <w:bCs w:val="0"/>
        </w:rPr>
      </w:pPr>
      <w:bookmarkStart w:id="96" w:name="_Toc17867"/>
      <w:r>
        <w:rPr>
          <w:rFonts w:hint="eastAsia" w:ascii="楷体" w:hAnsi="楷体" w:eastAsia="楷体" w:cs="楷体"/>
          <w:b w:val="0"/>
          <w:bCs w:val="0"/>
        </w:rPr>
        <w:t>（一）产业创导，聚力打造六大特色产业链</w:t>
      </w:r>
      <w:bookmarkEnd w:id="96"/>
    </w:p>
    <w:p>
      <w:pPr>
        <w:spacing w:line="560" w:lineRule="atLeast"/>
        <w:ind w:firstLine="640"/>
        <w:rPr>
          <w:rFonts w:ascii="仿宋" w:hAnsi="仿宋" w:eastAsia="仿宋" w:cs="仿宋"/>
        </w:rPr>
      </w:pPr>
      <w:r>
        <w:rPr>
          <w:rFonts w:hint="eastAsia" w:ascii="仿宋" w:hAnsi="仿宋" w:eastAsia="仿宋" w:cs="仿宋"/>
        </w:rPr>
        <w:t>依托汕尾市独特的海洋资源优势与丰富渔业资源禀赋，构建以海水鱼类、藻类、牡蛎、对虾、青蟹、饲料营养为核心的6条特色产业链并实现全产业链全域创新融合发展，从渔业种业、养殖品系、养殖方式等多层结构上全面完善养殖产业基础建设内容。</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1.构建“海水鱼类产业链”，实现长链制相互促进发展</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鼓励在进一步提升现有海水鱼类种养捕捞的养殖基础上，上游通过引进新型育种、养殖等新兴技术，向选种育苗、种质改良等渔业养殖方向发展；下游通过科研技术、金融、科技等产业进行融合，向渔业科技、金融服务、技术推广等相关产业方向延伸发展；从横向着力扩展海水鱼类产业链的宽度，向水产品加工、水产流通、仓储运输、休闲渔业方向拓展，实现海水鱼类养殖充分与一二三产业相互融合，构建汕尾海水鱼类全产业链。</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2.构建“藻类产业链”，实现独特藻类精链制优势发展</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鼓励利用海藻资源大力发展汕尾海藻产业，在推进藻类养殖产业标准化生产和采作的基础上，拓展和延伸藻类产业链。在纵向上可利用藻类的生态、科研等价值，上游可向藻类增殖、诱变育种、藻种筛选等发展；下游可向渔业科技、金融服务、技术推广等发展；在横向上可利用藻类的营养价值、科普观赏等价值，着力扩展产业链的宽度，向营养水产品加工仓储流通、休闲渔业等方向拓展，构建汕尾藻类全产业链。</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3.构建“牡蛎产业链”，实现独特牡蛎强链制特色发展</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鼓励利用牡蛎养殖资源打造牡蛎特色优品产业链，在现有的牡蛎养殖基础上，通过嫁接技术培育、产品加工流通、休闲渔业等内涵，拓宽和延伸牡蛎产业与一二三产业纵深融合发展。拓展牡蛎纵向产业链，上游延伸至牡蛎养殖、育种、增殖等渔业养殖提质增效方向发展，下游延伸至渔业科技、金融服务、技术推广等层面融合发展；深化牡蛎横向产业链，以扩展产业链的宽度为着力点，向以水产加工、水产品流通、仓储运输为主，休闲渔业等为辅的形式拓展，构建汕尾牡蛎全产业链。</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4.构建“对虾产业链”，实现独特对虾拓链制差异发展</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鼓励利用对虾养殖资源打造特色鲜明、价优质优的对虾产业，扩大汕尾对虾产业市场占有率。推动对虾产业养殖基地提档升级，实现标准化生产、优品培育、特色加工的基础上，深化对虾融合技术研发、休闲渔业等内涵，打造上下游及相关产业相互衔接、相互联结、相互促进的全产业链。上游向对虾养殖、育种等产业发展，下游向渔业科技、金融服务、技术推广等相关产业发展，并向水产品加工、水产流通渠道、仓储运输方式、休闲渔业等产业方向深拓发展，加快实现对虾产业上下游联动、相关产业加持，构建汕尾对虾全产业链。</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5.构建“青蟹产业链”，实现独特青蟹长链制创新发展</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以现状产业为依托，在现有从蟹苗培育、养殖、加工到市场网络、饲料等单薄单一产业链基础上，融合渔业科研、休闲渔业等内涵，拓展育苗、加工、销售、商贸、投资、休闲度假等相互衔接、相互联结、相互促进的现代化全产业链。上游利用青蟹渔业价值延伸向选优育种、增产养殖等发展，下游依托青蟹附属价值向科技渔业、金融服务、技术推广等发展；依托青蟹食用、营养、观赏等价值，向水产精深加工、水产产销流通、休闲娱乐等拓展，加快实现青蟹全产业链发展。</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6.构建“饲料营养产业链”，实现饲料补链制健全发展</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依据国家产业政策资源，科研创新产业扶持政策，整合现有各饲料加工厂，引入创新饲料及营养型新型研发机构及拳头项目。围绕海洋渔业营养构建多复合营养类饲料加工生产体系，形成以渔业饲料加工为主导，饲料加工产业与一二三产融合的全产业链。上游向水产养殖、禽畜养殖等养殖业方向高效发展，下游与渔业科技、技术推广等方向互融互创发展；利用渔业品种品系多价值效能，拓展饲料加工、流通、仓储等方向，深化渔业饲料加工全产业链在渔业养殖加工的辅助效用，构建饲料营养产业集群。</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7</w:t>
      </w:r>
      <w:r>
        <w:rPr>
          <w:rFonts w:ascii="仿宋" w:hAnsi="仿宋" w:eastAsia="仿宋" w:cs="仿宋"/>
          <w:b w:val="0"/>
          <w:bCs w:val="0"/>
        </w:rPr>
        <w:t>.</w:t>
      </w:r>
      <w:r>
        <w:rPr>
          <w:rFonts w:hint="eastAsia" w:ascii="仿宋" w:hAnsi="仿宋" w:eastAsia="仿宋" w:cs="仿宋"/>
          <w:b w:val="0"/>
          <w:bCs w:val="0"/>
        </w:rPr>
        <w:t>构建“渔业基础建设”，全面推动绿色创新高质量发展</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（1）构建渔业种业工程</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选择藻类、贝类、鱼类中部分本地优势产品品类，重点推动种质资源保护利用项目、育种创新项目、品种测试项目、制（繁）种基地项目等构建渔业种业工程，支持新型研发机构入驻汕尾发展渔业种业事业，构建渔业种业基地、保育基地以及良种场等渔业种业工程示范园区基地。</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（2）构筑养殖品系结构</w:t>
      </w:r>
    </w:p>
    <w:p>
      <w:pPr>
        <w:pStyle w:val="5"/>
        <w:spacing w:line="560" w:lineRule="atLeast"/>
        <w:ind w:firstLine="640"/>
      </w:pPr>
      <w:r>
        <w:rPr>
          <w:rFonts w:hint="eastAsia" w:ascii="仿宋" w:hAnsi="仿宋" w:eastAsia="仿宋" w:cs="仿宋"/>
          <w:b w:val="0"/>
          <w:bCs w:val="0"/>
        </w:rPr>
        <w:t>通过对汕尾市海洋渔业的发展现状、海洋环境条件、现状养殖品种及养殖规模、市场需求等方面的判别，选择适合未来发展的品种，全面构建形成以贝类、鱼类、甲壳类、藻类以及其他类五品类体系和主导品系、辅助品系、特色品系三层次结构全面发展的创新品系格局。</w:t>
      </w:r>
    </w:p>
    <w:p>
      <w:pPr>
        <w:pStyle w:val="2"/>
        <w:spacing w:line="560" w:lineRule="atLeast"/>
        <w:jc w:val="center"/>
        <w:rPr>
          <w:rFonts w:ascii="黑体" w:hAnsi="黑体" w:eastAsia="黑体" w:cs="黑体"/>
          <w:b w:val="0"/>
          <w:bCs w:val="0"/>
          <w:sz w:val="28"/>
        </w:rPr>
      </w:pPr>
      <w:r>
        <w:rPr>
          <w:rFonts w:hint="eastAsia" w:ascii="黑体" w:hAnsi="黑体" w:eastAsia="黑体" w:cs="黑体"/>
          <w:b w:val="0"/>
          <w:bCs w:val="0"/>
          <w:sz w:val="28"/>
        </w:rPr>
        <w:t>表5-1 三级海洋养殖品系表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1"/>
        <w:gridCol w:w="1634"/>
        <w:gridCol w:w="2242"/>
        <w:gridCol w:w="1175"/>
        <w:gridCol w:w="1125"/>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431" w:type="dxa"/>
            <w:vAlign w:val="center"/>
          </w:tcPr>
          <w:p>
            <w:pPr>
              <w:snapToGrid w:val="0"/>
              <w:spacing w:line="240" w:lineRule="auto"/>
              <w:ind w:firstLine="0" w:firstLineChars="0"/>
              <w:jc w:val="center"/>
              <w:rPr>
                <w:rFonts w:ascii="黑体" w:hAnsi="黑体" w:eastAsia="黑体" w:cs="黑体"/>
                <w:sz w:val="28"/>
                <w:szCs w:val="28"/>
              </w:rPr>
            </w:pPr>
            <w:r>
              <w:rPr>
                <w:rFonts w:hint="eastAsia" w:ascii="黑体" w:hAnsi="黑体" w:eastAsia="黑体" w:cs="黑体"/>
                <w:sz w:val="28"/>
                <w:szCs w:val="28"/>
              </w:rPr>
              <w:t>品系品类</w:t>
            </w:r>
          </w:p>
        </w:tc>
        <w:tc>
          <w:tcPr>
            <w:tcW w:w="1634" w:type="dxa"/>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贝类</w:t>
            </w:r>
          </w:p>
        </w:tc>
        <w:tc>
          <w:tcPr>
            <w:tcW w:w="2242" w:type="dxa"/>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鱼类</w:t>
            </w:r>
          </w:p>
        </w:tc>
        <w:tc>
          <w:tcPr>
            <w:tcW w:w="1175" w:type="dxa"/>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甲壳类</w:t>
            </w:r>
          </w:p>
        </w:tc>
        <w:tc>
          <w:tcPr>
            <w:tcW w:w="1125" w:type="dxa"/>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藻类</w:t>
            </w:r>
          </w:p>
        </w:tc>
        <w:tc>
          <w:tcPr>
            <w:tcW w:w="1210" w:type="dxa"/>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其他类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1431" w:type="dxa"/>
            <w:vAlign w:val="center"/>
          </w:tcPr>
          <w:p>
            <w:pPr>
              <w:snapToGrid w:val="0"/>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主导品系</w:t>
            </w:r>
          </w:p>
        </w:tc>
        <w:tc>
          <w:tcPr>
            <w:tcW w:w="1634" w:type="dxa"/>
          </w:tcPr>
          <w:p>
            <w:pPr>
              <w:spacing w:line="560" w:lineRule="atLeast"/>
              <w:ind w:firstLine="0" w:firstLineChars="0"/>
              <w:rPr>
                <w:rFonts w:ascii="仿宋" w:hAnsi="仿宋" w:eastAsia="仿宋" w:cs="仿宋"/>
                <w:sz w:val="28"/>
                <w:szCs w:val="28"/>
              </w:rPr>
            </w:pPr>
            <w:r>
              <w:rPr>
                <w:rFonts w:hint="eastAsia" w:ascii="仿宋" w:hAnsi="仿宋" w:eastAsia="仿宋" w:cs="仿宋"/>
                <w:sz w:val="28"/>
                <w:szCs w:val="28"/>
              </w:rPr>
              <w:t>鲍鱼、牡蛎、蛏</w:t>
            </w:r>
          </w:p>
        </w:tc>
        <w:tc>
          <w:tcPr>
            <w:tcW w:w="2242" w:type="dxa"/>
          </w:tcPr>
          <w:p>
            <w:pPr>
              <w:spacing w:line="560" w:lineRule="atLeast"/>
              <w:ind w:firstLine="0" w:firstLineChars="0"/>
              <w:rPr>
                <w:rFonts w:ascii="仿宋" w:hAnsi="仿宋" w:eastAsia="仿宋" w:cs="仿宋"/>
                <w:sz w:val="28"/>
                <w:szCs w:val="28"/>
              </w:rPr>
            </w:pPr>
            <w:r>
              <w:rPr>
                <w:rFonts w:hint="eastAsia" w:ascii="仿宋" w:hAnsi="仿宋" w:eastAsia="仿宋" w:cs="仿宋"/>
                <w:sz w:val="28"/>
                <w:szCs w:val="28"/>
              </w:rPr>
              <w:t>石斑鱼、海鲈鱼</w:t>
            </w:r>
          </w:p>
        </w:tc>
        <w:tc>
          <w:tcPr>
            <w:tcW w:w="1175" w:type="dxa"/>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对虾、青蟹</w:t>
            </w:r>
          </w:p>
        </w:tc>
        <w:tc>
          <w:tcPr>
            <w:tcW w:w="1125" w:type="dxa"/>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紫菜</w:t>
            </w:r>
          </w:p>
        </w:tc>
        <w:tc>
          <w:tcPr>
            <w:tcW w:w="1210" w:type="dxa"/>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1431" w:type="dxa"/>
            <w:vAlign w:val="center"/>
          </w:tcPr>
          <w:p>
            <w:pPr>
              <w:snapToGrid w:val="0"/>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辅助品系</w:t>
            </w:r>
          </w:p>
        </w:tc>
        <w:tc>
          <w:tcPr>
            <w:tcW w:w="1634" w:type="dxa"/>
          </w:tcPr>
          <w:p>
            <w:pPr>
              <w:spacing w:line="560" w:lineRule="atLeast"/>
              <w:ind w:firstLine="0" w:firstLineChars="0"/>
              <w:rPr>
                <w:rFonts w:ascii="仿宋" w:hAnsi="仿宋" w:eastAsia="仿宋" w:cs="仿宋"/>
                <w:sz w:val="28"/>
                <w:szCs w:val="28"/>
              </w:rPr>
            </w:pPr>
            <w:r>
              <w:rPr>
                <w:rFonts w:hint="eastAsia" w:ascii="仿宋" w:hAnsi="仿宋" w:eastAsia="仿宋" w:cs="仿宋"/>
                <w:sz w:val="28"/>
                <w:szCs w:val="28"/>
              </w:rPr>
              <w:t>贻贝、蛤蜊、扇贝、泥蚶</w:t>
            </w:r>
          </w:p>
        </w:tc>
        <w:tc>
          <w:tcPr>
            <w:tcW w:w="2242" w:type="dxa"/>
          </w:tcPr>
          <w:p>
            <w:pPr>
              <w:spacing w:line="560" w:lineRule="atLeast"/>
              <w:ind w:firstLine="0" w:firstLineChars="0"/>
              <w:rPr>
                <w:rFonts w:ascii="仿宋" w:hAnsi="仿宋" w:eastAsia="仿宋" w:cs="仿宋"/>
                <w:sz w:val="28"/>
                <w:szCs w:val="28"/>
              </w:rPr>
            </w:pPr>
            <w:r>
              <w:rPr>
                <w:rFonts w:hint="eastAsia" w:ascii="仿宋" w:hAnsi="仿宋" w:eastAsia="仿宋" w:cs="仿宋"/>
                <w:sz w:val="28"/>
                <w:szCs w:val="28"/>
              </w:rPr>
              <w:t>美国红鱼、大黄鱼、鳜鱼、卵形鲳鲹</w:t>
            </w:r>
          </w:p>
        </w:tc>
        <w:tc>
          <w:tcPr>
            <w:tcW w:w="1175" w:type="dxa"/>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w:t>
            </w:r>
          </w:p>
        </w:tc>
        <w:tc>
          <w:tcPr>
            <w:tcW w:w="1125" w:type="dxa"/>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江蓠、海带</w:t>
            </w:r>
          </w:p>
        </w:tc>
        <w:tc>
          <w:tcPr>
            <w:tcW w:w="1210" w:type="dxa"/>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431" w:type="dxa"/>
            <w:vAlign w:val="center"/>
          </w:tcPr>
          <w:p>
            <w:pPr>
              <w:snapToGrid w:val="0"/>
              <w:spacing w:line="240" w:lineRule="auto"/>
              <w:ind w:firstLine="0" w:firstLineChars="0"/>
              <w:jc w:val="center"/>
              <w:rPr>
                <w:rFonts w:ascii="黑体" w:hAnsi="黑体" w:eastAsia="黑体" w:cs="黑体"/>
                <w:sz w:val="28"/>
                <w:szCs w:val="28"/>
              </w:rPr>
            </w:pPr>
            <w:r>
              <w:rPr>
                <w:rFonts w:hint="eastAsia" w:ascii="黑体" w:hAnsi="黑体" w:eastAsia="黑体" w:cs="黑体"/>
                <w:sz w:val="28"/>
                <w:szCs w:val="28"/>
              </w:rPr>
              <w:t>特色品系</w:t>
            </w:r>
          </w:p>
        </w:tc>
        <w:tc>
          <w:tcPr>
            <w:tcW w:w="1634" w:type="dxa"/>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w:t>
            </w:r>
          </w:p>
        </w:tc>
        <w:tc>
          <w:tcPr>
            <w:tcW w:w="2242" w:type="dxa"/>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海马</w:t>
            </w:r>
          </w:p>
        </w:tc>
        <w:tc>
          <w:tcPr>
            <w:tcW w:w="1175" w:type="dxa"/>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w:t>
            </w:r>
          </w:p>
        </w:tc>
        <w:tc>
          <w:tcPr>
            <w:tcW w:w="1125" w:type="dxa"/>
            <w:vAlign w:val="center"/>
          </w:tcPr>
          <w:p>
            <w:pPr>
              <w:spacing w:line="240" w:lineRule="auto"/>
              <w:ind w:firstLine="0" w:firstLineChars="0"/>
              <w:jc w:val="center"/>
              <w:rPr>
                <w:rFonts w:ascii="仿宋" w:hAnsi="仿宋" w:eastAsia="仿宋" w:cs="仿宋"/>
                <w:sz w:val="28"/>
                <w:szCs w:val="28"/>
              </w:rPr>
            </w:pPr>
          </w:p>
        </w:tc>
        <w:tc>
          <w:tcPr>
            <w:tcW w:w="1210" w:type="dxa"/>
            <w:vAlign w:val="center"/>
          </w:tcPr>
          <w:p>
            <w:pPr>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海胆</w:t>
            </w:r>
          </w:p>
        </w:tc>
      </w:tr>
    </w:tbl>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（3）创新渔业养殖方式</w:t>
      </w:r>
    </w:p>
    <w:p>
      <w:pPr>
        <w:spacing w:line="560" w:lineRule="atLeast"/>
        <w:ind w:firstLine="640"/>
        <w:rPr>
          <w:rFonts w:ascii="仿宋" w:hAnsi="仿宋" w:eastAsia="仿宋" w:cs="仿宋"/>
        </w:rPr>
      </w:pPr>
      <w:r>
        <w:rPr>
          <w:rFonts w:hint="eastAsia" w:ascii="仿宋" w:hAnsi="仿宋" w:eastAsia="仿宋" w:cs="仿宋"/>
        </w:rPr>
        <w:t>结合汕尾市现状，通过汕尾市海洋的水文、地形环境、未来渔业养殖品系、现代渔业发展政策等方面的判别，选择适合未来渔业发展的养殖方式，并将其划分为传统养殖方式和新型养殖方式两大类，细分为底播式、投礁式、吊笼式、插杆式和田园式、游钓式、装备式、驯化式等八种细分类的全方位生产发展方式。</w:t>
      </w:r>
    </w:p>
    <w:p>
      <w:pPr>
        <w:pStyle w:val="2"/>
        <w:spacing w:line="560" w:lineRule="atLeast"/>
        <w:jc w:val="center"/>
        <w:rPr>
          <w:rFonts w:ascii="黑体" w:hAnsi="黑体" w:eastAsia="黑体" w:cs="黑体"/>
          <w:b w:val="0"/>
          <w:bCs w:val="0"/>
          <w:sz w:val="28"/>
        </w:rPr>
      </w:pPr>
      <w:r>
        <w:rPr>
          <w:rFonts w:hint="eastAsia" w:ascii="黑体" w:hAnsi="黑体" w:eastAsia="黑体" w:cs="黑体"/>
          <w:b w:val="0"/>
          <w:bCs w:val="0"/>
          <w:sz w:val="28"/>
        </w:rPr>
        <w:t>表5-2 养殖方式及适宜用海区域表</w:t>
      </w:r>
    </w:p>
    <w:tbl>
      <w:tblPr>
        <w:tblStyle w:val="14"/>
        <w:tblW w:w="885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204"/>
        <w:gridCol w:w="6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072" w:type="dxa"/>
            <w:gridSpan w:val="2"/>
            <w:shd w:val="clear" w:color="auto" w:fill="auto"/>
            <w:noWrap/>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养殖方式</w:t>
            </w:r>
          </w:p>
        </w:tc>
        <w:tc>
          <w:tcPr>
            <w:tcW w:w="6787" w:type="dxa"/>
            <w:shd w:val="clear" w:color="auto" w:fill="auto"/>
            <w:noWrap/>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适宜用海区域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868" w:type="dxa"/>
            <w:vMerge w:val="restart"/>
            <w:shd w:val="clear" w:color="auto" w:fill="auto"/>
            <w:noWrap/>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传统养殖方式</w:t>
            </w:r>
          </w:p>
        </w:tc>
        <w:tc>
          <w:tcPr>
            <w:tcW w:w="1204" w:type="dxa"/>
            <w:shd w:val="clear" w:color="auto" w:fill="auto"/>
            <w:noWrap/>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底播式</w:t>
            </w:r>
          </w:p>
        </w:tc>
        <w:tc>
          <w:tcPr>
            <w:tcW w:w="6787" w:type="dxa"/>
            <w:shd w:val="clear" w:color="auto" w:fill="auto"/>
            <w:noWrap/>
            <w:vAlign w:val="center"/>
          </w:tcPr>
          <w:p>
            <w:pPr>
              <w:spacing w:line="560" w:lineRule="atLeast"/>
              <w:ind w:firstLine="0" w:firstLineChars="0"/>
              <w:rPr>
                <w:rFonts w:ascii="仿宋" w:hAnsi="仿宋" w:eastAsia="仿宋" w:cs="仿宋"/>
                <w:sz w:val="28"/>
                <w:szCs w:val="28"/>
              </w:rPr>
            </w:pPr>
            <w:r>
              <w:rPr>
                <w:rFonts w:hint="eastAsia" w:ascii="仿宋" w:hAnsi="仿宋" w:eastAsia="仿宋" w:cs="仿宋"/>
                <w:sz w:val="28"/>
                <w:szCs w:val="28"/>
              </w:rPr>
              <w:t>主要适宜于资源管护、养护，底质一般为泥沙底，水流畅通、水质清澈、饵料丰富的海域。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68" w:type="dxa"/>
            <w:vMerge w:val="continue"/>
            <w:shd w:val="clear" w:color="auto" w:fill="auto"/>
            <w:noWrap/>
            <w:vAlign w:val="center"/>
          </w:tcPr>
          <w:p>
            <w:pPr>
              <w:spacing w:line="560" w:lineRule="atLeast"/>
              <w:ind w:firstLine="0" w:firstLineChars="0"/>
              <w:jc w:val="center"/>
              <w:rPr>
                <w:rFonts w:ascii="黑体" w:hAnsi="黑体" w:eastAsia="黑体" w:cs="黑体"/>
                <w:sz w:val="28"/>
                <w:szCs w:val="28"/>
              </w:rPr>
            </w:pPr>
          </w:p>
        </w:tc>
        <w:tc>
          <w:tcPr>
            <w:tcW w:w="1204" w:type="dxa"/>
            <w:shd w:val="clear" w:color="auto" w:fill="auto"/>
            <w:noWrap/>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投礁式</w:t>
            </w:r>
          </w:p>
        </w:tc>
        <w:tc>
          <w:tcPr>
            <w:tcW w:w="6787" w:type="dxa"/>
            <w:shd w:val="clear" w:color="auto" w:fill="auto"/>
            <w:noWrap/>
            <w:vAlign w:val="center"/>
          </w:tcPr>
          <w:p>
            <w:pPr>
              <w:spacing w:line="560" w:lineRule="atLeast"/>
              <w:ind w:firstLine="0" w:firstLineChars="0"/>
              <w:rPr>
                <w:rFonts w:ascii="仿宋" w:hAnsi="仿宋" w:eastAsia="仿宋" w:cs="仿宋"/>
                <w:sz w:val="28"/>
                <w:szCs w:val="28"/>
              </w:rPr>
            </w:pPr>
            <w:r>
              <w:rPr>
                <w:rFonts w:hint="eastAsia" w:ascii="仿宋" w:hAnsi="仿宋" w:eastAsia="仿宋" w:cs="仿宋"/>
                <w:sz w:val="28"/>
                <w:szCs w:val="28"/>
              </w:rPr>
              <w:t>主要适宜于资源管护、养护等海湾、岛礁和开放海域。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868" w:type="dxa"/>
            <w:vMerge w:val="continue"/>
            <w:shd w:val="clear" w:color="auto" w:fill="auto"/>
            <w:noWrap/>
            <w:vAlign w:val="center"/>
          </w:tcPr>
          <w:p>
            <w:pPr>
              <w:spacing w:line="560" w:lineRule="atLeast"/>
              <w:ind w:firstLine="0" w:firstLineChars="0"/>
              <w:jc w:val="center"/>
              <w:rPr>
                <w:rFonts w:ascii="黑体" w:hAnsi="黑体" w:eastAsia="黑体" w:cs="黑体"/>
                <w:sz w:val="28"/>
                <w:szCs w:val="28"/>
              </w:rPr>
            </w:pPr>
          </w:p>
        </w:tc>
        <w:tc>
          <w:tcPr>
            <w:tcW w:w="1204" w:type="dxa"/>
            <w:shd w:val="clear" w:color="auto" w:fill="auto"/>
            <w:noWrap/>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吊笼式</w:t>
            </w:r>
          </w:p>
        </w:tc>
        <w:tc>
          <w:tcPr>
            <w:tcW w:w="6787" w:type="dxa"/>
            <w:shd w:val="clear" w:color="auto" w:fill="auto"/>
            <w:noWrap/>
            <w:vAlign w:val="center"/>
          </w:tcPr>
          <w:p>
            <w:pPr>
              <w:spacing w:line="560" w:lineRule="atLeast"/>
              <w:ind w:firstLine="0" w:firstLineChars="0"/>
              <w:rPr>
                <w:rFonts w:ascii="仿宋" w:hAnsi="仿宋" w:eastAsia="仿宋" w:cs="仿宋"/>
                <w:sz w:val="28"/>
                <w:szCs w:val="28"/>
              </w:rPr>
            </w:pPr>
            <w:r>
              <w:rPr>
                <w:rFonts w:hint="eastAsia" w:ascii="仿宋" w:hAnsi="仿宋" w:eastAsia="仿宋" w:cs="仿宋"/>
                <w:sz w:val="28"/>
                <w:szCs w:val="28"/>
              </w:rPr>
              <w:t>主要适宜于水动能较好且具有区域自我清洁能力的水深&lt;10米的海域。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868" w:type="dxa"/>
            <w:vMerge w:val="continue"/>
            <w:shd w:val="clear" w:color="auto" w:fill="auto"/>
            <w:noWrap/>
            <w:vAlign w:val="center"/>
          </w:tcPr>
          <w:p>
            <w:pPr>
              <w:spacing w:line="560" w:lineRule="atLeast"/>
              <w:ind w:firstLine="0" w:firstLineChars="0"/>
              <w:jc w:val="center"/>
              <w:rPr>
                <w:rFonts w:ascii="黑体" w:hAnsi="黑体" w:eastAsia="黑体" w:cs="黑体"/>
                <w:sz w:val="28"/>
                <w:szCs w:val="28"/>
              </w:rPr>
            </w:pPr>
          </w:p>
        </w:tc>
        <w:tc>
          <w:tcPr>
            <w:tcW w:w="1204" w:type="dxa"/>
            <w:shd w:val="clear" w:color="auto" w:fill="auto"/>
            <w:noWrap/>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插杆式</w:t>
            </w:r>
          </w:p>
        </w:tc>
        <w:tc>
          <w:tcPr>
            <w:tcW w:w="6787" w:type="dxa"/>
            <w:shd w:val="clear" w:color="auto" w:fill="auto"/>
            <w:noWrap/>
            <w:vAlign w:val="center"/>
          </w:tcPr>
          <w:p>
            <w:pPr>
              <w:spacing w:line="560" w:lineRule="atLeast"/>
              <w:ind w:firstLine="0" w:firstLineChars="0"/>
              <w:rPr>
                <w:rFonts w:ascii="仿宋" w:hAnsi="仿宋" w:eastAsia="仿宋" w:cs="仿宋"/>
                <w:sz w:val="28"/>
                <w:szCs w:val="28"/>
              </w:rPr>
            </w:pPr>
            <w:r>
              <w:rPr>
                <w:rFonts w:hint="eastAsia" w:ascii="仿宋" w:hAnsi="仿宋" w:eastAsia="仿宋" w:cs="仿宋"/>
                <w:sz w:val="28"/>
                <w:szCs w:val="28"/>
              </w:rPr>
              <w:t>主要适宜于浪平静、流速缓慢、有淡水流入、软泥或泥沙底质的内湾。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868" w:type="dxa"/>
            <w:vMerge w:val="restart"/>
            <w:shd w:val="clear" w:color="auto" w:fill="auto"/>
            <w:noWrap/>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新型养殖方式</w:t>
            </w:r>
          </w:p>
        </w:tc>
        <w:tc>
          <w:tcPr>
            <w:tcW w:w="1204" w:type="dxa"/>
            <w:shd w:val="clear" w:color="auto" w:fill="auto"/>
            <w:noWrap/>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田园式</w:t>
            </w:r>
          </w:p>
        </w:tc>
        <w:tc>
          <w:tcPr>
            <w:tcW w:w="6787" w:type="dxa"/>
            <w:shd w:val="clear" w:color="auto" w:fill="auto"/>
            <w:noWrap/>
            <w:vAlign w:val="center"/>
          </w:tcPr>
          <w:p>
            <w:pPr>
              <w:spacing w:line="560" w:lineRule="atLeast"/>
              <w:ind w:firstLine="0" w:firstLineChars="0"/>
              <w:rPr>
                <w:rFonts w:ascii="仿宋" w:hAnsi="仿宋" w:eastAsia="仿宋" w:cs="仿宋"/>
                <w:sz w:val="28"/>
                <w:szCs w:val="28"/>
              </w:rPr>
            </w:pPr>
            <w:r>
              <w:rPr>
                <w:rFonts w:hint="eastAsia" w:ascii="仿宋" w:hAnsi="仿宋" w:eastAsia="仿宋" w:cs="仿宋"/>
                <w:sz w:val="28"/>
                <w:szCs w:val="28"/>
              </w:rPr>
              <w:t>主要适宜于具有旅游资源，且海洋流、风流较少的海湾及其毗连领海基线内的海域。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868" w:type="dxa"/>
            <w:vMerge w:val="continue"/>
            <w:shd w:val="clear" w:color="auto" w:fill="auto"/>
            <w:noWrap/>
            <w:vAlign w:val="center"/>
          </w:tcPr>
          <w:p>
            <w:pPr>
              <w:spacing w:line="560" w:lineRule="atLeast"/>
              <w:ind w:firstLine="0" w:firstLineChars="0"/>
              <w:jc w:val="center"/>
              <w:rPr>
                <w:rFonts w:ascii="黑体" w:hAnsi="黑体" w:eastAsia="黑体" w:cs="黑体"/>
                <w:sz w:val="28"/>
                <w:szCs w:val="28"/>
              </w:rPr>
            </w:pPr>
          </w:p>
        </w:tc>
        <w:tc>
          <w:tcPr>
            <w:tcW w:w="1204" w:type="dxa"/>
            <w:shd w:val="clear" w:color="auto" w:fill="auto"/>
            <w:noWrap/>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游钓式</w:t>
            </w:r>
          </w:p>
        </w:tc>
        <w:tc>
          <w:tcPr>
            <w:tcW w:w="6787" w:type="dxa"/>
            <w:shd w:val="clear" w:color="auto" w:fill="auto"/>
            <w:noWrap/>
            <w:vAlign w:val="center"/>
          </w:tcPr>
          <w:p>
            <w:pPr>
              <w:spacing w:line="560" w:lineRule="atLeast"/>
              <w:ind w:firstLine="0" w:firstLineChars="0"/>
              <w:rPr>
                <w:rFonts w:ascii="仿宋" w:hAnsi="仿宋" w:eastAsia="仿宋" w:cs="仿宋"/>
                <w:sz w:val="28"/>
                <w:szCs w:val="28"/>
              </w:rPr>
            </w:pPr>
            <w:r>
              <w:rPr>
                <w:rFonts w:hint="eastAsia" w:ascii="仿宋" w:hAnsi="仿宋" w:eastAsia="仿宋" w:cs="仿宋"/>
                <w:sz w:val="28"/>
                <w:szCs w:val="28"/>
              </w:rPr>
              <w:t>主要适宜于人类休闲渔业娱乐活动及赛事安全出行活动的海湾、岛礁和开放海域。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868" w:type="dxa"/>
            <w:vMerge w:val="continue"/>
            <w:shd w:val="clear" w:color="auto" w:fill="auto"/>
            <w:noWrap/>
            <w:vAlign w:val="center"/>
          </w:tcPr>
          <w:p>
            <w:pPr>
              <w:spacing w:line="560" w:lineRule="atLeast"/>
              <w:ind w:firstLine="0" w:firstLineChars="0"/>
              <w:jc w:val="center"/>
              <w:rPr>
                <w:rFonts w:ascii="黑体" w:hAnsi="黑体" w:eastAsia="黑体" w:cs="黑体"/>
                <w:sz w:val="28"/>
                <w:szCs w:val="28"/>
              </w:rPr>
            </w:pPr>
          </w:p>
        </w:tc>
        <w:tc>
          <w:tcPr>
            <w:tcW w:w="1204" w:type="dxa"/>
            <w:shd w:val="clear" w:color="auto" w:fill="auto"/>
            <w:noWrap/>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装备式</w:t>
            </w:r>
          </w:p>
        </w:tc>
        <w:tc>
          <w:tcPr>
            <w:tcW w:w="6787" w:type="dxa"/>
            <w:shd w:val="clear" w:color="auto" w:fill="auto"/>
            <w:noWrap/>
            <w:vAlign w:val="center"/>
          </w:tcPr>
          <w:p>
            <w:pPr>
              <w:spacing w:line="560" w:lineRule="atLeast"/>
              <w:ind w:firstLine="0" w:firstLineChars="0"/>
              <w:rPr>
                <w:rFonts w:ascii="仿宋" w:hAnsi="仿宋" w:eastAsia="仿宋" w:cs="仿宋"/>
                <w:sz w:val="28"/>
                <w:szCs w:val="28"/>
              </w:rPr>
            </w:pPr>
            <w:r>
              <w:rPr>
                <w:rFonts w:hint="eastAsia" w:ascii="仿宋" w:hAnsi="仿宋" w:eastAsia="仿宋" w:cs="仿宋"/>
                <w:sz w:val="28"/>
                <w:szCs w:val="28"/>
              </w:rPr>
              <w:t>主要适宜海域水深较深领域，具有从浅蓝向深蓝开发供给承载服务功能的开放海域（水深宜&gt;10米）。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868" w:type="dxa"/>
            <w:vMerge w:val="continue"/>
            <w:shd w:val="clear" w:color="auto" w:fill="auto"/>
            <w:noWrap/>
            <w:vAlign w:val="center"/>
          </w:tcPr>
          <w:p>
            <w:pPr>
              <w:spacing w:line="560" w:lineRule="atLeast"/>
              <w:ind w:firstLine="0" w:firstLineChars="0"/>
              <w:jc w:val="center"/>
              <w:rPr>
                <w:rFonts w:ascii="黑体" w:hAnsi="黑体" w:eastAsia="黑体" w:cs="黑体"/>
                <w:sz w:val="28"/>
                <w:szCs w:val="28"/>
              </w:rPr>
            </w:pPr>
          </w:p>
        </w:tc>
        <w:tc>
          <w:tcPr>
            <w:tcW w:w="1204" w:type="dxa"/>
            <w:shd w:val="clear" w:color="auto" w:fill="auto"/>
            <w:noWrap/>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驯化式</w:t>
            </w:r>
          </w:p>
        </w:tc>
        <w:tc>
          <w:tcPr>
            <w:tcW w:w="6787" w:type="dxa"/>
            <w:shd w:val="clear" w:color="auto" w:fill="auto"/>
            <w:noWrap/>
            <w:vAlign w:val="center"/>
          </w:tcPr>
          <w:p>
            <w:pPr>
              <w:spacing w:line="560" w:lineRule="atLeast"/>
              <w:ind w:firstLine="0" w:firstLineChars="0"/>
              <w:rPr>
                <w:rFonts w:ascii="仿宋" w:hAnsi="仿宋" w:eastAsia="仿宋" w:cs="仿宋"/>
                <w:sz w:val="28"/>
                <w:szCs w:val="28"/>
              </w:rPr>
            </w:pPr>
            <w:r>
              <w:rPr>
                <w:rFonts w:hint="eastAsia" w:ascii="仿宋" w:hAnsi="仿宋" w:eastAsia="仿宋" w:cs="仿宋"/>
                <w:sz w:val="28"/>
                <w:szCs w:val="28"/>
              </w:rPr>
              <w:t>主要适宜于在深海资源中，具有资源管护、养护，以及产业发展潜力的开放海域（水深宜&gt;10米）。</w:t>
            </w:r>
          </w:p>
        </w:tc>
      </w:tr>
    </w:tbl>
    <w:p>
      <w:pPr>
        <w:spacing w:line="560" w:lineRule="atLeast"/>
        <w:ind w:firstLine="0" w:firstLineChars="0"/>
      </w:pPr>
    </w:p>
    <w:p>
      <w:pPr>
        <w:pStyle w:val="4"/>
        <w:spacing w:before="156" w:after="156" w:line="560" w:lineRule="atLeast"/>
        <w:rPr>
          <w:rFonts w:ascii="楷体" w:hAnsi="楷体" w:eastAsia="楷体" w:cs="楷体"/>
          <w:b w:val="0"/>
          <w:bCs w:val="0"/>
        </w:rPr>
      </w:pPr>
      <w:bookmarkStart w:id="97" w:name="_Toc31460"/>
      <w:r>
        <w:rPr>
          <w:rFonts w:hint="eastAsia" w:ascii="楷体" w:hAnsi="楷体" w:eastAsia="楷体" w:cs="楷体"/>
          <w:b w:val="0"/>
          <w:bCs w:val="0"/>
        </w:rPr>
        <w:t>（二）用海创新，精细深耕高质量渔业空间</w:t>
      </w:r>
      <w:bookmarkEnd w:id="97"/>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1.创新渔业用海分类体系</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根据《国土空间调查、规划、用途管制用地用海分类指南》，以及国土空间规划、海洋生态红线、沿海经济带综合发展规划等相关规划空间布局指导及国土空间用地用海划分，在汕尾市增养殖用海上细分海洋渔业利用空间，确定海洋渔业一级用海功能分为三大类：禁养区、限养区、养殖区。二级用海功能分为五大类，其中，禁养区主要包括海洋生态保护类、渔业生态保护类等；限养区主要包括海洋资源管护类、渔业资源管护类等；养殖区主要包括海洋经济渔业类。三级用海功能划分为十大类，分别为海洋生态保护类、渔业生态保护类、海洋资源管护类、渔业资源管护类、共享渔业牧场类、休闲渔旅融合类、绿色生态养殖类、深水养殖产业类、能源混合利用类、岛礁融合发展类等。</w:t>
      </w:r>
    </w:p>
    <w:p>
      <w:pPr>
        <w:spacing w:line="560" w:lineRule="atLeast"/>
        <w:ind w:firstLine="0" w:firstLineChars="0"/>
        <w:jc w:val="center"/>
        <w:rPr>
          <w:rFonts w:ascii="仿宋" w:hAnsi="仿宋" w:eastAsia="仿宋" w:cs="仿宋"/>
          <w:b/>
          <w:bCs/>
          <w:sz w:val="24"/>
          <w:szCs w:val="20"/>
        </w:rPr>
      </w:pPr>
      <w:r>
        <w:rPr>
          <w:rFonts w:hint="eastAsia" w:ascii="黑体" w:hAnsi="黑体" w:eastAsia="黑体" w:cs="黑体"/>
          <w:sz w:val="28"/>
          <w:szCs w:val="28"/>
        </w:rPr>
        <w:t>表5-3 海洋渔业功能空间利用分类指引表</w:t>
      </w:r>
    </w:p>
    <w:tbl>
      <w:tblPr>
        <w:tblStyle w:val="14"/>
        <w:tblW w:w="8719" w:type="dxa"/>
        <w:tblInd w:w="93" w:type="dxa"/>
        <w:tblLayout w:type="fixed"/>
        <w:tblCellMar>
          <w:top w:w="0" w:type="dxa"/>
          <w:left w:w="108" w:type="dxa"/>
          <w:bottom w:w="0" w:type="dxa"/>
          <w:right w:w="108" w:type="dxa"/>
        </w:tblCellMar>
      </w:tblPr>
      <w:tblGrid>
        <w:gridCol w:w="749"/>
        <w:gridCol w:w="1799"/>
        <w:gridCol w:w="2955"/>
        <w:gridCol w:w="3216"/>
      </w:tblGrid>
      <w:tr>
        <w:tblPrEx>
          <w:tblCellMar>
            <w:top w:w="0" w:type="dxa"/>
            <w:left w:w="108" w:type="dxa"/>
            <w:bottom w:w="0" w:type="dxa"/>
            <w:right w:w="108" w:type="dxa"/>
          </w:tblCellMar>
        </w:tblPrEx>
        <w:trPr>
          <w:trHeight w:val="569" w:hRule="atLeast"/>
        </w:trPr>
        <w:tc>
          <w:tcPr>
            <w:tcW w:w="254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一级分类</w:t>
            </w:r>
          </w:p>
        </w:tc>
        <w:tc>
          <w:tcPr>
            <w:tcW w:w="295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二级分类</w:t>
            </w:r>
          </w:p>
        </w:tc>
        <w:tc>
          <w:tcPr>
            <w:tcW w:w="321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三级分类</w:t>
            </w:r>
          </w:p>
        </w:tc>
      </w:tr>
      <w:tr>
        <w:tblPrEx>
          <w:tblCellMar>
            <w:top w:w="0" w:type="dxa"/>
            <w:left w:w="108" w:type="dxa"/>
            <w:bottom w:w="0" w:type="dxa"/>
            <w:right w:w="108" w:type="dxa"/>
          </w:tblCellMar>
        </w:tblPrEx>
        <w:trPr>
          <w:trHeight w:val="390" w:hRule="atLeast"/>
        </w:trPr>
        <w:tc>
          <w:tcPr>
            <w:tcW w:w="749" w:type="dxa"/>
            <w:vMerge w:val="restart"/>
            <w:tcBorders>
              <w:top w:val="single" w:color="auto" w:sz="4" w:space="0"/>
              <w:left w:val="single" w:color="auto" w:sz="4" w:space="0"/>
              <w:right w:val="single" w:color="auto" w:sz="4" w:space="0"/>
            </w:tcBorders>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增养殖用海</w:t>
            </w:r>
          </w:p>
        </w:tc>
        <w:tc>
          <w:tcPr>
            <w:tcW w:w="1799" w:type="dxa"/>
            <w:vMerge w:val="restart"/>
            <w:tcBorders>
              <w:top w:val="single" w:color="auto" w:sz="4" w:space="0"/>
              <w:left w:val="single" w:color="auto" w:sz="4" w:space="0"/>
              <w:right w:val="single" w:color="auto" w:sz="4" w:space="0"/>
            </w:tcBorders>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禁养区</w:t>
            </w:r>
          </w:p>
        </w:tc>
        <w:tc>
          <w:tcPr>
            <w:tcW w:w="295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海洋生态保护类</w:t>
            </w:r>
          </w:p>
        </w:tc>
        <w:tc>
          <w:tcPr>
            <w:tcW w:w="321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海洋生态保护类</w:t>
            </w:r>
          </w:p>
        </w:tc>
      </w:tr>
      <w:tr>
        <w:tblPrEx>
          <w:tblCellMar>
            <w:top w:w="0" w:type="dxa"/>
            <w:left w:w="108" w:type="dxa"/>
            <w:bottom w:w="0" w:type="dxa"/>
            <w:right w:w="108" w:type="dxa"/>
          </w:tblCellMar>
        </w:tblPrEx>
        <w:trPr>
          <w:trHeight w:val="569" w:hRule="atLeast"/>
        </w:trPr>
        <w:tc>
          <w:tcPr>
            <w:tcW w:w="749" w:type="dxa"/>
            <w:vMerge w:val="continue"/>
            <w:tcBorders>
              <w:left w:val="single" w:color="auto" w:sz="4" w:space="0"/>
              <w:right w:val="single" w:color="auto" w:sz="4" w:space="0"/>
            </w:tcBorders>
            <w:shd w:val="clear" w:color="auto" w:fill="auto"/>
            <w:noWrap/>
            <w:vAlign w:val="center"/>
          </w:tcPr>
          <w:p>
            <w:pPr>
              <w:spacing w:line="560" w:lineRule="atLeast"/>
              <w:ind w:firstLine="0" w:firstLineChars="0"/>
              <w:rPr>
                <w:rFonts w:ascii="仿宋" w:hAnsi="仿宋" w:eastAsia="仿宋" w:cs="仿宋"/>
                <w:sz w:val="28"/>
                <w:szCs w:val="28"/>
              </w:rPr>
            </w:pPr>
          </w:p>
        </w:tc>
        <w:tc>
          <w:tcPr>
            <w:tcW w:w="1799" w:type="dxa"/>
            <w:vMerge w:val="continue"/>
            <w:tcBorders>
              <w:left w:val="single" w:color="auto" w:sz="4" w:space="0"/>
              <w:bottom w:val="single" w:color="auto" w:sz="4" w:space="0"/>
              <w:right w:val="single" w:color="auto" w:sz="4" w:space="0"/>
            </w:tcBorders>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95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渔业生态保护类</w:t>
            </w:r>
          </w:p>
        </w:tc>
        <w:tc>
          <w:tcPr>
            <w:tcW w:w="321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渔业生态保护类</w:t>
            </w:r>
          </w:p>
        </w:tc>
      </w:tr>
      <w:tr>
        <w:tblPrEx>
          <w:tblCellMar>
            <w:top w:w="0" w:type="dxa"/>
            <w:left w:w="108" w:type="dxa"/>
            <w:bottom w:w="0" w:type="dxa"/>
            <w:right w:w="108" w:type="dxa"/>
          </w:tblCellMar>
        </w:tblPrEx>
        <w:trPr>
          <w:trHeight w:val="569" w:hRule="atLeast"/>
        </w:trPr>
        <w:tc>
          <w:tcPr>
            <w:tcW w:w="749" w:type="dxa"/>
            <w:vMerge w:val="continue"/>
            <w:tcBorders>
              <w:left w:val="single" w:color="auto" w:sz="4" w:space="0"/>
              <w:right w:val="single" w:color="auto" w:sz="4" w:space="0"/>
            </w:tcBorders>
            <w:shd w:val="clear" w:color="auto" w:fill="auto"/>
            <w:noWrap/>
            <w:vAlign w:val="center"/>
          </w:tcPr>
          <w:p>
            <w:pPr>
              <w:spacing w:line="560" w:lineRule="atLeast"/>
              <w:ind w:firstLine="0" w:firstLineChars="0"/>
              <w:rPr>
                <w:rFonts w:ascii="仿宋" w:hAnsi="仿宋" w:eastAsia="仿宋" w:cs="仿宋"/>
                <w:sz w:val="28"/>
                <w:szCs w:val="28"/>
              </w:rPr>
            </w:pPr>
          </w:p>
        </w:tc>
        <w:tc>
          <w:tcPr>
            <w:tcW w:w="1799" w:type="dxa"/>
            <w:vMerge w:val="restart"/>
            <w:tcBorders>
              <w:top w:val="single" w:color="auto" w:sz="4" w:space="0"/>
              <w:left w:val="single" w:color="auto" w:sz="4" w:space="0"/>
              <w:right w:val="single" w:color="auto" w:sz="4" w:space="0"/>
            </w:tcBorders>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限养区</w:t>
            </w:r>
          </w:p>
        </w:tc>
        <w:tc>
          <w:tcPr>
            <w:tcW w:w="295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海洋资源管护类</w:t>
            </w:r>
          </w:p>
        </w:tc>
        <w:tc>
          <w:tcPr>
            <w:tcW w:w="321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海洋资源管护类</w:t>
            </w:r>
          </w:p>
        </w:tc>
      </w:tr>
      <w:tr>
        <w:tblPrEx>
          <w:tblCellMar>
            <w:top w:w="0" w:type="dxa"/>
            <w:left w:w="108" w:type="dxa"/>
            <w:bottom w:w="0" w:type="dxa"/>
            <w:right w:w="108" w:type="dxa"/>
          </w:tblCellMar>
        </w:tblPrEx>
        <w:trPr>
          <w:trHeight w:val="569" w:hRule="atLeast"/>
        </w:trPr>
        <w:tc>
          <w:tcPr>
            <w:tcW w:w="749" w:type="dxa"/>
            <w:vMerge w:val="continue"/>
            <w:tcBorders>
              <w:left w:val="single" w:color="auto" w:sz="4" w:space="0"/>
              <w:right w:val="single" w:color="auto" w:sz="4" w:space="0"/>
            </w:tcBorders>
            <w:shd w:val="clear" w:color="auto" w:fill="auto"/>
            <w:noWrap/>
            <w:vAlign w:val="center"/>
          </w:tcPr>
          <w:p>
            <w:pPr>
              <w:spacing w:line="560" w:lineRule="atLeast"/>
              <w:ind w:firstLine="0" w:firstLineChars="0"/>
              <w:rPr>
                <w:rFonts w:ascii="仿宋" w:hAnsi="仿宋" w:eastAsia="仿宋" w:cs="仿宋"/>
                <w:sz w:val="28"/>
                <w:szCs w:val="28"/>
              </w:rPr>
            </w:pPr>
          </w:p>
        </w:tc>
        <w:tc>
          <w:tcPr>
            <w:tcW w:w="1799" w:type="dxa"/>
            <w:vMerge w:val="continue"/>
            <w:tcBorders>
              <w:left w:val="single" w:color="auto" w:sz="4" w:space="0"/>
              <w:right w:val="single" w:color="auto" w:sz="4" w:space="0"/>
            </w:tcBorders>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955" w:type="dxa"/>
            <w:vMerge w:val="restart"/>
            <w:tcBorders>
              <w:top w:val="single" w:color="auto" w:sz="4" w:space="0"/>
              <w:left w:val="single" w:color="auto" w:sz="4" w:space="0"/>
              <w:right w:val="single" w:color="auto" w:sz="4" w:space="0"/>
            </w:tcBorders>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渔业资源管护类</w:t>
            </w:r>
          </w:p>
        </w:tc>
        <w:tc>
          <w:tcPr>
            <w:tcW w:w="321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渔业资源管护类</w:t>
            </w:r>
          </w:p>
        </w:tc>
      </w:tr>
      <w:tr>
        <w:tblPrEx>
          <w:tblCellMar>
            <w:top w:w="0" w:type="dxa"/>
            <w:left w:w="108" w:type="dxa"/>
            <w:bottom w:w="0" w:type="dxa"/>
            <w:right w:w="108" w:type="dxa"/>
          </w:tblCellMar>
        </w:tblPrEx>
        <w:trPr>
          <w:trHeight w:val="450" w:hRule="atLeast"/>
        </w:trPr>
        <w:tc>
          <w:tcPr>
            <w:tcW w:w="749" w:type="dxa"/>
            <w:vMerge w:val="continue"/>
            <w:tcBorders>
              <w:left w:val="single" w:color="auto" w:sz="4" w:space="0"/>
              <w:right w:val="single" w:color="auto" w:sz="4" w:space="0"/>
            </w:tcBorders>
            <w:shd w:val="clear" w:color="auto" w:fill="auto"/>
            <w:noWrap/>
            <w:vAlign w:val="center"/>
          </w:tcPr>
          <w:p>
            <w:pPr>
              <w:spacing w:line="560" w:lineRule="atLeast"/>
              <w:ind w:firstLine="0" w:firstLineChars="0"/>
              <w:rPr>
                <w:rFonts w:ascii="仿宋" w:hAnsi="仿宋" w:eastAsia="仿宋" w:cs="仿宋"/>
                <w:sz w:val="28"/>
                <w:szCs w:val="28"/>
              </w:rPr>
            </w:pPr>
          </w:p>
        </w:tc>
        <w:tc>
          <w:tcPr>
            <w:tcW w:w="1799" w:type="dxa"/>
            <w:vMerge w:val="continue"/>
            <w:tcBorders>
              <w:left w:val="single" w:color="auto" w:sz="4" w:space="0"/>
              <w:bottom w:val="single" w:color="auto" w:sz="4" w:space="0"/>
              <w:right w:val="single" w:color="auto" w:sz="4" w:space="0"/>
            </w:tcBorders>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2955" w:type="dxa"/>
            <w:vMerge w:val="continue"/>
            <w:tcBorders>
              <w:left w:val="single" w:color="auto" w:sz="4" w:space="0"/>
              <w:bottom w:val="single" w:color="auto" w:sz="4" w:space="0"/>
              <w:right w:val="single" w:color="auto" w:sz="4" w:space="0"/>
            </w:tcBorders>
            <w:shd w:val="clear" w:color="auto" w:fill="auto"/>
            <w:noWrap/>
            <w:vAlign w:val="center"/>
          </w:tcPr>
          <w:p>
            <w:pPr>
              <w:spacing w:line="560" w:lineRule="atLeast"/>
              <w:ind w:firstLine="0" w:firstLineChars="0"/>
              <w:jc w:val="center"/>
              <w:rPr>
                <w:rFonts w:ascii="仿宋" w:hAnsi="仿宋" w:eastAsia="仿宋" w:cs="仿宋"/>
                <w:sz w:val="28"/>
                <w:szCs w:val="28"/>
              </w:rPr>
            </w:pPr>
          </w:p>
        </w:tc>
        <w:tc>
          <w:tcPr>
            <w:tcW w:w="321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共享渔业牧场类</w:t>
            </w:r>
          </w:p>
        </w:tc>
      </w:tr>
      <w:tr>
        <w:tblPrEx>
          <w:tblCellMar>
            <w:top w:w="0" w:type="dxa"/>
            <w:left w:w="108" w:type="dxa"/>
            <w:bottom w:w="0" w:type="dxa"/>
            <w:right w:w="108" w:type="dxa"/>
          </w:tblCellMar>
        </w:tblPrEx>
        <w:trPr>
          <w:trHeight w:val="569" w:hRule="atLeast"/>
        </w:trPr>
        <w:tc>
          <w:tcPr>
            <w:tcW w:w="749" w:type="dxa"/>
            <w:vMerge w:val="continue"/>
            <w:tcBorders>
              <w:left w:val="single" w:color="auto" w:sz="4" w:space="0"/>
              <w:right w:val="single" w:color="auto" w:sz="4" w:space="0"/>
            </w:tcBorders>
            <w:shd w:val="clear" w:color="auto" w:fill="auto"/>
            <w:noWrap/>
            <w:vAlign w:val="center"/>
          </w:tcPr>
          <w:p>
            <w:pPr>
              <w:spacing w:line="560" w:lineRule="atLeast"/>
              <w:ind w:firstLine="0" w:firstLineChars="0"/>
              <w:rPr>
                <w:rFonts w:ascii="仿宋" w:hAnsi="仿宋" w:eastAsia="仿宋" w:cs="仿宋"/>
                <w:sz w:val="28"/>
                <w:szCs w:val="28"/>
              </w:rPr>
            </w:pPr>
          </w:p>
        </w:tc>
        <w:tc>
          <w:tcPr>
            <w:tcW w:w="1799" w:type="dxa"/>
            <w:vMerge w:val="restart"/>
            <w:tcBorders>
              <w:top w:val="single" w:color="auto" w:sz="4" w:space="0"/>
              <w:left w:val="single" w:color="auto" w:sz="4" w:space="0"/>
              <w:right w:val="single" w:color="auto" w:sz="4" w:space="0"/>
            </w:tcBorders>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养殖区</w:t>
            </w:r>
          </w:p>
        </w:tc>
        <w:tc>
          <w:tcPr>
            <w:tcW w:w="2955" w:type="dxa"/>
            <w:vMerge w:val="restart"/>
            <w:tcBorders>
              <w:top w:val="single" w:color="auto" w:sz="4" w:space="0"/>
              <w:left w:val="single" w:color="auto" w:sz="4" w:space="0"/>
              <w:right w:val="single" w:color="auto" w:sz="4" w:space="0"/>
            </w:tcBorders>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海洋经济渔业类</w:t>
            </w:r>
          </w:p>
        </w:tc>
        <w:tc>
          <w:tcPr>
            <w:tcW w:w="321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休闲渔旅融合类</w:t>
            </w:r>
          </w:p>
        </w:tc>
      </w:tr>
      <w:tr>
        <w:tblPrEx>
          <w:tblCellMar>
            <w:top w:w="0" w:type="dxa"/>
            <w:left w:w="108" w:type="dxa"/>
            <w:bottom w:w="0" w:type="dxa"/>
            <w:right w:w="108" w:type="dxa"/>
          </w:tblCellMar>
        </w:tblPrEx>
        <w:trPr>
          <w:trHeight w:val="569" w:hRule="atLeast"/>
        </w:trPr>
        <w:tc>
          <w:tcPr>
            <w:tcW w:w="749" w:type="dxa"/>
            <w:vMerge w:val="continue"/>
            <w:tcBorders>
              <w:left w:val="single" w:color="auto" w:sz="4" w:space="0"/>
              <w:right w:val="single" w:color="auto" w:sz="4" w:space="0"/>
            </w:tcBorders>
            <w:shd w:val="clear" w:color="auto" w:fill="auto"/>
            <w:noWrap/>
            <w:vAlign w:val="center"/>
          </w:tcPr>
          <w:p>
            <w:pPr>
              <w:spacing w:line="560" w:lineRule="atLeast"/>
              <w:ind w:firstLine="0" w:firstLineChars="0"/>
              <w:rPr>
                <w:rFonts w:ascii="仿宋" w:hAnsi="仿宋" w:eastAsia="仿宋" w:cs="仿宋"/>
                <w:sz w:val="28"/>
                <w:szCs w:val="28"/>
              </w:rPr>
            </w:pPr>
          </w:p>
        </w:tc>
        <w:tc>
          <w:tcPr>
            <w:tcW w:w="1799" w:type="dxa"/>
            <w:vMerge w:val="continue"/>
            <w:tcBorders>
              <w:left w:val="single" w:color="auto" w:sz="4" w:space="0"/>
              <w:right w:val="single" w:color="auto" w:sz="4" w:space="0"/>
            </w:tcBorders>
            <w:shd w:val="clear" w:color="auto" w:fill="auto"/>
            <w:noWrap/>
            <w:vAlign w:val="center"/>
          </w:tcPr>
          <w:p>
            <w:pPr>
              <w:spacing w:line="560" w:lineRule="atLeast"/>
              <w:ind w:firstLine="0" w:firstLineChars="0"/>
              <w:rPr>
                <w:rFonts w:ascii="仿宋" w:hAnsi="仿宋" w:eastAsia="仿宋" w:cs="仿宋"/>
                <w:sz w:val="28"/>
                <w:szCs w:val="28"/>
              </w:rPr>
            </w:pPr>
          </w:p>
        </w:tc>
        <w:tc>
          <w:tcPr>
            <w:tcW w:w="2955" w:type="dxa"/>
            <w:vMerge w:val="continue"/>
            <w:tcBorders>
              <w:left w:val="single" w:color="auto" w:sz="4" w:space="0"/>
              <w:right w:val="single" w:color="auto" w:sz="4" w:space="0"/>
            </w:tcBorders>
            <w:shd w:val="clear" w:color="auto" w:fill="auto"/>
            <w:noWrap/>
            <w:vAlign w:val="center"/>
          </w:tcPr>
          <w:p>
            <w:pPr>
              <w:spacing w:line="560" w:lineRule="atLeast"/>
              <w:ind w:firstLine="0" w:firstLineChars="0"/>
              <w:rPr>
                <w:rFonts w:ascii="仿宋" w:hAnsi="仿宋" w:eastAsia="仿宋" w:cs="仿宋"/>
                <w:sz w:val="28"/>
                <w:szCs w:val="28"/>
              </w:rPr>
            </w:pPr>
          </w:p>
        </w:tc>
        <w:tc>
          <w:tcPr>
            <w:tcW w:w="321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绿色生态养殖类</w:t>
            </w:r>
          </w:p>
        </w:tc>
      </w:tr>
      <w:tr>
        <w:tblPrEx>
          <w:tblCellMar>
            <w:top w:w="0" w:type="dxa"/>
            <w:left w:w="108" w:type="dxa"/>
            <w:bottom w:w="0" w:type="dxa"/>
            <w:right w:w="108" w:type="dxa"/>
          </w:tblCellMar>
        </w:tblPrEx>
        <w:trPr>
          <w:trHeight w:val="569" w:hRule="atLeast"/>
        </w:trPr>
        <w:tc>
          <w:tcPr>
            <w:tcW w:w="749" w:type="dxa"/>
            <w:vMerge w:val="continue"/>
            <w:tcBorders>
              <w:left w:val="single" w:color="auto" w:sz="4" w:space="0"/>
              <w:right w:val="single" w:color="auto" w:sz="4" w:space="0"/>
            </w:tcBorders>
            <w:shd w:val="clear" w:color="auto" w:fill="auto"/>
            <w:noWrap/>
            <w:vAlign w:val="center"/>
          </w:tcPr>
          <w:p>
            <w:pPr>
              <w:spacing w:line="560" w:lineRule="atLeast"/>
              <w:ind w:firstLine="0" w:firstLineChars="0"/>
              <w:rPr>
                <w:rFonts w:ascii="仿宋" w:hAnsi="仿宋" w:eastAsia="仿宋" w:cs="仿宋"/>
                <w:sz w:val="28"/>
                <w:szCs w:val="28"/>
              </w:rPr>
            </w:pPr>
          </w:p>
        </w:tc>
        <w:tc>
          <w:tcPr>
            <w:tcW w:w="1799" w:type="dxa"/>
            <w:vMerge w:val="continue"/>
            <w:tcBorders>
              <w:left w:val="single" w:color="auto" w:sz="4" w:space="0"/>
              <w:right w:val="single" w:color="auto" w:sz="4" w:space="0"/>
            </w:tcBorders>
            <w:shd w:val="clear" w:color="auto" w:fill="auto"/>
            <w:noWrap/>
            <w:vAlign w:val="center"/>
          </w:tcPr>
          <w:p>
            <w:pPr>
              <w:spacing w:line="560" w:lineRule="atLeast"/>
              <w:ind w:firstLine="0" w:firstLineChars="0"/>
              <w:rPr>
                <w:rFonts w:ascii="仿宋" w:hAnsi="仿宋" w:eastAsia="仿宋" w:cs="仿宋"/>
                <w:sz w:val="28"/>
                <w:szCs w:val="28"/>
              </w:rPr>
            </w:pPr>
          </w:p>
        </w:tc>
        <w:tc>
          <w:tcPr>
            <w:tcW w:w="2955" w:type="dxa"/>
            <w:vMerge w:val="continue"/>
            <w:tcBorders>
              <w:left w:val="single" w:color="auto" w:sz="4" w:space="0"/>
              <w:right w:val="single" w:color="auto" w:sz="4" w:space="0"/>
            </w:tcBorders>
            <w:shd w:val="clear" w:color="auto" w:fill="auto"/>
            <w:noWrap/>
            <w:vAlign w:val="center"/>
          </w:tcPr>
          <w:p>
            <w:pPr>
              <w:spacing w:line="560" w:lineRule="atLeast"/>
              <w:ind w:firstLine="0" w:firstLineChars="0"/>
              <w:rPr>
                <w:rFonts w:ascii="仿宋" w:hAnsi="仿宋" w:eastAsia="仿宋" w:cs="仿宋"/>
                <w:sz w:val="28"/>
                <w:szCs w:val="28"/>
              </w:rPr>
            </w:pPr>
          </w:p>
        </w:tc>
        <w:tc>
          <w:tcPr>
            <w:tcW w:w="321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深水养殖产业类</w:t>
            </w:r>
          </w:p>
        </w:tc>
      </w:tr>
      <w:tr>
        <w:tblPrEx>
          <w:tblCellMar>
            <w:top w:w="0" w:type="dxa"/>
            <w:left w:w="108" w:type="dxa"/>
            <w:bottom w:w="0" w:type="dxa"/>
            <w:right w:w="108" w:type="dxa"/>
          </w:tblCellMar>
        </w:tblPrEx>
        <w:trPr>
          <w:trHeight w:val="569" w:hRule="atLeast"/>
        </w:trPr>
        <w:tc>
          <w:tcPr>
            <w:tcW w:w="749" w:type="dxa"/>
            <w:vMerge w:val="continue"/>
            <w:tcBorders>
              <w:left w:val="single" w:color="auto" w:sz="4" w:space="0"/>
              <w:right w:val="single" w:color="auto" w:sz="4" w:space="0"/>
            </w:tcBorders>
            <w:shd w:val="clear" w:color="auto" w:fill="auto"/>
            <w:noWrap/>
            <w:vAlign w:val="center"/>
          </w:tcPr>
          <w:p>
            <w:pPr>
              <w:spacing w:line="560" w:lineRule="atLeast"/>
              <w:ind w:firstLine="0" w:firstLineChars="0"/>
              <w:rPr>
                <w:rFonts w:ascii="仿宋" w:hAnsi="仿宋" w:eastAsia="仿宋" w:cs="仿宋"/>
                <w:sz w:val="28"/>
                <w:szCs w:val="28"/>
              </w:rPr>
            </w:pPr>
          </w:p>
        </w:tc>
        <w:tc>
          <w:tcPr>
            <w:tcW w:w="1799" w:type="dxa"/>
            <w:vMerge w:val="continue"/>
            <w:tcBorders>
              <w:left w:val="single" w:color="auto" w:sz="4" w:space="0"/>
              <w:right w:val="single" w:color="auto" w:sz="4" w:space="0"/>
            </w:tcBorders>
            <w:shd w:val="clear" w:color="auto" w:fill="auto"/>
            <w:noWrap/>
            <w:vAlign w:val="center"/>
          </w:tcPr>
          <w:p>
            <w:pPr>
              <w:spacing w:line="560" w:lineRule="atLeast"/>
              <w:ind w:firstLine="0" w:firstLineChars="0"/>
              <w:rPr>
                <w:rFonts w:ascii="仿宋" w:hAnsi="仿宋" w:eastAsia="仿宋" w:cs="仿宋"/>
                <w:sz w:val="28"/>
                <w:szCs w:val="28"/>
              </w:rPr>
            </w:pPr>
          </w:p>
        </w:tc>
        <w:tc>
          <w:tcPr>
            <w:tcW w:w="2955" w:type="dxa"/>
            <w:vMerge w:val="continue"/>
            <w:tcBorders>
              <w:left w:val="single" w:color="auto" w:sz="4" w:space="0"/>
              <w:right w:val="single" w:color="auto" w:sz="4" w:space="0"/>
            </w:tcBorders>
            <w:shd w:val="clear" w:color="auto" w:fill="auto"/>
            <w:noWrap/>
            <w:vAlign w:val="center"/>
          </w:tcPr>
          <w:p>
            <w:pPr>
              <w:spacing w:line="560" w:lineRule="atLeast"/>
              <w:ind w:firstLine="0" w:firstLineChars="0"/>
              <w:rPr>
                <w:rFonts w:ascii="仿宋" w:hAnsi="仿宋" w:eastAsia="仿宋" w:cs="仿宋"/>
                <w:sz w:val="28"/>
                <w:szCs w:val="28"/>
              </w:rPr>
            </w:pPr>
          </w:p>
        </w:tc>
        <w:tc>
          <w:tcPr>
            <w:tcW w:w="321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能源混合利用类</w:t>
            </w:r>
          </w:p>
        </w:tc>
      </w:tr>
      <w:tr>
        <w:tblPrEx>
          <w:tblCellMar>
            <w:top w:w="0" w:type="dxa"/>
            <w:left w:w="108" w:type="dxa"/>
            <w:bottom w:w="0" w:type="dxa"/>
            <w:right w:w="108" w:type="dxa"/>
          </w:tblCellMar>
        </w:tblPrEx>
        <w:trPr>
          <w:trHeight w:val="579" w:hRule="atLeast"/>
        </w:trPr>
        <w:tc>
          <w:tcPr>
            <w:tcW w:w="749" w:type="dxa"/>
            <w:vMerge w:val="continue"/>
            <w:tcBorders>
              <w:left w:val="single" w:color="auto" w:sz="4" w:space="0"/>
              <w:bottom w:val="single" w:color="auto" w:sz="4" w:space="0"/>
              <w:right w:val="single" w:color="auto" w:sz="4" w:space="0"/>
            </w:tcBorders>
            <w:shd w:val="clear" w:color="auto" w:fill="auto"/>
            <w:noWrap/>
            <w:vAlign w:val="center"/>
          </w:tcPr>
          <w:p>
            <w:pPr>
              <w:spacing w:line="560" w:lineRule="atLeast"/>
              <w:ind w:firstLine="0" w:firstLineChars="0"/>
              <w:rPr>
                <w:rFonts w:ascii="仿宋" w:hAnsi="仿宋" w:eastAsia="仿宋" w:cs="仿宋"/>
                <w:sz w:val="28"/>
                <w:szCs w:val="28"/>
              </w:rPr>
            </w:pPr>
          </w:p>
        </w:tc>
        <w:tc>
          <w:tcPr>
            <w:tcW w:w="1799" w:type="dxa"/>
            <w:vMerge w:val="continue"/>
            <w:tcBorders>
              <w:left w:val="single" w:color="auto" w:sz="4" w:space="0"/>
              <w:bottom w:val="single" w:color="auto" w:sz="4" w:space="0"/>
              <w:right w:val="single" w:color="auto" w:sz="4" w:space="0"/>
            </w:tcBorders>
            <w:shd w:val="clear" w:color="auto" w:fill="auto"/>
            <w:noWrap/>
            <w:vAlign w:val="center"/>
          </w:tcPr>
          <w:p>
            <w:pPr>
              <w:spacing w:line="560" w:lineRule="atLeast"/>
              <w:ind w:firstLine="0" w:firstLineChars="0"/>
              <w:rPr>
                <w:rFonts w:ascii="仿宋" w:hAnsi="仿宋" w:eastAsia="仿宋" w:cs="仿宋"/>
                <w:sz w:val="28"/>
                <w:szCs w:val="28"/>
              </w:rPr>
            </w:pPr>
          </w:p>
        </w:tc>
        <w:tc>
          <w:tcPr>
            <w:tcW w:w="2955" w:type="dxa"/>
            <w:vMerge w:val="continue"/>
            <w:tcBorders>
              <w:left w:val="single" w:color="auto" w:sz="4" w:space="0"/>
              <w:bottom w:val="single" w:color="auto" w:sz="4" w:space="0"/>
              <w:right w:val="single" w:color="auto" w:sz="4" w:space="0"/>
            </w:tcBorders>
            <w:shd w:val="clear" w:color="auto" w:fill="auto"/>
            <w:noWrap/>
            <w:vAlign w:val="center"/>
          </w:tcPr>
          <w:p>
            <w:pPr>
              <w:spacing w:line="560" w:lineRule="atLeast"/>
              <w:ind w:firstLine="0" w:firstLineChars="0"/>
              <w:rPr>
                <w:rFonts w:ascii="仿宋" w:hAnsi="仿宋" w:eastAsia="仿宋" w:cs="仿宋"/>
                <w:sz w:val="28"/>
                <w:szCs w:val="28"/>
              </w:rPr>
            </w:pPr>
          </w:p>
        </w:tc>
        <w:tc>
          <w:tcPr>
            <w:tcW w:w="321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560" w:lineRule="atLeast"/>
              <w:ind w:firstLine="0" w:firstLineChars="0"/>
              <w:jc w:val="center"/>
              <w:rPr>
                <w:rFonts w:ascii="仿宋" w:hAnsi="仿宋" w:eastAsia="仿宋" w:cs="仿宋"/>
                <w:sz w:val="28"/>
                <w:szCs w:val="28"/>
              </w:rPr>
            </w:pPr>
            <w:r>
              <w:rPr>
                <w:rFonts w:hint="eastAsia" w:ascii="仿宋" w:hAnsi="仿宋" w:eastAsia="仿宋" w:cs="仿宋"/>
                <w:sz w:val="28"/>
                <w:szCs w:val="28"/>
              </w:rPr>
              <w:t>岛礁融合发展类</w:t>
            </w:r>
          </w:p>
        </w:tc>
      </w:tr>
    </w:tbl>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2.横向用海空间指引</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在依据《汕尾市养殖水域滩涂规划》对禁养区、限养区、养殖区划定的基础上，在横向上依据水深将本规划海域划分为动态保护区、适宜利用区、养殖保留区。</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动态保护区是指离岸距离较近，水体交换能力较弱，需要控制养殖规模，防止高密度养殖，结合海洋生态环境修复，发展水产资源增养殖、休闲渔业等多产业融合的海域；适宜利用区是指水体交换能力较强，水质状况良好，适宜开展各种形式养殖活动的海域；养殖保留区是指因海洋养殖、教学、科研、休闲渔业以及其他特殊需要，暂时尚未开发利用或在规划期限内限制开发，为远期汕尾市海洋渔业发展作为储备用海的海域，是各种功能区域中水质环境最佳，且未来潜在污染程度最小和生产效益较好的海域。</w:t>
      </w:r>
    </w:p>
    <w:p>
      <w:pPr>
        <w:spacing w:line="560" w:lineRule="atLeast"/>
        <w:ind w:firstLine="0" w:firstLineChars="0"/>
        <w:jc w:val="center"/>
        <w:rPr>
          <w:rFonts w:ascii="黑体" w:hAnsi="黑体" w:eastAsia="黑体" w:cs="黑体"/>
          <w:sz w:val="28"/>
          <w:szCs w:val="28"/>
        </w:rPr>
      </w:pPr>
      <w:r>
        <w:rPr>
          <w:rFonts w:hint="eastAsia" w:ascii="黑体" w:hAnsi="黑体" w:eastAsia="黑体" w:cs="黑体"/>
          <w:b/>
          <w:bCs/>
          <w:sz w:val="28"/>
          <w:szCs w:val="28"/>
        </w:rPr>
        <w:t>表5-4 汕尾市海洋渔业用海管控条件表</w:t>
      </w:r>
    </w:p>
    <w:tbl>
      <w:tblPr>
        <w:tblStyle w:val="14"/>
        <w:tblW w:w="8539" w:type="dxa"/>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6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9" w:hRule="atLeast"/>
        </w:trPr>
        <w:tc>
          <w:tcPr>
            <w:tcW w:w="1654" w:type="dxa"/>
            <w:shd w:val="clear" w:color="auto" w:fill="auto"/>
            <w:noWrap/>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海域划分</w:t>
            </w:r>
          </w:p>
        </w:tc>
        <w:tc>
          <w:tcPr>
            <w:tcW w:w="6885" w:type="dxa"/>
            <w:shd w:val="clear" w:color="auto" w:fill="auto"/>
            <w:noWrap/>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确定条件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1" w:hRule="atLeast"/>
        </w:trPr>
        <w:tc>
          <w:tcPr>
            <w:tcW w:w="1654" w:type="dxa"/>
            <w:shd w:val="clear" w:color="auto" w:fill="auto"/>
            <w:noWrap/>
            <w:vAlign w:val="center"/>
          </w:tcPr>
          <w:p>
            <w:pPr>
              <w:spacing w:line="560" w:lineRule="atLeast"/>
              <w:ind w:firstLine="0" w:firstLineChars="0"/>
              <w:rPr>
                <w:rFonts w:ascii="黑体" w:hAnsi="黑体" w:eastAsia="黑体" w:cs="黑体"/>
                <w:sz w:val="28"/>
                <w:szCs w:val="28"/>
              </w:rPr>
            </w:pPr>
            <w:r>
              <w:rPr>
                <w:rFonts w:hint="eastAsia" w:ascii="黑体" w:hAnsi="黑体" w:eastAsia="黑体" w:cs="黑体"/>
                <w:sz w:val="28"/>
                <w:szCs w:val="28"/>
              </w:rPr>
              <w:t>动态保护区</w:t>
            </w:r>
          </w:p>
        </w:tc>
        <w:tc>
          <w:tcPr>
            <w:tcW w:w="6885" w:type="dxa"/>
            <w:shd w:val="clear" w:color="auto" w:fill="auto"/>
            <w:noWrap/>
            <w:vAlign w:val="center"/>
          </w:tcPr>
          <w:p>
            <w:pPr>
              <w:spacing w:line="560" w:lineRule="atLeast"/>
              <w:ind w:firstLine="0" w:firstLineChars="0"/>
              <w:rPr>
                <w:rFonts w:ascii="仿宋" w:hAnsi="仿宋" w:eastAsia="仿宋" w:cs="仿宋"/>
                <w:sz w:val="28"/>
                <w:szCs w:val="28"/>
              </w:rPr>
            </w:pPr>
            <w:r>
              <w:rPr>
                <w:rFonts w:hint="eastAsia" w:ascii="仿宋" w:hAnsi="仿宋" w:eastAsia="仿宋" w:cs="仿宋"/>
                <w:sz w:val="28"/>
                <w:szCs w:val="28"/>
              </w:rPr>
              <w:t>（1）海湾及其毗连0-10米水深海域；</w:t>
            </w:r>
          </w:p>
          <w:p>
            <w:pPr>
              <w:spacing w:line="560" w:lineRule="atLeast"/>
              <w:ind w:firstLine="0" w:firstLineChars="0"/>
              <w:rPr>
                <w:rFonts w:ascii="仿宋" w:hAnsi="仿宋" w:eastAsia="仿宋" w:cs="仿宋"/>
                <w:sz w:val="28"/>
                <w:szCs w:val="28"/>
              </w:rPr>
            </w:pPr>
            <w:r>
              <w:rPr>
                <w:rFonts w:hint="eastAsia" w:ascii="仿宋" w:hAnsi="仿宋" w:eastAsia="仿宋" w:cs="仿宋"/>
                <w:sz w:val="28"/>
                <w:szCs w:val="28"/>
              </w:rPr>
              <w:t>（2）岛礁基岩区域0-10米水深海域；</w:t>
            </w:r>
          </w:p>
          <w:p>
            <w:pPr>
              <w:spacing w:line="560" w:lineRule="atLeast"/>
              <w:ind w:firstLine="0" w:firstLineChars="0"/>
              <w:rPr>
                <w:rFonts w:ascii="仿宋" w:hAnsi="仿宋" w:eastAsia="仿宋" w:cs="仿宋"/>
                <w:sz w:val="28"/>
                <w:szCs w:val="28"/>
              </w:rPr>
            </w:pPr>
            <w:r>
              <w:rPr>
                <w:rFonts w:hint="eastAsia" w:ascii="仿宋" w:hAnsi="仿宋" w:eastAsia="仿宋" w:cs="仿宋"/>
                <w:sz w:val="28"/>
                <w:szCs w:val="28"/>
              </w:rPr>
              <w:t>（3）滩涂（潮间带）及毗连海岸；</w:t>
            </w:r>
          </w:p>
          <w:p>
            <w:pPr>
              <w:spacing w:line="560" w:lineRule="atLeast"/>
              <w:ind w:firstLine="0" w:firstLineChars="0"/>
              <w:rPr>
                <w:rFonts w:ascii="仿宋" w:hAnsi="仿宋" w:eastAsia="仿宋" w:cs="仿宋"/>
                <w:sz w:val="28"/>
                <w:szCs w:val="28"/>
              </w:rPr>
            </w:pPr>
            <w:r>
              <w:rPr>
                <w:rFonts w:hint="eastAsia" w:ascii="仿宋" w:hAnsi="仿宋" w:eastAsia="仿宋" w:cs="仿宋"/>
                <w:sz w:val="28"/>
                <w:szCs w:val="28"/>
              </w:rPr>
              <w:t>（4）目前以人工鱼礁、海洋牧场等形式开展公益类海洋生态保护的海域。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trPr>
        <w:tc>
          <w:tcPr>
            <w:tcW w:w="1654" w:type="dxa"/>
            <w:shd w:val="clear" w:color="auto" w:fill="auto"/>
            <w:noWrap/>
            <w:vAlign w:val="center"/>
          </w:tcPr>
          <w:p>
            <w:pPr>
              <w:spacing w:line="560" w:lineRule="atLeast"/>
              <w:ind w:firstLine="0" w:firstLineChars="0"/>
              <w:rPr>
                <w:rFonts w:ascii="黑体" w:hAnsi="黑体" w:eastAsia="黑体" w:cs="黑体"/>
                <w:sz w:val="28"/>
                <w:szCs w:val="28"/>
              </w:rPr>
            </w:pPr>
            <w:r>
              <w:rPr>
                <w:rFonts w:hint="eastAsia" w:ascii="黑体" w:hAnsi="黑体" w:eastAsia="黑体" w:cs="黑体"/>
                <w:sz w:val="28"/>
                <w:szCs w:val="28"/>
              </w:rPr>
              <w:t>适宜利用区</w:t>
            </w:r>
          </w:p>
        </w:tc>
        <w:tc>
          <w:tcPr>
            <w:tcW w:w="6885" w:type="dxa"/>
            <w:shd w:val="clear" w:color="auto" w:fill="auto"/>
            <w:noWrap/>
            <w:vAlign w:val="center"/>
          </w:tcPr>
          <w:p>
            <w:pPr>
              <w:spacing w:line="560" w:lineRule="atLeast"/>
              <w:ind w:firstLine="0" w:firstLineChars="0"/>
              <w:rPr>
                <w:rFonts w:ascii="仿宋" w:hAnsi="仿宋" w:eastAsia="仿宋" w:cs="仿宋"/>
                <w:sz w:val="28"/>
                <w:szCs w:val="28"/>
              </w:rPr>
            </w:pPr>
            <w:r>
              <w:rPr>
                <w:rFonts w:hint="eastAsia" w:ascii="仿宋" w:hAnsi="仿宋" w:eastAsia="仿宋" w:cs="仿宋"/>
                <w:sz w:val="28"/>
                <w:szCs w:val="28"/>
              </w:rPr>
              <w:t>（1）海湾及其毗连10-30米水深海域；</w:t>
            </w:r>
          </w:p>
          <w:p>
            <w:pPr>
              <w:spacing w:line="560" w:lineRule="atLeast"/>
              <w:ind w:firstLine="0" w:firstLineChars="0"/>
              <w:rPr>
                <w:rFonts w:ascii="仿宋" w:hAnsi="仿宋" w:eastAsia="仿宋" w:cs="仿宋"/>
                <w:sz w:val="28"/>
                <w:szCs w:val="28"/>
              </w:rPr>
            </w:pPr>
            <w:r>
              <w:rPr>
                <w:rFonts w:hint="eastAsia" w:ascii="仿宋" w:hAnsi="仿宋" w:eastAsia="仿宋" w:cs="仿宋"/>
                <w:sz w:val="28"/>
                <w:szCs w:val="28"/>
              </w:rPr>
              <w:t>（2）岛礁离岸区域10-30米水深海域；</w:t>
            </w:r>
          </w:p>
          <w:p>
            <w:pPr>
              <w:spacing w:line="560" w:lineRule="atLeast"/>
              <w:ind w:firstLine="0" w:firstLineChars="0"/>
              <w:rPr>
                <w:rFonts w:ascii="仿宋" w:hAnsi="仿宋" w:eastAsia="仿宋" w:cs="仿宋"/>
                <w:sz w:val="28"/>
                <w:szCs w:val="28"/>
              </w:rPr>
            </w:pPr>
            <w:r>
              <w:rPr>
                <w:rFonts w:hint="eastAsia" w:ascii="仿宋" w:hAnsi="仿宋" w:eastAsia="仿宋" w:cs="仿宋"/>
                <w:sz w:val="28"/>
                <w:szCs w:val="28"/>
              </w:rPr>
              <w:t>（3）离岸开放海域且水深&gt;10米的水体、海底区域，且位于汕尾市领海基线以内的海域。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1654" w:type="dxa"/>
            <w:shd w:val="clear" w:color="auto" w:fill="auto"/>
            <w:noWrap/>
            <w:vAlign w:val="center"/>
          </w:tcPr>
          <w:p>
            <w:pPr>
              <w:spacing w:line="560" w:lineRule="atLeast"/>
              <w:ind w:firstLine="0" w:firstLineChars="0"/>
              <w:rPr>
                <w:rFonts w:ascii="黑体" w:hAnsi="黑体" w:eastAsia="黑体" w:cs="黑体"/>
                <w:sz w:val="28"/>
                <w:szCs w:val="28"/>
              </w:rPr>
            </w:pPr>
            <w:r>
              <w:rPr>
                <w:rFonts w:hint="eastAsia" w:ascii="黑体" w:hAnsi="黑体" w:eastAsia="黑体" w:cs="黑体"/>
                <w:sz w:val="28"/>
                <w:szCs w:val="28"/>
              </w:rPr>
              <w:t>养殖保留区</w:t>
            </w:r>
          </w:p>
        </w:tc>
        <w:tc>
          <w:tcPr>
            <w:tcW w:w="6885" w:type="dxa"/>
            <w:shd w:val="clear" w:color="auto" w:fill="auto"/>
            <w:noWrap/>
            <w:vAlign w:val="center"/>
          </w:tcPr>
          <w:p>
            <w:pPr>
              <w:spacing w:line="560" w:lineRule="atLeast"/>
              <w:ind w:firstLine="0" w:firstLineChars="0"/>
              <w:rPr>
                <w:rFonts w:ascii="仿宋" w:hAnsi="仿宋" w:eastAsia="仿宋" w:cs="仿宋"/>
                <w:sz w:val="28"/>
                <w:szCs w:val="28"/>
              </w:rPr>
            </w:pPr>
            <w:r>
              <w:rPr>
                <w:rFonts w:hint="eastAsia" w:ascii="仿宋" w:hAnsi="仿宋" w:eastAsia="仿宋" w:cs="仿宋"/>
                <w:sz w:val="28"/>
                <w:szCs w:val="28"/>
              </w:rPr>
              <w:t>（1）领海基线至领海线的领海海域；</w:t>
            </w:r>
          </w:p>
          <w:p>
            <w:pPr>
              <w:spacing w:line="560" w:lineRule="atLeast"/>
              <w:ind w:firstLine="0" w:firstLineChars="0"/>
              <w:rPr>
                <w:rFonts w:ascii="仿宋" w:hAnsi="仿宋" w:eastAsia="仿宋" w:cs="仿宋"/>
                <w:sz w:val="28"/>
                <w:szCs w:val="28"/>
              </w:rPr>
            </w:pPr>
            <w:r>
              <w:rPr>
                <w:rFonts w:hint="eastAsia" w:ascii="仿宋" w:hAnsi="仿宋" w:eastAsia="仿宋" w:cs="仿宋"/>
                <w:sz w:val="28"/>
                <w:szCs w:val="28"/>
              </w:rPr>
              <w:t>（2）《汕尾市养殖水域滩涂规划》中划定为养殖区的海域。</w:t>
            </w:r>
          </w:p>
        </w:tc>
      </w:tr>
    </w:tbl>
    <w:p>
      <w:pPr>
        <w:pStyle w:val="5"/>
        <w:spacing w:line="560" w:lineRule="atLeast"/>
        <w:ind w:firstLine="640"/>
        <w:rPr>
          <w:rFonts w:ascii="仿宋" w:hAnsi="仿宋" w:eastAsia="仿宋"/>
          <w:b w:val="0"/>
          <w:bCs w:val="0"/>
        </w:rPr>
      </w:pPr>
      <w:r>
        <w:rPr>
          <w:rFonts w:hint="eastAsia" w:ascii="仿宋" w:hAnsi="仿宋" w:eastAsia="仿宋"/>
          <w:b w:val="0"/>
          <w:bCs w:val="0"/>
        </w:rPr>
        <w:t>3.立体空间利用指引</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海上空间利用。重点发展网箱养殖、筏式养殖，开展田园式养殖，建设海水浮台或以水产养殖平台为载体，发展海上休闲旅游业。结合海洋牧场、深水网箱配套海上加工休闲浮岛，依托海域的海水、光照等条件，在海上进行初加工与生产科技创新，并开展各类休闲活动。</w:t>
      </w:r>
    </w:p>
    <w:p>
      <w:pPr>
        <w:spacing w:line="560" w:lineRule="atLeast"/>
        <w:ind w:firstLine="640"/>
        <w:rPr>
          <w:rFonts w:ascii="仿宋" w:hAnsi="仿宋" w:eastAsia="仿宋" w:cs="仿宋"/>
        </w:rPr>
      </w:pPr>
      <w:r>
        <w:rPr>
          <w:rFonts w:hint="eastAsia" w:ascii="仿宋" w:hAnsi="仿宋" w:eastAsia="仿宋" w:cs="仿宋"/>
        </w:rPr>
        <w:t>海中空间利用。重点发展经济型海洋牧场、经济型深水网箱、吊笼养殖，探索海洋风电能源开发与海洋养殖融合的新型养殖模式，建设海洋牧场示范区、深水网箱养殖基地、海上养殖与新能源设备一体化装置。</w:t>
      </w:r>
    </w:p>
    <w:p>
      <w:pPr>
        <w:spacing w:line="560" w:lineRule="atLeast"/>
        <w:ind w:firstLine="640"/>
      </w:pPr>
      <w:r>
        <w:rPr>
          <w:rFonts w:hint="eastAsia" w:ascii="仿宋" w:hAnsi="仿宋" w:eastAsia="仿宋" w:cs="仿宋"/>
        </w:rPr>
        <w:t>海床空间利用。重点发展底播增殖、人工鱼礁投放、藻类养殖，建设资源管护型人工鱼礁、海底花园、海底森林，促进海域牧场化。结合水产增殖保护，发展休闲垂钓业、海水观赏渔业、滨海休闲渔业等融合化发展。</w:t>
      </w:r>
    </w:p>
    <w:p>
      <w:pPr>
        <w:pStyle w:val="5"/>
        <w:spacing w:line="560" w:lineRule="atLeast"/>
        <w:ind w:firstLine="643"/>
        <w:rPr>
          <w:rFonts w:ascii="仿宋" w:hAnsi="仿宋" w:eastAsia="仿宋"/>
        </w:rPr>
      </w:pPr>
    </w:p>
    <w:p>
      <w:pPr>
        <w:pStyle w:val="5"/>
        <w:spacing w:line="560" w:lineRule="atLeast"/>
        <w:ind w:firstLine="640"/>
        <w:rPr>
          <w:rFonts w:ascii="仿宋" w:hAnsi="仿宋" w:eastAsia="仿宋"/>
          <w:b w:val="0"/>
          <w:bCs w:val="0"/>
        </w:rPr>
      </w:pPr>
      <w:r>
        <w:rPr>
          <w:rFonts w:hint="eastAsia" w:ascii="仿宋" w:hAnsi="仿宋" w:eastAsia="仿宋"/>
          <w:b w:val="0"/>
          <w:bCs w:val="0"/>
        </w:rPr>
        <w:t>4.强化渔业科技支撑</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加强海洋渔业科技服务平台建设。以政府为主导，联合涉渔科研院所、高校和其他单位，共同成立汕尾市海洋渔业科技服务平台。鼓励建设新型研发机构、重点实验室、工程研发中心、院士港。吸引国内各类渔业高水平研究机构和新型企业入驻汕尾设立总部、分支机构、研发中心，加强汕尾市农业科学院、汕尾市水产技术推广中心站、汕尾海洋产业研究院等涉海涉渔科技机构功能建设。引进具有渔业科研实力的大型企业，发挥产业链上龙头企业的带动和创新能力。积极培育科技含量高的本土优质渔业企业，成长为汕尾市渔业创新重要阵地。围绕需求开展各项研究，整合汕尾高校、科研院所、孵化器和高新区等的创新成果和需求信息，建立“企业提出课题，企业应用成果”的科研成果快速转化模式。加快培育产、学、研、用、交、金、服一体化涉渔企业发展，扶持涉渔企业上市做大做强，形成区域产业集群带动。</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深化推动海洋渔业关键技术攻关。优化苗种培育与养殖技术，选择藻类、贝类、鱼类中部分本地优势产品品类，重点推动种质资源保护利用、育种创新、品种测试、制（繁）种基地等构建渔业种业工程，支持新型研发机构入驻汕尾发展渔业种业事业，确保渔业种业优势与创新发展。加快对水产饲料的研究与开发，满足海水养殖对优质饲料的需求，推动产学研紧密结合，强化水产饲料研发、产品质量管控、饲料科技创新、饲料安全生产等环节的科技创新。支持引进国内海洋高端装备企业，促进汕尾海洋养殖装备技术快速发展。结合汕尾产业发展实际，加快开发海产品精深加工的新工艺、新设备、新产品。支持发展水产品精深加工、加工废弃物和甲壳素贝类高值利用，功能食品和功能生物制品开发、贝类净化，传统生食水产品杀菌贮存，水产品鲜态和超低温保藏等工艺与设备的产业发展。</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加强海洋渔业科技人才队伍建设。依据广东省人才发展条例和广东省系列人才政策，结合汕尾海洋渔业发展现实需求，挖掘全市现有高校和涉海涉渔科研机构的教育资源潜力，整合涉海涉渔高等教育、职业教育资源，培养实用型、新型性的技能型人才、工匠专业人才，力争建设一批国家级、省级海洋重点学科、重点实验室、工程科研中心、院士工作站、博士后科研工作站等高端人才集聚平台项目。强化本市高校与国内外知名高校合作，引进相关人才充实渔业科技人才队伍，加大涉渔人才的培养力度。鼓励推荐涉渔涉海类人才参与市拔尖人才、优秀乡土人才评选，对获选者给予奖励，激发人才工作活力，大力营造重视渔业科技、人才的良好氛围。</w:t>
      </w:r>
    </w:p>
    <w:p>
      <w:pPr>
        <w:pStyle w:val="4"/>
        <w:spacing w:before="156" w:after="156" w:line="560" w:lineRule="atLeast"/>
        <w:ind w:firstLine="640" w:firstLineChars="200"/>
        <w:rPr>
          <w:b w:val="0"/>
          <w:bCs w:val="0"/>
        </w:rPr>
      </w:pPr>
      <w:bookmarkStart w:id="98" w:name="_Toc28217"/>
      <w:r>
        <w:rPr>
          <w:rFonts w:hint="eastAsia" w:ascii="楷体" w:hAnsi="楷体" w:eastAsia="楷体" w:cs="楷体"/>
          <w:b w:val="0"/>
          <w:bCs w:val="0"/>
        </w:rPr>
        <w:t>（三）分区创举，差异化发展推动提质增效</w:t>
      </w:r>
      <w:bookmarkEnd w:id="98"/>
    </w:p>
    <w:p>
      <w:pPr>
        <w:spacing w:line="560" w:lineRule="atLeast"/>
        <w:ind w:firstLine="640"/>
        <w:rPr>
          <w:rFonts w:ascii="仿宋" w:hAnsi="仿宋" w:eastAsia="仿宋" w:cs="仿宋"/>
        </w:rPr>
      </w:pPr>
      <w:r>
        <w:rPr>
          <w:rFonts w:hint="eastAsia" w:ascii="仿宋" w:hAnsi="仿宋" w:eastAsia="仿宋" w:cs="仿宋"/>
        </w:rPr>
        <w:t>海洋渔业空间总体利用布局着重于优化汕尾市蓝色空间海域功能区划，确定海洋渔业用海方向，细分渔业用海功能。深耕三类功能空间绿色创新与高质量发展。一是以动态保护为导向的功能空间，二是以适宜渔业生产发展为导向的功能空间，三是以渔业发展保留为导向的功能空间。在蓝色产业发展空间内布局15个先行利用发展区，先行先试推动高效化、集约化、立体化渔业用海，构建具有汕尾绿色创新发展模式的现代化海洋渔业产业空间发展新格局。</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1.编号01海域：芒屿岛南海域增养殖用海发展规划</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位于鲘门港西面的芒屿岛及附近海域，用海面积约2020公顷。依托现有养殖基础，扩大养殖规模，建设水产生态绿色养殖基地，积极引进生态筏式吊笼养殖、生态插杆式养殖技术，提高产量的同时，兼顾生态环境。利用底播增殖等手段，融合芒屿岛为主的岛礁资源建设生态渔业岛礁产业基地，兼顾渔业增养、生态修复、休闲观光、种质保护等多项功能，实现“生产、生活、生态”三生融合。</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在该海域以生态经济养殖为主，适度进行休闲渔业开发，重点结合芒屿岛等岛礁资源发展岛礁融合生产基地。适宜用海类型为休闲渔旅融合类、绿色生态养殖类、岛礁融合发展类。</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养殖品种选择鲍鱼、蛤蜊、紫菜等经济价值较高的品种。养殖方式以底播式、吊笼式、插杆式为主。重点项目为水产生态绿色养殖基地、生态渔业岛礁产业基地、渔旅融合产业基地。</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2.编号02海域：江牡岛附近海域增养殖用海发展规划</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位于江牡岛及附近海域，用海面积约2800公顷。依托岛上现有码头，加强码头建设标准，增设海上冷链物流中心，海上应急避难场所，并在海上配套海洋渔业科技生产基地，实现区域生产、加工、流通全面发展。在水深10-15米的海域，选定水质良好、水文条件适宜的区域建设深水网箱产业基地，在该区域可规划建设约780口深水网箱，并以深水网箱为载体，同时开展美景观赏、休闲垂钓等相关休闲渔业项目。</w:t>
      </w:r>
    </w:p>
    <w:p>
      <w:pPr>
        <w:spacing w:line="560" w:lineRule="atLeast"/>
        <w:ind w:firstLine="640"/>
        <w:rPr>
          <w:rFonts w:ascii="仿宋" w:hAnsi="仿宋" w:eastAsia="仿宋" w:cs="仿宋"/>
        </w:rPr>
      </w:pPr>
      <w:r>
        <w:rPr>
          <w:rFonts w:hint="eastAsia" w:ascii="仿宋" w:hAnsi="仿宋" w:eastAsia="仿宋" w:cs="仿宋"/>
        </w:rPr>
        <w:t>在该海域以经济养殖开发为主，适度进行休闲渔业开发，重点发展深水网箱养殖，并依托江牡岛等岛礁资源发展岛礁融合类生产基地。适宜用海类型为休闲渔旅融合类、深水养殖产业类、岛礁融合发展类。聚焦发展经济价值较高、市场前景良好的扇贝、蛏、蛤蜊、石斑鱼、鲈鱼等，积极引进大黄鱼、美国红鱼、鲷鱼、贻贝等优势特色养殖品种。养殖方式以底播式、游钓式、田园式、装备式等为主。重点项目为海洋渔业科技生产基地、深水网箱产业基地、生态渔业岛礁产业基地、海上应急避难场所。</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3.编号03海域：马宫南海域增养殖用海发展规划</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位于马宫南面海域，用海面积约2122公顷。建设深水网箱产业基地与海洋智慧渔业产业基地，通过现代化生物行为学控制技术，借助声、光、电等手段，吸引野生或人工放养的海洋生物聚集，实现海域渔业的人工增殖和自然增殖，在该区域可规划建设约780口深水网箱。划定一片区域建设休闲渔业产业基地，用于渔民转产转业，禁渔期作为渔民休闲渔业作业和全民日常增殖放流活动等的场所，解决基本民生问题。</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在该海域以经济养殖为主，适度进行休闲渔旅融合开发。重点发展深水网箱与海洋牧场养殖，并结合现状养殖基础打造休闲渔业产业基地。适宜用海类型为休闲渔旅融合类、深水养殖产业类。大力发展市场畅销对路、经济价值较高的蛏、鲈鱼、对虾、青蟹、贻贝、蛤等主导品种养殖，积极引进大黄鱼、石斑鱼、扇贝、蚶、紫菜、海带、江蓠等优势特色养殖品种。养殖方式以底播式、投礁式、吊笼式、 插杆式、田园式、游钓式等为主。重点项目为深水网箱产业基地、海洋牧场示范基地、海洋智慧渔业产业基地、休闲渔业产业基地。</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4.编号04海域：江牡岛南海域增养殖用海发展规划</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位于江牡岛南面海域，用海面积约3245公顷。在水质、水深条件适宜的深海海域合理布设深水抗风浪网箱，并通过应用水下动态遥感监测、自动投饵、网衣清洗等养殖技术，实现渔业养殖的智能化和无污染化，达到提升渔业生产产量的同时，兼顾海域渔业绿色可持续发展的目的。依托深水网箱平台，打造海洋智能化加工平台、海洋智慧渔业产业基地，开展海产品初加工，实现区域生产、加工、流通全面发展，同时为养殖产品提供临时存放空间。在该区域可规划建设约2000口深水网箱。</w:t>
      </w:r>
    </w:p>
    <w:p>
      <w:pPr>
        <w:spacing w:line="560" w:lineRule="atLeast"/>
        <w:ind w:firstLine="640"/>
        <w:rPr>
          <w:rFonts w:ascii="仿宋" w:hAnsi="仿宋" w:eastAsia="仿宋" w:cs="仿宋"/>
        </w:rPr>
      </w:pPr>
      <w:r>
        <w:rPr>
          <w:rFonts w:hint="eastAsia" w:ascii="仿宋" w:hAnsi="仿宋" w:eastAsia="仿宋" w:cs="仿宋"/>
        </w:rPr>
        <w:t>在该海域以经济养殖为导向，重点发展深水网箱养殖与海洋牧场养殖。适宜用海类型为深水养殖产业类。聚焦发展市场适销对路、经济价值较高的石斑鱼、鲈鱼、紫菜等主导品种，积极引进美国红鱼、大黄鱼、鲷鱼、海带、江蓠、蛤、蚶等优势特色品种。养殖方式以底播式、投礁式、装备式等为主。重点项目为深水网箱产业基地、海洋牧场示范基地、海洋渔业科技生产基地、海洋智慧渔业产业基地。</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5.编号05海域：红海湾南海域增养殖用海发展规划</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位于红海湾南面海域，用海面积约6940公顷。在水质良好、水深条件适宜的深海海域合理布设深水网箱，通过应用计算机、新材料、防腐蚀、防污损（附着物）、抗紫外线（防老化）等高新深水养殖技术，强化网箱的抗风浪能力，配套自动喂饲、水下监测、水下洗网等设备实现网箱养殖的自动化、智能化和无污染化，达到海洋渔业绿色健康发展的目的。依托海上养殖平台以及设施，融合开发休闲渔业、海洋游钓等新型业态，促进海洋渔业产业融合发展。在该区域可规划建设约3500口深水网箱。</w:t>
      </w:r>
    </w:p>
    <w:p>
      <w:pPr>
        <w:spacing w:line="560" w:lineRule="atLeast"/>
        <w:ind w:firstLine="640"/>
        <w:rPr>
          <w:rFonts w:ascii="仿宋" w:hAnsi="仿宋" w:eastAsia="仿宋" w:cs="仿宋"/>
        </w:rPr>
      </w:pPr>
      <w:r>
        <w:rPr>
          <w:rFonts w:hint="eastAsia" w:ascii="仿宋" w:hAnsi="仿宋" w:eastAsia="仿宋" w:cs="仿宋"/>
        </w:rPr>
        <w:t>在该海域以经济养殖为导向，重点发展深水网箱养殖。适宜用海类型为深水养殖产业类。聚焦发展市场适销对路、经济价值较高的鲈鱼、石斑鱼等主导品种养殖，积极引进美国红鱼、大黄鱼、鲷鱼等优势特色养殖品种。养殖方式以装备式、游钓式等为主。重点项目为深水网箱产业基地、海洋牧场示范基地、海洋智慧渔业产业基地。</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6.编号06海域：黄江-螺河入海口增养殖用海发展规划</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位于黄江与螺河入海口附近海域，用海面积约614公顷。建设共享渔场示范基地与休闲渔业产业基地，开展全民海洋增殖放流、海底观光、休闲游钓等新型业态，促进渔民增收。打造休闲渔业产业基地，开展全民海洋增殖放流、科普研学、潜水渔猎、海洋观光游钓、渔文化体验等新型业态，推进休渔期渔民进行转产转业，解决基本民生问题和满足近岸开展海洋休闲活动的需求。</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该海域的黄江入海口增养殖用海部分以海洋生态环境管护为主，进行特色保护和管理，加大该海域海洋生态环境保育和生态资源管护的力度，禁止一切养殖活动。除海洋生态保护类海域外，在该海域的螺河入海口增养殖用海部分，适度进行休闲渔业开发，促进渔业绿色生产，推进休渔期渔民转产转业。适宜用海类型为海洋生态保护类、共享渔业牧场类。在海域渔业生态环境相对平稳的基础上，养殖品种选择贝类、鱼类等品种，也可增设增殖放流活动，以底播式、游钓式养殖方式为主，加大该海域海洋生态环境保育和生态资源管护的力度。重点项目为共享渔场示范基地、休闲渔业产业基地。</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7.编号07海域：龟龄岛东海域增养殖用海发展规划</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位于捷胜东南的东屿岛及附近海域，用海面积约1870公顷。基于不破坏管护区人工鱼礁资源管护效果及海域资源基本平衡的开发要求，依托海域内三目屿、扁担头岛、双担等丰富的渔业资源和基础配套设施，联动海洋附近的东屿岛、竹竿屿、白担、铁砧岛等岛礁空间，适度融合休闲渔业、海洋游钓等新业态，开展科普研学、渔事体验等休闲渔旅活动，丰富休闲渔旅业态和岛礁融合业态，促进海域渔业产业融合发展。</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考虑到该海域位于国家级海洋公园、人工鱼礁保护区及生态红线严格保护的要求，需严格规范并合理安排人工鱼礁区内渔业生产开发利用活动，开发方向应以生态增养殖为主，可适度进行休闲渔旅融合、岛礁融合开发。适宜用海类型为渔业资源管护类、休闲渔旅融合类、岛礁融合发展类。在海域渔业生物资源相对平衡的基础上，在管护区内适度增殖放养牡蛎、扇贝等滤食性好的贝类养殖品种以及水体生态修复力较强的海带、江蓠等藻类养殖品种，在管护区外适度开展鲍鱼、石斑鱼、大黄鱼、鲈鱼等品种种苗培育。养殖方式主要采用底播式、投礁式等渔业绿色生态增养殖方式。重点项目为人工鱼礁示范基地、海洋牧场示范基地、休闲渔业产业基地、海洋渔业科研基地、渔旅融合产业基地。</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8.编号08海域：遮浪东海域增养殖用海发展规划</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位于遮浪半岛施公寮东部的金屿岛及附近海域，用海面积约2057公顷。依托岛礁融合海洋牧场、管护平台及设备，联动金屿及其周边岛礁，加快完备金屿岛等岛礁基础设施设备建设，推进岛礁传统养殖产业与海洋渔乐园、休闲渔业等新兴发展模式的深度融合，完善海洋牧场、海上应急避难相关基础设施配套，积极开展增殖流放等生态保育活动和海洋游钓、潜捕鲍等休闲渔业体验活动，达到金屿岛及其附近海域岛礁资源联动，推动传统渔业向现代渔业转型发展的目的，促进海洋岛礁渔业产业融合发展。在该区域可规划建设约780口深水网箱。</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该海域主要进行岛礁融合开发，推进岛礁联动发展，并适度开发经济养殖。适宜用海类型为海洋资源管护类、休闲渔旅融合类、岛礁融合发展类。重点发展市场对路适销、经济效益较高的鲍鱼、鲈鱼等主导品种养殖，积极引进海胆、石斑鱼、大黄鱼等优势特色养殖品种。养殖方式以游钓式、装备式等为主。重点项目为生态渔业岛礁产业基地、海上应急避难场所、海洋牧场示范基地、渔旅融合产业基地。</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9.编号09海域：金厢南海域增养殖用海发展规划</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位于碣石-金厢海域，用海面积约5888公顷。通过应用渔业资源评估模型、3G视频动态监测等渔业资源管护技术，实现海洋资源管护的动态监控评估和资源调度，达到海域渔业资源管护、增殖保育的目的。基于不破坏管护区生态资源基底的前提，于金厢近岸海域建设水产生态绿色养殖基地，适度开展绿色生态养殖、增殖流放等生态保育活动，促进渔业生态环境改善，探索绿色养殖模式。</w:t>
      </w:r>
    </w:p>
    <w:p>
      <w:pPr>
        <w:spacing w:line="560" w:lineRule="atLeast"/>
        <w:ind w:firstLine="640"/>
        <w:rPr>
          <w:rFonts w:ascii="仿宋" w:hAnsi="仿宋" w:eastAsia="仿宋" w:cs="仿宋"/>
        </w:rPr>
      </w:pPr>
      <w:r>
        <w:rPr>
          <w:rFonts w:hint="eastAsia" w:ascii="仿宋" w:hAnsi="仿宋" w:eastAsia="仿宋" w:cs="仿宋"/>
        </w:rPr>
        <w:t>考虑到该海域大部分位于重要渔业海域及限制类生态红线保护范围内，对海洋环境的保护需要严格规范并合理安排人工鱼礁区内渔业生产开发利用活动，在陆丰金厢南海域国家级海洋牧场示范区内，以海洋生态环境保育和生态资源管护为主，禁止一切养殖活动。适宜用海类型为渔业生态保护类、绿色生态养殖类。该海域除渔业生态保护类区域外，采用绿色生态养殖，以投礁式、底播式、田园式为主，优化现状资源管护养殖方式。重点项目为人工鱼礁示范基地、海洋牧场示范基地、水产生态绿色养殖基地、渔旅融合产业基地。</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10.编号10海域：乌坎南海域增养殖用海发展规划</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位于碣石湾北部的乌坎海域，用海面积约700公顷。通过应用无饲料的生态养殖技术、水下动态监测等养殖技术，实现海洋养殖的自动化、智能化和无污染化，达到海洋生态与渔业生产绿色健康发展的目的。依托海上养殖平台及设备，着力完善相关基础设施设备，打造“海上田园牧场”“海上渔庄”等休闲渔旅体验空间，开展海底狩猎、海上田园垂钓、平台游钓等休闲渔业活动，增设学渔民、当渔夫等渔家演绎互动体验式活动，多元化打造渔旅融合产业基地示范样板，加快推动海域传统渔业转产转业。</w:t>
      </w:r>
    </w:p>
    <w:p>
      <w:pPr>
        <w:spacing w:line="560" w:lineRule="atLeast"/>
        <w:ind w:firstLine="640"/>
        <w:rPr>
          <w:rFonts w:ascii="仿宋" w:hAnsi="仿宋" w:eastAsia="仿宋" w:cs="仿宋"/>
        </w:rPr>
      </w:pPr>
      <w:r>
        <w:rPr>
          <w:rFonts w:hint="eastAsia" w:ascii="仿宋" w:hAnsi="仿宋" w:eastAsia="仿宋" w:cs="仿宋"/>
        </w:rPr>
        <w:t>该海域以休闲渔旅开发为主，适度发展生态经济养殖，促进渔业绿色生产，推动休渔期渔民转产转业。适宜用海类型为休闲渔旅融合类、绿色生态养殖类。借助海域东接的金厢角西海域的养殖资源，聚焦发展市场适销对路、经济效益较高的青蟹、牡蛎、紫菜、江蓠等品种养殖，积极引进扇贝、海带等优势特色养殖品种。养殖方式以吊笼式、田园式、游钓式、底播式为主。重点项目为人工鱼礁示范基地、海洋牧场示范基地、渔旅融合产业基地、水产生态绿色养殖基地。</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11.编号11海域：金厢西海域增养殖用海发展规划</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位于金厢角西海域，用海面积约300公顷。应用不投喂饵料的生态养殖、多品类复合化的立体化养殖等生态养殖技术，实现海洋养殖的无污染化、智能化，达到海洋生态与渔业绿色养殖协调发展的目的。依托海上养殖平台及设备，重点打造休闲渔业基地，开展全民海洋增殖放流、海底观光、休闲游钓等新型业态，以及增殖流放等生态保育活动，丰富海域休闲渔业业态，促进海域渔业产业融合发展和渔民增收。</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该海域以生态经济养殖为主，适度进行休闲渔业开发，促进渔业绿色生产，推进休渔期渔民转产转业。适宜用海类型为休闲渔旅融合类、绿色生态养殖类。在对近岸海域水质不产生负面影响的前提下，重点发展鲍鱼、蛤蜊、青蟹、海带等营养价值和经济价值较高的品种养殖。养殖方式同时采用底播式、吊笼式、游钓式等，以优化现状传统养殖方式。重点项目为休闲渔业产业基地、海洋牧场示范基地、水产生态绿色养殖基地。</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12.编号12海域：乌坎潟湖及潮汐通道海域增养殖用海发展规划</w:t>
      </w:r>
    </w:p>
    <w:p>
      <w:pPr>
        <w:spacing w:line="560" w:lineRule="atLeast"/>
        <w:ind w:firstLine="640"/>
        <w:rPr>
          <w:rFonts w:ascii="仿宋" w:hAnsi="仿宋" w:eastAsia="仿宋" w:cs="仿宋"/>
        </w:rPr>
      </w:pPr>
      <w:r>
        <w:rPr>
          <w:rFonts w:hint="eastAsia" w:ascii="仿宋" w:hAnsi="仿宋" w:eastAsia="仿宋" w:cs="仿宋"/>
        </w:rPr>
        <w:t>位于乌坎周边海域，用海面积约258公顷。通过应用自动喂饲、3G视频动态监测等养殖技术，实现海洋养殖的自动化、智能化和无污染化，达到近岸海域绿色健康发展的目的。重点打造休闲渔业产业基地，开展全民海洋增殖放流、科普研学、潜水渔猎、海洋观光游钓、渔文化体验等新型业态，推进休渔期渔民进行转产转业，解决基本民生问题和满足近岸开展海洋休闲活动的需求。</w:t>
      </w:r>
    </w:p>
    <w:p>
      <w:pPr>
        <w:spacing w:line="560" w:lineRule="atLeast"/>
        <w:ind w:firstLine="640"/>
        <w:rPr>
          <w:rFonts w:ascii="仿宋" w:hAnsi="仿宋" w:eastAsia="仿宋" w:cs="仿宋"/>
        </w:rPr>
      </w:pPr>
      <w:r>
        <w:rPr>
          <w:rFonts w:hint="eastAsia" w:ascii="仿宋" w:hAnsi="仿宋" w:eastAsia="仿宋" w:cs="仿宋"/>
        </w:rPr>
        <w:t>该海域以生态养殖为主，适度进行休闲渔业开发，促进渔业绿色生产，推进休渔期渔民转产转业。着力推进该区域海水养殖污染整治工作，重点整治超标排污、粗放粗养的养殖鱼排，鼓励传统养殖模式转型升级。适宜用海类型为休闲渔旅融合类、绿色生态养殖类。在该海域渔业生态环境相对平稳的基础上，开展鲍鱼、牡蛎、紫菜、海带等营养价值和经济价值较高的品种养殖。养殖方式以吊笼式、游钓式等养殖方式，打造水产生态绿色养殖基地。重点项目为休闲渔业产业基地、水产生态绿色养殖基地。</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13.编号13海域：碣石南海域增养殖用海发展规划</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位于田尾角海域，用海面积约2100公顷。依托深水网箱平台，打造海洋智能化加工平台，开展海产品初加工，实现区域生产、加工、流通全面发展。依托岛礁融合海洋牧场、管护平台及设备，联动西桔礁及其周边岛礁，推进岛礁生态养殖产业与海岛休闲渔业等新兴发展模式的深度融合，完善海洋牧场、海上应急避难相关设施配套，推动传统渔业向现代渔业转型发展的目的，促进海洋岛礁渔业产业融合发展。通过应用自动喂饲、水下监测、水下洗网等养殖技术，实现网箱养殖的自动化、智能化和无污染化，达到深海渔业绿色健康发展的目的。在该区域可规划建设约1555口深水网箱。</w:t>
      </w:r>
    </w:p>
    <w:p>
      <w:pPr>
        <w:spacing w:line="560" w:lineRule="atLeast"/>
        <w:ind w:firstLine="640"/>
        <w:rPr>
          <w:rFonts w:ascii="仿宋" w:hAnsi="仿宋" w:eastAsia="仿宋" w:cs="仿宋"/>
        </w:rPr>
      </w:pPr>
      <w:r>
        <w:rPr>
          <w:rFonts w:hint="eastAsia" w:ascii="仿宋" w:hAnsi="仿宋" w:eastAsia="仿宋" w:cs="仿宋"/>
        </w:rPr>
        <w:t>该海域进行深水经济养殖开发，重点发展深水网箱养殖、并结合西桔礁等岛礁资源发展岛礁融合类海洋牧场。适宜的用海类型为深水养殖产业类、岛礁融合发展类。大力发展市场适销对路、经济价值较高的石斑鱼、鲈鱼等主导品种，积极引进大黄鱼、美国红鱼、鲷鱼、卵形鲳鲹等辅助品种养殖，并利用海底海床等空间适度发展蛤蜊、扇贝等品种养殖。养殖方式以田园式、装备式、游钓式、投礁式等为主。重点项目为深水网箱产业基地、生态渔业岛礁产业基地、海洋牧场示范基地。</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14.编号14海域：湖东南海域增养殖用海发展规划</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位于湖东海域，用海面积约2800公顷。通过应用海上风电工程技术、设施渔业前沿技术，以及物联网、大数据、人工智能等现代信息技术，引入海洋牧场与海上风电融合技术新模式、渔光一体技术模式、半潜式波浪能发电技术模式等，开展海上风电与生态渔业融合发展的探索和试点，探索发展海洋数字化技术应用，促进海洋渔业产业融合发展。</w:t>
      </w:r>
    </w:p>
    <w:p>
      <w:pPr>
        <w:spacing w:line="560" w:lineRule="atLeast"/>
        <w:ind w:firstLine="640"/>
        <w:rPr>
          <w:rFonts w:ascii="仿宋" w:hAnsi="仿宋" w:eastAsia="仿宋" w:cs="仿宋"/>
        </w:rPr>
      </w:pPr>
      <w:r>
        <w:rPr>
          <w:rFonts w:hint="eastAsia" w:ascii="仿宋" w:hAnsi="仿宋" w:eastAsia="仿宋" w:cs="仿宋"/>
        </w:rPr>
        <w:t>该海域以能源融合养殖为主，重点发展海上风电能源融合养殖。适宜用海类型为能源混合利用类。大力发展经济价值较高的石斑鱼、鲈鱼等主导品种，积极发展美国红鱼、大黄鱼、鲷鱼、卵形鲳鲹等辅助品种养殖。养殖方式以装备式、游钓式、驯化式等为主。重点项目为能源融合养殖产业基地、海洋牧场示范基地、海洋智慧渔业产业基地。</w:t>
      </w:r>
    </w:p>
    <w:p>
      <w:pPr>
        <w:spacing w:line="560" w:lineRule="atLeast"/>
        <w:ind w:firstLine="640"/>
        <w:rPr>
          <w:rFonts w:ascii="仿宋" w:hAnsi="仿宋" w:eastAsia="仿宋" w:cs="仿宋"/>
        </w:rPr>
      </w:pPr>
      <w:r>
        <w:rPr>
          <w:rFonts w:hint="eastAsia" w:ascii="仿宋" w:hAnsi="仿宋" w:eastAsia="仿宋" w:cs="仿宋"/>
        </w:rPr>
        <w:t>15.编号15海域：甲子南海域增养殖用海发展规划</w:t>
      </w:r>
    </w:p>
    <w:p>
      <w:pPr>
        <w:spacing w:line="560" w:lineRule="atLeast"/>
        <w:ind w:firstLine="640"/>
        <w:rPr>
          <w:rFonts w:ascii="仿宋" w:hAnsi="仿宋" w:eastAsia="仿宋" w:cs="仿宋"/>
        </w:rPr>
      </w:pPr>
      <w:r>
        <w:rPr>
          <w:rFonts w:hint="eastAsia" w:ascii="仿宋" w:hAnsi="仿宋" w:eastAsia="仿宋" w:cs="仿宋"/>
        </w:rPr>
        <w:t>位于甲子角海域，用海面积约1400公顷。通过应用自动喂饲、水下监测、水下洗网等养殖技术，实现网箱养殖的自动化、智能化和无污染化，结合应用海上风电工程技术、设施渔业前沿技术及物联网、大数据、人工智能等现代信息技术，引入海洋牧场与海上风电融合技术新模式、渔光体技术模式、半潜式波浪能发电技术模式等，探索发展数字智慧渔业养殖，达到海洋养殖智慧化及融合海上风电能源发展的目的。在该区域可规划建设约780口深水网箱。</w:t>
      </w:r>
    </w:p>
    <w:p>
      <w:pPr>
        <w:spacing w:line="560" w:lineRule="atLeast"/>
        <w:ind w:firstLine="640"/>
        <w:rPr>
          <w:rFonts w:ascii="仿宋" w:hAnsi="仿宋" w:eastAsia="仿宋" w:cs="仿宋"/>
        </w:rPr>
      </w:pPr>
      <w:r>
        <w:rPr>
          <w:rFonts w:hint="eastAsia" w:ascii="仿宋" w:hAnsi="仿宋" w:eastAsia="仿宋" w:cs="仿宋"/>
        </w:rPr>
        <w:t>该海域以经济养殖开发为主，重点发展深水网箱养殖及海上风电能源融合养殖。适宜用海类型为深水养殖产业类、能源混合利用类。大力发展经济价值较高的石斑鱼、鲈鱼等主导品种，积极发展美国红鱼、大黄鱼、鲷鱼、卵形鲳鲹等辅助品种养殖。养殖方式以装备式、驯化式等为主。重点项目为深水网箱产业基地、海洋牧场示范基地、能源融合养殖产业基地、海洋智慧渔业产业基地。</w:t>
      </w:r>
    </w:p>
    <w:p>
      <w:pPr>
        <w:pStyle w:val="4"/>
        <w:spacing w:before="156" w:after="156" w:line="560" w:lineRule="atLeast"/>
        <w:ind w:firstLine="640" w:firstLineChars="200"/>
        <w:rPr>
          <w:rFonts w:ascii="楷体" w:hAnsi="楷体" w:eastAsia="楷体" w:cs="楷体"/>
          <w:b w:val="0"/>
          <w:bCs w:val="0"/>
        </w:rPr>
      </w:pPr>
      <w:bookmarkStart w:id="99" w:name="_Toc29643"/>
      <w:r>
        <w:rPr>
          <w:rFonts w:hint="eastAsia" w:ascii="楷体" w:hAnsi="楷体" w:eastAsia="楷体" w:cs="楷体"/>
          <w:b w:val="0"/>
          <w:bCs w:val="0"/>
        </w:rPr>
        <w:t>（四）保驾护航，五工程强化海陆统筹联动</w:t>
      </w:r>
      <w:bookmarkEnd w:id="99"/>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1.构建海陆交通互通工程</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推进海上交通节点建设，优化提升渔港功能。对汕尾市现有渔港进行维护、改造、升级，整体优化现状渔港设施，提升渔港服务功能。依托江牧岛、芒屿岛、龟龄岛、金屿、西桔礁等岛屿布置海上运输码头。依托深水网箱养殖平台，设置海上停靠平台，为船舶提供临时停泊点，进一步发展休闲渔业。在现状海上运输航道的基础上，依托海上交通节点建设进程，逐步完善渔业专用作业航道、海上休闲体验航道，形成海陆融合交通网络，促进海上互联互通。</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2.建设海陆安全庇护工程</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建立应急避难场所体系，提升防灾减灾能力。以汕尾市的汕尾渔港、碣石渔港等现有渔港为基础，进一步提升渔港避风能力。依据渔港等级，以一级渔港为骨干，二级渔港为基础，三级渔港和避风锚地为补充，全面提升近岸安全避风功能。依托芒屿岛、江牧岛、西桔礁、金屿等海岛建设应急庇护场所，配置相应的基础设施，同时，加强专业应急物资储备，适时适事调整储备品种和数量。在编号4、5、7、9、13、14、15用海海域，建设海上风险监测预警系统，搭建分级预警体系，加强台风、风暴潮等灾难多发点的监控，完善安全预警系统和应急救援系统，实现安全预警和应急救援。</w:t>
      </w:r>
    </w:p>
    <w:p>
      <w:pPr>
        <w:ind w:firstLine="640"/>
      </w:pP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3.完善海陆市场对接工程</w:t>
      </w:r>
    </w:p>
    <w:p>
      <w:pPr>
        <w:spacing w:line="560" w:lineRule="atLeast"/>
        <w:ind w:firstLine="640"/>
      </w:pPr>
      <w:r>
        <w:rPr>
          <w:rFonts w:hint="eastAsia" w:ascii="仿宋" w:hAnsi="仿宋" w:eastAsia="仿宋" w:cs="仿宋"/>
        </w:rPr>
        <w:t>加快市场对接工程建设，构建现代渔业流通网络。结合汕尾市位于碣石湾、红海湾、甲子角的渔港经济区建设，打造汕尾市三大水产品集散中心。联合汕尾市位于碣石湾、红海湾、甲子角内的水产品批发市场，对接海洋养殖鲜活水产品、海洋初加工产品、精深加工产品与市场需求，集成水产品交易服务。结合水产海洋深水网箱养殖等设施建设，搭建三大海洋智能化加工平台，聚集海上初加工技术，打造海洋绿色渔业科技生产基地。同时联动提升汕尾市红海湾现有的三大水产加工基地，拓展水产品精深加工新领域，提升水产品的利用率与附加值。结合海上养殖平台、岛礁融合，连接汕尾市陆域公路、铁路、航空等交通通道，形成多条储运通道</w:t>
      </w:r>
      <w:r>
        <w:rPr>
          <w:rFonts w:hint="eastAsia"/>
        </w:rPr>
        <w:t>。</w:t>
      </w:r>
    </w:p>
    <w:p>
      <w:pPr>
        <w:spacing w:line="560" w:lineRule="atLeast"/>
        <w:ind w:firstLine="640"/>
        <w:rPr>
          <w:rFonts w:ascii="仿宋" w:hAnsi="仿宋" w:eastAsia="仿宋" w:cs="仿宋"/>
          <w:szCs w:val="32"/>
        </w:rPr>
      </w:pPr>
      <w:r>
        <w:rPr>
          <w:rFonts w:hint="eastAsia" w:ascii="仿宋" w:hAnsi="仿宋" w:eastAsia="仿宋" w:cs="仿宋"/>
          <w:szCs w:val="32"/>
        </w:rPr>
        <w:t>4.推动绿色生产溯源工程</w:t>
      </w:r>
    </w:p>
    <w:p>
      <w:pPr>
        <w:spacing w:line="560" w:lineRule="atLeast"/>
        <w:ind w:firstLine="640"/>
      </w:pPr>
      <w:r>
        <w:rPr>
          <w:rFonts w:hint="eastAsia" w:ascii="仿宋" w:hAnsi="仿宋" w:eastAsia="仿宋" w:cs="仿宋"/>
        </w:rPr>
        <w:t>紧抓水产养殖业绿色发展、智慧渔业等产业发展新趋势，结合汕尾海洋渔业发展需求，加快建设汕尾海产品绿色生产溯源系统。绿色生产溯源系统主要由监管部门、供给端、消费者三级构成，分别为政府监管系统、企业生产交易管理系统和消费者查询系统。通过物联网、防伪标签和二维码等设备技术，将水产品生产和加工过程中使用的原料、农药以及各流通环节和水产品检测结果、生产地、加工地、相关日期等整合归档进行记录，并为每个水产品赋予独有的“绿色身份档案”；结合物联网、互联网应用，实现终端销售和消费者查询终端的水产品生产查询监控和销售保障。</w:t>
      </w:r>
    </w:p>
    <w:p>
      <w:pPr>
        <w:spacing w:line="560" w:lineRule="atLeast"/>
        <w:ind w:firstLine="640"/>
        <w:rPr>
          <w:rFonts w:ascii="仿宋" w:hAnsi="仿宋" w:eastAsia="仿宋" w:cs="仿宋"/>
          <w:szCs w:val="32"/>
        </w:rPr>
      </w:pPr>
      <w:r>
        <w:rPr>
          <w:rFonts w:hint="eastAsia" w:ascii="仿宋" w:hAnsi="仿宋" w:eastAsia="仿宋" w:cs="仿宋"/>
          <w:szCs w:val="32"/>
        </w:rPr>
        <w:t>5.探索渔业用海使用金试点工程</w:t>
      </w:r>
    </w:p>
    <w:p>
      <w:pPr>
        <w:spacing w:line="560" w:lineRule="atLeast"/>
        <w:ind w:firstLine="640"/>
        <w:rPr>
          <w:rFonts w:ascii="仿宋" w:hAnsi="仿宋" w:eastAsia="仿宋" w:cs="仿宋"/>
        </w:rPr>
      </w:pPr>
      <w:r>
        <w:rPr>
          <w:rFonts w:hint="eastAsia" w:ascii="仿宋" w:hAnsi="仿宋" w:eastAsia="仿宋" w:cs="仿宋"/>
        </w:rPr>
        <w:t>依据相关文件精神，探索先行制定《汕尾市渔业用海使用金试点实施方案》《关于渔业用海使用金征收管理的通知》等政策措施，做好养殖用海降费减负政策的宣传引导和执行工作，推进渔业用海使用金试点工作落点落地。同时，建立健全海域、养殖滩涂等用地有偿使用统计报表体系，统一渔业用海、用地使用金收入统计口径。成立全市海域管理工作领导小组，加强渔业用海使用金宏观指导协调，及时研究解决海域管理重点问题。建立市、县、镇三级责任管理网络，落实管理责任制，明确目标要求，强化责任落实，形成一级抓一级、层层抓落实的渔业用海、用地管理新局面。依据用海类型适度设定渔业用海使用金征收标准，并结合实际发展需求适度对渔业用海、用地海域使用金进行调度调整，进一步缓解渔民与企业由于成本上升带来的经营压力，促进海洋养殖健康稳定的发展。</w:t>
      </w:r>
    </w:p>
    <w:p>
      <w:pPr>
        <w:pStyle w:val="4"/>
        <w:spacing w:before="156" w:after="156" w:line="560" w:lineRule="atLeast"/>
        <w:ind w:firstLine="640" w:firstLineChars="200"/>
        <w:rPr>
          <w:rFonts w:ascii="楷体" w:hAnsi="楷体" w:eastAsia="楷体" w:cs="楷体"/>
          <w:b w:val="0"/>
          <w:bCs w:val="0"/>
        </w:rPr>
      </w:pPr>
      <w:bookmarkStart w:id="100" w:name="_Toc15885"/>
      <w:r>
        <w:rPr>
          <w:rFonts w:hint="eastAsia" w:ascii="楷体" w:hAnsi="楷体" w:eastAsia="楷体" w:cs="楷体"/>
          <w:b w:val="0"/>
          <w:bCs w:val="0"/>
        </w:rPr>
        <w:t>（五）配套完善，全方位构建产业服务生态</w:t>
      </w:r>
      <w:bookmarkEnd w:id="100"/>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1.加强交通保障，完善交通体系</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优化水产品运输通道。市政府引导构建水产品物流骨干网络，强化重点港口和大型综合性物流园区集疏运铁路、公路的配套建设，落实水产品运输“绿色通道”政策，减轻企业物流负担；构建集约高效的服务平台，推进物流相关信息开放共享和互联应用，促进跨运输方式、跨部门、跨区域等信息互联共享，打造信息互联“高速公路”；加快建立多式联运标准体系。</w:t>
      </w:r>
    </w:p>
    <w:p>
      <w:pPr>
        <w:spacing w:line="560" w:lineRule="atLeast"/>
        <w:ind w:firstLine="640"/>
        <w:rPr>
          <w:rFonts w:ascii="仿宋" w:hAnsi="仿宋" w:eastAsia="仿宋" w:cs="仿宋"/>
        </w:rPr>
      </w:pPr>
      <w:r>
        <w:rPr>
          <w:rFonts w:hint="eastAsia" w:ascii="仿宋" w:hAnsi="仿宋" w:eastAsia="仿宋" w:cs="仿宋"/>
        </w:rPr>
        <w:t>强化与公共交通对接。依照现有的陆域交通资源条件，完善养殖基地、加工厂、批发市场、渔港等设施周边交通建设，遵循低投入、高产出、多快好省的原则优化交通的资源配置，加快建设铁路、公路、以及车站、港口、码头等相关附属设施，不断完善水产品运输网络，实现公路、铁路、水运多联式交通系统的无缝衔接，形成布局合理、通畅快捷、各种运输方式相互协调、优势互补的综合交通网络体系。</w:t>
      </w:r>
    </w:p>
    <w:p>
      <w:pPr>
        <w:spacing w:line="560" w:lineRule="atLeast"/>
        <w:ind w:firstLine="640"/>
        <w:rPr>
          <w:rFonts w:ascii="仿宋" w:hAnsi="仿宋" w:eastAsia="仿宋" w:cs="仿宋"/>
        </w:rPr>
      </w:pPr>
      <w:r>
        <w:rPr>
          <w:rFonts w:hint="eastAsia" w:ascii="仿宋" w:hAnsi="仿宋" w:eastAsia="仿宋" w:cs="仿宋"/>
        </w:rPr>
        <w:t>完善航道线交通互联。依据规划区域内现有的海上交通资源条件，统筹规划渔业作业区，划定渔业专用作业航道，避免各条航线之间过度重叠交叉。增强海上渔船、休闲渔船、游钓快艇、补给渔船、港区交通等投入使用，完善渔业基础设施建设，增强海上休闲体验航线，加快船只停靠基础服务区域建设，全面畅通最前一公里交通服务体系。</w:t>
      </w:r>
    </w:p>
    <w:p>
      <w:pPr>
        <w:spacing w:line="560" w:lineRule="atLeast"/>
        <w:ind w:firstLine="640"/>
        <w:rPr>
          <w:rFonts w:ascii="仿宋" w:hAnsi="仿宋" w:eastAsia="仿宋" w:cs="仿宋"/>
        </w:rPr>
      </w:pPr>
      <w:r>
        <w:rPr>
          <w:rFonts w:hint="eastAsia" w:ascii="仿宋" w:hAnsi="仿宋" w:eastAsia="仿宋" w:cs="仿宋"/>
        </w:rPr>
        <w:t>构建江河海游览交通。依托陆域港口码头资源，海上平台资源、海底平台资源，构建内河江口、陆域休闲码头、海上中转体验、海底转接体验等多功能、多趣味的海上交通与游览线路；充分结合汕尾市沿海区域现有地形、滨海空间等自然资源特征，构建适合慢行休闲的绿道网络体系，全面畅通绿道、碧道、航道“三道融通”联动发展。</w:t>
      </w:r>
    </w:p>
    <w:p>
      <w:pPr>
        <w:spacing w:line="560" w:lineRule="atLeast"/>
        <w:ind w:firstLine="640"/>
        <w:rPr>
          <w:rFonts w:ascii="仿宋" w:hAnsi="仿宋" w:eastAsia="仿宋" w:cs="仿宋"/>
        </w:rPr>
      </w:pPr>
      <w:r>
        <w:rPr>
          <w:rFonts w:hint="eastAsia" w:ascii="仿宋" w:hAnsi="仿宋" w:eastAsia="仿宋" w:cs="仿宋"/>
        </w:rPr>
        <w:t>构筑多特色交通体系。完善鲜活水产品绿色通道网，清理阻碍水产品流通的种种人为因素，实行绿色通道，打通交通运输体系中陆运、水运各大枢纽的连接环节，使水产品生产、加工、流通过程之间的联系更紧密、更高效，人流、物流来往更加便利。同时，结合交通功能，除陆域公交车外，加强无人驾驶公交、独轮体验趣味车辆，以及海上无人船、海上低空飞行器等多功能设备设施，增强创新服务能力。</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2.提升港口码头，完备渔港设施</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统筹建设，合理布局。突破传统渔港的建设模式，高起点、高水平、高标准规划建设现代渔港码头，合理布局渔港、养殖基地、加工厂等海洋渔业设施，渔港建设规划与渔业、城镇、旅游和环保等规划相衔接，纳入当地经济社会发展规划，促进海洋渔业振兴转型升级，推进渔村渔镇城乡一体化统筹开发建设发展。</w:t>
      </w:r>
    </w:p>
    <w:p>
      <w:pPr>
        <w:spacing w:line="560" w:lineRule="atLeast"/>
        <w:ind w:firstLine="640"/>
        <w:rPr>
          <w:rFonts w:ascii="仿宋" w:hAnsi="仿宋" w:eastAsia="仿宋" w:cs="仿宋"/>
        </w:rPr>
      </w:pPr>
      <w:r>
        <w:rPr>
          <w:rFonts w:hint="eastAsia" w:ascii="仿宋" w:hAnsi="仿宋" w:eastAsia="仿宋" w:cs="仿宋"/>
        </w:rPr>
        <w:t>提升增效，优化资源。对汕尾市现有港口、码头进行维护、改造、升级。推进港口、码头整治建设，助力临港养殖物流产业加快发展，加强港口码头资源的整合利用，优化沿岸、海上、岛上浮游码头的设置管控，同时优化大型多功能的渔业经济区、综合性港口码头，增设置文旅服务空间，拓宽服务功能，完善软件服务设施与配套设施，推动智慧渔港建设。</w:t>
      </w:r>
    </w:p>
    <w:p>
      <w:pPr>
        <w:spacing w:line="560" w:lineRule="atLeast"/>
        <w:ind w:firstLine="640"/>
        <w:rPr>
          <w:rFonts w:ascii="仿宋" w:hAnsi="仿宋" w:eastAsia="仿宋" w:cs="仿宋"/>
        </w:rPr>
      </w:pPr>
      <w:r>
        <w:rPr>
          <w:rFonts w:hint="eastAsia" w:ascii="仿宋" w:hAnsi="仿宋" w:eastAsia="仿宋" w:cs="仿宋"/>
        </w:rPr>
        <w:t>防灾为先，强化功能。坚持防灾减灾为先，把渔港建设作为构筑沿海地区防灾减灾体系的重要组成部分，纳入社会主义新农村建设的重要内容，切实提高渔港的防台抗灾能力，提高渔港防波堤设计波浪标准，满足渔船进港避风的需求。提升渔港生产、加工、电子商务交易、环境治理、监督管理、滨海休闲等综合服务功能，完善渔港冷链储藏、配送、运输等渔业配套设施，加强通讯导航、消防、照明和管理等设施功能，满足渔业生产和转型升级的需求，促进渔民富裕、渔区兴旺，构筑具有渔乡风情、功能互补的现代渔港新体系，推动平安渔港建设。</w:t>
      </w:r>
    </w:p>
    <w:p>
      <w:pPr>
        <w:spacing w:line="560" w:lineRule="atLeast"/>
        <w:ind w:firstLine="640"/>
        <w:rPr>
          <w:rFonts w:ascii="仿宋" w:hAnsi="仿宋" w:eastAsia="仿宋" w:cs="仿宋"/>
        </w:rPr>
      </w:pPr>
      <w:r>
        <w:rPr>
          <w:rFonts w:hint="eastAsia" w:ascii="仿宋" w:hAnsi="仿宋" w:eastAsia="仿宋" w:cs="仿宋"/>
        </w:rPr>
        <w:t>注重环境，保护港湾。坚持集聚发展，节约集约，贯彻生态用海、生态管海理念，加强渔港环评管理，渔港内渔船严格执行污染物排放标准，渔船产生的污染物达到国家相关标准的控制水平，构建生态、美丽、文明渔港。充分利用先进实用技术，建设和改造具有海水交换功能的防波堤以及利于海洋生物生息、繁殖的水工建筑物，注重港湾内水体交换设计和港区环保设计，注重保护天然的避风港湾，大力推动渔港清洁整治行动与美化亮化工程，全面推动清洁渔港和美丽渔港建设。</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3.构建冷链物流，发展智能配送</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完善冷链物流产业空间布局。加快冷链物流基地建设，做实、做大、做强一批冷链物流项目。鼓励鲜活水产品的生产流通主体，在重要运输干道上建设以冷库为基础的冷链物流节点，保证水产品运输过程中不会出现“断链”状况。补齐水产品产地及城市“最前一公里”的短板，完善冷链网络起点与终端建设，重点建设智能化、标准化预冷设施，除对接大型超市、便利店、水产批发市场外，可在有条件的社区试点冷藏配送柜或最前一公里智能小站。</w:t>
      </w:r>
    </w:p>
    <w:p>
      <w:pPr>
        <w:spacing w:line="560" w:lineRule="atLeast"/>
        <w:ind w:firstLine="640"/>
        <w:rPr>
          <w:rFonts w:ascii="仿宋" w:hAnsi="仿宋" w:eastAsia="仿宋" w:cs="仿宋"/>
        </w:rPr>
      </w:pPr>
      <w:r>
        <w:rPr>
          <w:rFonts w:hint="eastAsia" w:ascii="仿宋" w:hAnsi="仿宋" w:eastAsia="仿宋" w:cs="仿宋"/>
        </w:rPr>
        <w:t>加快冷链设施设备技术提升。推广节能环保技术和设施应用。鼓励在鲜活水产品流通中采用低能耗、低排放设备设施，推广节能环保技术。发展建设节能型绿色仓储设施，鼓励水产品加工、包装、分拣、装卸、存储等环节的设备更新改造，降低流通环节的能耗。支持冷库技术提升，重点在于标准化冷库的集约利用和冷库建筑空间的科学利用，蓄能设备的开发、冷媒技术的更新、分拣联检一体化应用，以及高效化水产品加工与运输过程技术创新，帮扶技术层面指导和政策支持，重点推动安全、节能、可追溯冷藏车优先发展，推广使用全程温度自动监测记录和控制的节能冷藏车，确保水产品运输过程无“断链”，研发、试点并推动储能或蓄冷保温箱在冻品运输过程中的应用。在新建或技术改造项目上，进行能耗、环境和安全方面预评估，确保节能、环保、安全的冷链项目优先发展。</w:t>
      </w:r>
    </w:p>
    <w:p>
      <w:pPr>
        <w:spacing w:line="560" w:lineRule="atLeast"/>
        <w:ind w:firstLine="640"/>
        <w:rPr>
          <w:rFonts w:ascii="仿宋" w:hAnsi="仿宋" w:eastAsia="仿宋" w:cs="仿宋"/>
        </w:rPr>
      </w:pPr>
      <w:r>
        <w:rPr>
          <w:rFonts w:hint="eastAsia" w:ascii="仿宋" w:hAnsi="仿宋" w:eastAsia="仿宋" w:cs="仿宋"/>
        </w:rPr>
        <w:t>推动冷链物流的智能化建设。推广移动互联网、物联网、地理信息系统、全球定位系统、二维码、电子标签、大数据等先进的信息技术在鲜活水产品流通领域的普及应用，提升水产品流通过程智能化水平。建立追溯体系，选择一批水产品生产加工企业、批发市场及冷链物流企业，建立从生产源头到餐桌的全过程质量监管体系，进一步提高水产品流通过程的安全性。</w:t>
      </w:r>
    </w:p>
    <w:p>
      <w:pPr>
        <w:spacing w:line="560" w:lineRule="atLeast"/>
        <w:ind w:firstLine="640"/>
        <w:rPr>
          <w:rFonts w:ascii="仿宋" w:hAnsi="仿宋" w:eastAsia="仿宋" w:cs="仿宋"/>
        </w:rPr>
      </w:pPr>
      <w:r>
        <w:rPr>
          <w:rFonts w:hint="eastAsia" w:ascii="仿宋" w:hAnsi="仿宋" w:eastAsia="仿宋" w:cs="仿宋"/>
        </w:rPr>
        <w:t>构建集约高效共享配送体系。建立水产生鲜技工配送中心或水产品保供中心，对区域内闲置的资源进行有机整合，激励企业内销售和库存进行重组，实施仓储—配送—流通—加工一体化高效共享资源互动，实现构建集约高效共享配送体系。冷链物流目标是保障产品新鲜度、提高服务水平及降低配送成本，通过集约高效共享配送提高物流效率，提高车辆装载率，提高仓储空间利用率，节约各生产环节成本，形成规模共享经济效益与社会服务虹吸效应。</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4.强化避难场所，健全庇护功能</w:t>
      </w:r>
    </w:p>
    <w:p>
      <w:pPr>
        <w:pStyle w:val="5"/>
        <w:spacing w:line="560" w:lineRule="atLeast"/>
        <w:ind w:firstLine="640"/>
        <w:rPr>
          <w:rFonts w:ascii="仿宋" w:hAnsi="仿宋" w:eastAsia="仿宋" w:cs="仿宋"/>
        </w:rPr>
      </w:pPr>
      <w:r>
        <w:rPr>
          <w:rFonts w:hint="eastAsia" w:ascii="仿宋" w:hAnsi="仿宋" w:eastAsia="仿宋" w:cs="仿宋"/>
          <w:b w:val="0"/>
          <w:bCs w:val="0"/>
        </w:rPr>
        <w:t>优化应急避难场所基础设施。庇护场所应从陆域到海上加强布局与建设，特别增强滨海与海上防灾避难场所的布局与整体建设。防灾避难场所包括硬件空间建设与软件应急预案建设、制度完善建设、人才队伍建设等，同时对现有避难所进行优化设计，确保应急避难所的安全性，建立适应汕尾灾难特征的安全、高效、综合的应急避难场所体系，满足特别重大突发事件的避难需求，保障渔民的生命安全，减少养殖产品的损失。</w:t>
      </w:r>
    </w:p>
    <w:p>
      <w:pPr>
        <w:spacing w:line="560" w:lineRule="atLeast"/>
        <w:ind w:firstLine="640"/>
        <w:rPr>
          <w:rFonts w:ascii="仿宋" w:hAnsi="仿宋" w:eastAsia="仿宋" w:cs="仿宋"/>
        </w:rPr>
      </w:pPr>
      <w:r>
        <w:rPr>
          <w:rFonts w:hint="eastAsia" w:ascii="仿宋" w:hAnsi="仿宋" w:eastAsia="仿宋" w:cs="仿宋"/>
        </w:rPr>
        <w:t>构建全面应急预案管理体系。建立危机管理机制，搭建科学有效的预警平台，健全养殖保险体系。建立完善的应急管理体系，同时建立应急管理领导机构，综合协调机构、专业应急机构和基层应急机构等组成的应急组织体系，形成包括总预案、分预案、专项预案和部门预案的多层次应急预案体系。搭建分级预警体系，完善安全预警系统和应急救援系统。加强台风、赤潮等灾难多发点的监控，根据情况以电子屏幕、短信投放、手机终端应用、网站、广播电视等形式进行分级预警，建设防灾预警平台，整合灾难信息，制定高风险养殖区域目录，实现安全预警和应急救援。</w:t>
      </w:r>
    </w:p>
    <w:p>
      <w:pPr>
        <w:spacing w:line="560" w:lineRule="atLeast"/>
        <w:ind w:firstLine="640"/>
        <w:rPr>
          <w:rFonts w:ascii="仿宋" w:hAnsi="仿宋" w:eastAsia="仿宋" w:cs="仿宋"/>
        </w:rPr>
      </w:pPr>
      <w:r>
        <w:rPr>
          <w:rFonts w:hint="eastAsia" w:ascii="仿宋" w:hAnsi="仿宋" w:eastAsia="仿宋" w:cs="仿宋"/>
        </w:rPr>
        <w:t>完善应急避难场所保障功能。在现有条件的设施中增设防灾救灾设施，使其满足平时正常发挥设施的功能，以及灾难来临时用作避难场所使用。避难场所要具备多灾兼顾的特点，以节约用地和投资，结合具体灾害特点与避难要求进行建设。区分轻重缓急，结合避难困难地区分布，以及公共设施的建设计划，分期分批建设各类应急避难场所，制定避难场所管理的相关政策，保证灾难突发时能有效地组织和安置避难人员。</w:t>
      </w:r>
    </w:p>
    <w:p>
      <w:pPr>
        <w:spacing w:line="560" w:lineRule="atLeast"/>
        <w:ind w:firstLine="640"/>
        <w:rPr>
          <w:rFonts w:ascii="仿宋" w:hAnsi="仿宋" w:eastAsia="仿宋" w:cs="仿宋"/>
        </w:rPr>
      </w:pPr>
      <w:r>
        <w:rPr>
          <w:rFonts w:hint="eastAsia" w:ascii="仿宋" w:hAnsi="仿宋" w:eastAsia="仿宋" w:cs="仿宋"/>
        </w:rPr>
        <w:t>全面推进安全庇护体系建设。形成一个中心，三个支撑，一个体系。一个中心，即组建海上预警指挥中心，在市应急管理局的领导下开展工作，负责落实汕尾市有关海洋灾害总体预案、专项预案和部门预案。定期进行全市海洋灾害风险评估，指导海洋灾害应急预案编制、管理及演练，开展海洋灾害应急宣传教育等日常性工作。三个支撑，即搭建应急救援基地、应急救援设施、应急通信平台。应急救援基地主要选取汕尾市12座渔港为应急救援基地，同时在有条件岛屿建设直升机平台、避风码头及避风锚地，在金屿岛、西桔礁等岛礁建设1-3个应急救援站，配备小型应急船坞，便利救助船只的就近检修。应急救援设施主要购置救援直升机、应急指挥车、移动应急小平台、无人飞机、应急手机等装备，提高海上救援救助效率。应急通信平台主要启动本市综合应急平台卫星通信地球主站和区域卫星应急通信基站建设，加强统筹管理和使用，构建公共应急通信网络。一个体系，即完善应急救援体系。成立海上应急救援指挥部，负责组织指挥应急救援工作。建立以综合性应急救援队伍为基础，海洋专业性应急救援队伍为骨干，沿海及涉海企事业单位专职为重要组成部分，志愿者救援队伍为补充的海上应急救援体系。</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5.发展休闲服务，推动共享溢出</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提升休闲渔业综合服务设施。对现有休闲渔业渔港码头进行多功能转型升级，新建休闲渔业船舶专用码头，引进游钓船艇，提供出海游钓服务。鼓励各区在有条件海域划定渔船和休闲渔船的航线和休闲作业区。新型渔业基础设施根据海洋休闲渔业活动特征进行改良，提高基础设施的利用率。支持企业和渔民对渔船、休闲渔船、养殖基地、渔港、渔村进行合理改造，突出新装备、新品种、新技术、新模式运用。打造设施完善、结构合理、服务优良的住宿、餐饮、休闲娱乐、文化体验等服务接待体系，实现资源共享溢出。</w:t>
      </w:r>
    </w:p>
    <w:p>
      <w:pPr>
        <w:spacing w:line="560" w:lineRule="atLeast"/>
        <w:ind w:firstLine="640"/>
        <w:rPr>
          <w:rFonts w:ascii="仿宋" w:hAnsi="仿宋" w:eastAsia="仿宋" w:cs="仿宋"/>
        </w:rPr>
      </w:pPr>
      <w:r>
        <w:rPr>
          <w:rFonts w:hint="eastAsia" w:ascii="仿宋" w:hAnsi="仿宋" w:eastAsia="仿宋" w:cs="仿宋"/>
        </w:rPr>
        <w:t>构建休闲渔业软件基础设施。搭建休闲渔业信息化服务管理平台，设置行情资讯、养殖技术规划、网上水产医院、养殖监控、电子交易服务管理、大数据分析等板块，提升智慧化水平。搭建安全管理服务平台，通过船舶监管系统、GIS系统、应急救援系统、旅游咨询服务系统、多媒体管理系统等平台实时监控管理海上营运安全。</w:t>
      </w:r>
    </w:p>
    <w:p>
      <w:pPr>
        <w:spacing w:line="560" w:lineRule="atLeast"/>
        <w:ind w:firstLine="640"/>
        <w:rPr>
          <w:rFonts w:ascii="仿宋" w:hAnsi="仿宋" w:eastAsia="仿宋" w:cs="仿宋"/>
        </w:rPr>
      </w:pPr>
      <w:r>
        <w:rPr>
          <w:rFonts w:hint="eastAsia" w:ascii="仿宋" w:hAnsi="仿宋" w:eastAsia="仿宋" w:cs="仿宋"/>
        </w:rPr>
        <w:t>推进休闲渔业产业互联互通。构建江河海游览交通，依托陆域港口码头资源、海上平台资源，构建内河江口、陆域休闲码头、海上中转体验等多功能、多趣味的海上交通与游览线路，增加休闲游艇、休闲渔船、海上巴士等游钓、游览服务，同时联动深水网箱平台、养殖基地等开展休闲娱乐、餐饮美食、酒店住宿等活动。</w:t>
      </w:r>
    </w:p>
    <w:p>
      <w:pPr>
        <w:spacing w:line="560" w:lineRule="atLeast"/>
        <w:ind w:firstLine="640"/>
        <w:rPr>
          <w:rFonts w:ascii="仿宋" w:hAnsi="仿宋" w:eastAsia="仿宋" w:cs="仿宋"/>
        </w:rPr>
      </w:pPr>
      <w:r>
        <w:rPr>
          <w:rFonts w:hint="eastAsia" w:ascii="仿宋" w:hAnsi="仿宋" w:eastAsia="仿宋" w:cs="仿宋"/>
        </w:rPr>
        <w:t>构建休闲服务建设管理体系。以推广汕尾美食作为建设目标，建设立体多层次供给体系，全面推进海鲜餐饮创新升级。建立与市场需求相适应、多层次的住宿设施，重点实施民宿特色化、酒店精品化方针。完善现有交通基础设施，增设如游船航线、绿道等游览路线，构建立体交通网络。建立完善的公共服务体系，强化游览服务支撑体系。建设汕尾市旅游品牌商品体系，包括品牌定位、创意设计、推广营销、管理维护等。开展民俗节庆、节事活动、文艺演出等。</w:t>
      </w:r>
    </w:p>
    <w:p>
      <w:pPr>
        <w:pStyle w:val="4"/>
        <w:spacing w:before="156" w:after="156" w:line="560" w:lineRule="atLeast"/>
        <w:ind w:firstLine="640" w:firstLineChars="200"/>
        <w:rPr>
          <w:rFonts w:ascii="楷体" w:hAnsi="楷体" w:eastAsia="楷体" w:cs="楷体"/>
          <w:b w:val="0"/>
          <w:bCs w:val="0"/>
        </w:rPr>
      </w:pPr>
      <w:bookmarkStart w:id="101" w:name="_Toc8528"/>
      <w:r>
        <w:rPr>
          <w:rFonts w:hint="eastAsia" w:ascii="楷体" w:hAnsi="楷体" w:eastAsia="楷体" w:cs="楷体"/>
          <w:b w:val="0"/>
          <w:bCs w:val="0"/>
        </w:rPr>
        <w:t>（六）模式创新，多维度优化提升营商环境</w:t>
      </w:r>
      <w:bookmarkEnd w:id="101"/>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1.管理模式创新</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全面推进管理模式创新。形成一个机构，一种机制，三大支撑，三大平台，四大体系。</w:t>
      </w:r>
    </w:p>
    <w:p>
      <w:pPr>
        <w:spacing w:line="560" w:lineRule="atLeast"/>
        <w:ind w:firstLine="640"/>
        <w:rPr>
          <w:rFonts w:ascii="仿宋" w:hAnsi="仿宋" w:eastAsia="仿宋" w:cs="仿宋"/>
        </w:rPr>
      </w:pPr>
      <w:r>
        <w:rPr>
          <w:rFonts w:hint="eastAsia" w:ascii="仿宋" w:hAnsi="仿宋" w:eastAsia="仿宋" w:cs="仿宋"/>
        </w:rPr>
        <w:t>一个机构，成立渔业养殖发展联席委员会。由汕尾市农业农村局牵头，联合各相关主管部门形成渔业养殖发展联席会议制度。由市直相关部门领导和市渔业养殖相关协会负责人作为联席会议核心成员。联席会议办公室设在市农业农村局，承担联席会议日常工作。设立市渔业养殖综合信息指挥中心，创新多部门共同参与的渔业养殖发展工作协调推进机制，打造职责明确、分工合理、配合协调的监督和管理体系，除各部门根据归口职责各司其职、各负其责外，市渔业养殖相关协会负责系统建设运营，做好行业监督管理，鼓励制定行业规范和标准。以系统平台建设为突破口，统一渔业船舶的认定，统一涉业人员及作业行为的动态监控与管理；以数据共享、信息共享、统一管理为契机，实现多部门协调一致的联动与监管服务。</w:t>
      </w:r>
    </w:p>
    <w:p>
      <w:pPr>
        <w:spacing w:line="560" w:lineRule="atLeast"/>
        <w:ind w:firstLine="640"/>
        <w:rPr>
          <w:rFonts w:ascii="仿宋" w:hAnsi="仿宋" w:eastAsia="仿宋" w:cs="仿宋"/>
        </w:rPr>
      </w:pPr>
      <w:r>
        <w:rPr>
          <w:rFonts w:hint="eastAsia" w:ascii="仿宋" w:hAnsi="仿宋" w:eastAsia="仿宋" w:cs="仿宋"/>
        </w:rPr>
        <w:t>一种机制，完善构建形成生态补偿机制。在现有的生态补偿机制基础上，建设以保护生态环境、促进人与自然和谐为目的，具有经济激励作用，与“污染者付费”原则并存、基于“受益者付费和破坏者付费”原则的环境经济政策，探索形成渔业养殖发展的行业生态补偿机制倡议书、海洋渔业生态文明发展联合公约。</w:t>
      </w:r>
    </w:p>
    <w:p>
      <w:pPr>
        <w:spacing w:line="560" w:lineRule="atLeast"/>
        <w:ind w:firstLine="640"/>
        <w:rPr>
          <w:rFonts w:ascii="仿宋" w:hAnsi="仿宋" w:eastAsia="仿宋" w:cs="仿宋"/>
        </w:rPr>
      </w:pPr>
      <w:r>
        <w:rPr>
          <w:rFonts w:hint="eastAsia" w:ascii="仿宋" w:hAnsi="仿宋" w:eastAsia="仿宋" w:cs="仿宋"/>
        </w:rPr>
        <w:t>三大支撑，成立专家智库、产业联盟和龙头支撑。通过渔业养殖各产业链的专家人才，建设渔业智库，引导产业人才聚集与跨界融合创新，构建新型研发机构；以集群化的产业联盟为导向，形成具有渔业养殖全产业链集结与特色差异融合发展的产业联盟；充分发挥汕尾市渔业龙头企业与市级产业基金的作用，鼓励以渔业龙头企业为统领，以科研单位为支撑，产学研一体化发展，推动投资开发战略性新型渔业养殖产业聚集，特别是深水网箱、海洋牧场产业发展等拳头项目。</w:t>
      </w:r>
    </w:p>
    <w:p>
      <w:pPr>
        <w:spacing w:line="560" w:lineRule="atLeast"/>
        <w:ind w:firstLine="640"/>
        <w:rPr>
          <w:rFonts w:ascii="仿宋" w:hAnsi="仿宋" w:eastAsia="仿宋" w:cs="仿宋"/>
        </w:rPr>
      </w:pPr>
      <w:r>
        <w:rPr>
          <w:rFonts w:hint="eastAsia" w:ascii="仿宋" w:hAnsi="仿宋" w:eastAsia="仿宋" w:cs="仿宋"/>
        </w:rPr>
        <w:t>三大平台，搭建投资平台、服务平台、管理平台。渔业养殖投资平台主要指依托于省、市农业产业发展基金，农业产业扶持政策以及渔业养殖产业政策，构建渔业养殖发展融合投资平台，融合投资平台可托管设置农业领域国有资产公司或远洋渔业公司进行一体化运营管理。渔业养殖服务平台主要针对深水网箱、海洋牧场等与之关联的渔业养殖项目的立项申报辅导、审核审批辅导、项目管理营运策略、招商引资服务等，设置渔业养殖一站式服务窗口，服务平台可托管于市渔业养殖相关协会。渔业养殖管理平台主要负责渔业养殖公共配套设施的整合规划，实施方案指导落实，综合信息资源的统计汇总，渔业养殖资源监管协调等日常工作。</w:t>
      </w:r>
    </w:p>
    <w:p>
      <w:pPr>
        <w:spacing w:line="560" w:lineRule="atLeast"/>
        <w:ind w:firstLine="640"/>
        <w:rPr>
          <w:rFonts w:ascii="仿宋" w:hAnsi="仿宋" w:eastAsia="仿宋" w:cs="仿宋"/>
        </w:rPr>
      </w:pPr>
      <w:r>
        <w:rPr>
          <w:rFonts w:hint="eastAsia" w:ascii="仿宋" w:hAnsi="仿宋" w:eastAsia="仿宋" w:cs="仿宋"/>
        </w:rPr>
        <w:t>四大体系，完善政策、管理、营运、保障体系。依据现行的农业政策、科技政策、产业政策、深水网箱政策、船舶航运政策、造船业政策以及休闲渔业相关政策资源，鼓励有条件区域纳入地方招商引资政策体系建设，探索制定汕尾市海洋养殖产业发展若干意见；依据上位规划要求建设完善海洋养殖相关管理体系，明确行政体制和市场体制双重体系下的营运责任主体；完善海洋养殖发展的审核审批机制，重点完善立项审批、行政审批、秩序维护、执法程序等内容；完善海洋养殖产业相关的保障体系和公共基础设施。重点突出政策保障、用海用地保障、安全生产保障、风险防御保障等相关措施。</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2.投资模式创新</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注重产业投资扶持。利用好《广东省人民政府办公厅关于财政经营性资金实施股权投资管理的意见（试行）》以及《关于进一步完善省财政经营性资金股权投资改革有关工作的意见》，将大型海洋渔业产业集群或创新产业链项目，纳入该投资领域。针对公益性海洋牧场项目或民生性渔业养殖项目，争取纳入“三农”领域补短板项目扶持政策，或地方“一事一议”项目政策。针对渔业养殖发展的研究性机构或人才机构，争取纳入《广东省人民政府印发关于进一步促进科技创新若干政策措施的通知》、广东科技创业领军人才补贴政策以及汕尾市相关人才政策扶持等，鼓励有条件的区县自行出台相关扶持措施。</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优化产业开发管理。在渔业养殖设施设备投资营运方面，可将投资渔业养殖设施设备固定资产的产权与经营权分离设置，积极探索“龙头企业+集体经济+个人”模式；在海洋牧场、深水网箱投资开发方面，加大力度纳入“三农”领域补短板项目扶持政策，鼓励有条件地区出台相关扶持政策，采用政府引导社会投资的方式，并针对不同类型的海洋牧场，采用公益类、管护类（或混合类）、经济类三类发展模式。</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3.运营模式创新</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鼓励探索构建“国有企业+社会经济”运营模式。通过政府引导市场化动作模式，引导国有资本进入该领域投资，通过招商引资，选择实力雄厚、财务状况好、渔业养殖开发经验丰富的企业作为合作伙伴，成立国有或混合所有制海洋养殖投资开发企业，充分发挥国有企业结合社会资金强大的资源能力和政府背景资源引领作用，吸引市场资源与开发经验丰富，管理营运科学与资金实力雄厚的企业进入，全面负责海洋养殖重大基础设施的开发和运营。同时，鼓励探索政府行政职能下放及国资委引导下设渔业综合开发管理办公室，对海洋养殖投资开发企业的工作进行协调和监督。</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4.市场营销创新</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建立现代营销体系。加强龙头企业与专业合作社和养殖基地的联系与合作，通过抱团化发展、集团化经营，建立外联市场内接基地的海洋水产营销机构，采取定单渔业、网络销售、品牌直销等现代营销方式，拓宽国内外两个市场，解决特色水产成品销售难问题。鼓励地方或行业协会成立专门营销组织机构，在有条件的地区通过激励方式，推动市场渠道畅通与市场营销推广，争取将海洋养殖宣传纳入地方重大节庆宣传，在政府引导下，鼓励有条件的经济区设立海洋养殖市场开发与营销部门，负责统筹海产品宣传、推广、节庆活动举办等。</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加强市场体系建设。形成一大体系，三大中心，两大平台，两大品牌，一大融合。一大体系，即建立水产品流通体系，对接海域周边流通中心或平台，在碣石湾打造海洋冷链物流中心，在红海湾布局1-2个海上冷链物流基地，对接沿岸渔港、物流中心等，构建规模化、组织化、标准化的水产品流通体系。两个中心，即结合汕尾市位于碣石湾、红海湾、甲子角的一级渔港，聚焦打造汕尾市三大水产品集散中心，集汕尾市活、鲜、冻、干水产品交易于三大集散中心，融购物、旅游、尝鲜于一体。两大平台，即搭建大数据信息交流平台和智慧渔业交易平台，大数据信息交流平台主要用于加强渔业、商业、市场管理、统计等相关部门的联动，智慧渔业交易平台主要用于探索应用物联网、人工智能等智慧化设备应用，以及区块链技术创新应用构建智慧渔业交易平台。两大品牌，即创立牡蛎、鲍鱼两大特色区域品牌，优化汕尾市牡蛎、鲍鱼的品质、扩大产量，形成以牡蛎、鲍鱼为主的汕尾市水产品特色品牌。一大融合，即加快休闲渔业融合健康快速发展，增强就地消化水产品的能力，形成水产品产销对接的有益补充。</w:t>
      </w:r>
    </w:p>
    <w:p>
      <w:pPr>
        <w:spacing w:line="560" w:lineRule="atLeast"/>
        <w:ind w:firstLine="640"/>
      </w:pPr>
      <w:r>
        <w:br w:type="page"/>
      </w:r>
    </w:p>
    <w:p>
      <w:pPr>
        <w:pStyle w:val="3"/>
        <w:spacing w:before="156" w:after="156" w:line="560" w:lineRule="atLeast"/>
        <w:ind w:firstLine="640" w:firstLineChars="200"/>
        <w:rPr>
          <w:b w:val="0"/>
          <w:bCs w:val="0"/>
        </w:rPr>
      </w:pPr>
      <w:bookmarkStart w:id="102" w:name="_Toc30881"/>
      <w:r>
        <w:rPr>
          <w:rFonts w:hint="eastAsia"/>
          <w:b w:val="0"/>
          <w:bCs w:val="0"/>
        </w:rPr>
        <w:t>五、保障措施</w:t>
      </w:r>
      <w:bookmarkEnd w:id="102"/>
    </w:p>
    <w:p>
      <w:pPr>
        <w:pStyle w:val="4"/>
        <w:spacing w:before="156" w:after="156" w:line="560" w:lineRule="atLeast"/>
        <w:ind w:firstLine="640" w:firstLineChars="200"/>
        <w:rPr>
          <w:rFonts w:ascii="楷体" w:hAnsi="楷体" w:eastAsia="楷体" w:cs="楷体"/>
          <w:b w:val="0"/>
          <w:bCs w:val="0"/>
        </w:rPr>
      </w:pPr>
      <w:bookmarkStart w:id="103" w:name="_Toc22998"/>
      <w:r>
        <w:rPr>
          <w:rFonts w:hint="eastAsia" w:ascii="楷体" w:hAnsi="楷体" w:eastAsia="楷体" w:cs="楷体"/>
          <w:b w:val="0"/>
          <w:bCs w:val="0"/>
        </w:rPr>
        <w:t>（一）创新体制机制</w:t>
      </w:r>
      <w:bookmarkEnd w:id="103"/>
    </w:p>
    <w:p>
      <w:pPr>
        <w:spacing w:line="560" w:lineRule="atLeast"/>
        <w:ind w:firstLine="640"/>
        <w:rPr>
          <w:rFonts w:ascii="仿宋" w:hAnsi="仿宋" w:eastAsia="仿宋" w:cs="仿宋"/>
        </w:rPr>
      </w:pPr>
      <w:r>
        <w:rPr>
          <w:rFonts w:hint="eastAsia" w:ascii="仿宋" w:hAnsi="仿宋" w:eastAsia="仿宋" w:cs="仿宋"/>
        </w:rPr>
        <w:t>创建生态补偿机制。以保护生态环境、促进人与自然和谐为目的，探索具有经济激励作用、与“污染者付费”原则并存、基于“受益者付费和破坏者付费”原则的环境经济政策，并构建渔业养殖发展的行业生态补偿机制倡议书。在海洋生态保护保育的同时，通过增殖放流、投放鱼苗等，发挥鱼类维系水体生态平衡的作用，促进水体良性循环，以保护促利用，以利用促保护。</w:t>
      </w:r>
    </w:p>
    <w:p>
      <w:pPr>
        <w:spacing w:line="560" w:lineRule="atLeast"/>
        <w:ind w:firstLine="640"/>
        <w:rPr>
          <w:rFonts w:ascii="仿宋" w:hAnsi="仿宋" w:eastAsia="仿宋" w:cs="仿宋"/>
        </w:rPr>
      </w:pPr>
      <w:r>
        <w:rPr>
          <w:rFonts w:hint="eastAsia" w:ascii="仿宋" w:hAnsi="仿宋" w:eastAsia="仿宋" w:cs="仿宋"/>
        </w:rPr>
        <w:t>有序推进规范养殖。按照“有保有压、有进有退”的原则，有序推进规范养殖用海工作和近岸违法养殖清理工作，控制近岸养殖发展规模。对于违法养殖用海行为，应由沿海各区镇政府、渔业管理部门向违法用海养殖户发出通告，并通过开展逐户走访及发放《责令改正通知书》的形式告知养殖户，要求在规定时间内自行完成清拆违法养殖设施，对超过限期仍未自行清拆的进行统一整治。按照规划用海指引对近岸可利用海域进行养殖指引，有效指导渔民办理养殖证，合理使用近岸养殖用海空间，保障渔民养殖生产，进一步推进近岸传统养殖方式升级与发展深远海养殖。</w:t>
      </w:r>
    </w:p>
    <w:p>
      <w:pPr>
        <w:spacing w:line="560" w:lineRule="atLeast"/>
        <w:ind w:firstLine="640"/>
        <w:rPr>
          <w:rFonts w:ascii="仿宋" w:hAnsi="仿宋" w:eastAsia="仿宋" w:cs="仿宋"/>
        </w:rPr>
      </w:pPr>
      <w:r>
        <w:rPr>
          <w:rFonts w:hint="eastAsia" w:ascii="仿宋" w:hAnsi="仿宋" w:eastAsia="仿宋" w:cs="仿宋"/>
        </w:rPr>
        <w:t>完善渔民补偿制度。认真落实中央和省政府关于“三农”政策，稳定和完善海洋渔业水域使用制度，保护渔民的海洋水域使用权，严禁非法侵占、拍卖重要渔业水域。同时，对“失海”渔民，要按照“生活水平不降低、长远生计有保障”的要求，多渠道筹集资金给予补偿，保障渔民民生。</w:t>
      </w:r>
    </w:p>
    <w:p>
      <w:pPr>
        <w:spacing w:line="560" w:lineRule="atLeast"/>
        <w:ind w:firstLine="640"/>
        <w:rPr>
          <w:rFonts w:ascii="仿宋" w:hAnsi="仿宋" w:eastAsia="仿宋" w:cs="仿宋"/>
        </w:rPr>
      </w:pPr>
      <w:r>
        <w:rPr>
          <w:rFonts w:hint="eastAsia" w:ascii="仿宋" w:hAnsi="仿宋" w:eastAsia="仿宋" w:cs="仿宋"/>
        </w:rPr>
        <w:t>深化海洋水域养殖权制度改革。依据法律及相关地方政策规范，针对集体所有的海水养殖池塘、海岸带和海域水产养殖等水域，落实集体水域集体所有、家庭承包的双层经营制度。集体承包海洋水域与集体承包土地一样，实行集体水域的三权分置，明确集体所有权、落实家庭承包权、放活流转经营权。集体渔业水域三权分置，实行流转“两优先两不变”：同村优先、连片开发优先，渔业养殖用途不变、承包权不变，全面落实双层经营、稳定承包。</w:t>
      </w:r>
    </w:p>
    <w:p>
      <w:pPr>
        <w:pStyle w:val="4"/>
        <w:spacing w:before="156" w:after="156" w:line="560" w:lineRule="atLeast"/>
        <w:ind w:firstLine="640" w:firstLineChars="200"/>
        <w:rPr>
          <w:rFonts w:ascii="楷体" w:hAnsi="楷体" w:eastAsia="楷体" w:cs="楷体"/>
          <w:b w:val="0"/>
          <w:bCs w:val="0"/>
        </w:rPr>
      </w:pPr>
      <w:bookmarkStart w:id="104" w:name="_Toc364"/>
      <w:r>
        <w:rPr>
          <w:rFonts w:hint="eastAsia" w:ascii="楷体" w:hAnsi="楷体" w:eastAsia="楷体" w:cs="楷体"/>
          <w:b w:val="0"/>
          <w:bCs w:val="0"/>
        </w:rPr>
        <w:t>（二）深化行业改革</w:t>
      </w:r>
      <w:bookmarkEnd w:id="104"/>
    </w:p>
    <w:p>
      <w:pPr>
        <w:spacing w:line="560" w:lineRule="atLeast"/>
        <w:ind w:firstLine="640"/>
        <w:rPr>
          <w:rFonts w:ascii="仿宋" w:hAnsi="仿宋" w:eastAsia="仿宋" w:cs="仿宋"/>
        </w:rPr>
      </w:pPr>
      <w:r>
        <w:rPr>
          <w:rFonts w:hint="eastAsia" w:ascii="仿宋" w:hAnsi="仿宋" w:eastAsia="仿宋" w:cs="仿宋"/>
        </w:rPr>
        <w:t>创新渔业市场机制。充分利用汕尾市海产品污染少、品质佳、经济效益高等优势，加强产品专业化、精品化、高端化与市场品牌化建设。从产品营养程度、产品加工安全标准、从业人员素质、物流业管理等方面全面提升，将产品从普通客户群体逐步向高端客户群体拓展，销售区域由周边地区向国内外地区纵深拓展，打造汕尾市海产品在国内、国际海产品市场上第一序列品牌知名度。依托汕尾市区位优势，打造汕尾水产整体品牌，大力推进生产技术、企业销售、市场监控、售后服务等方面的规范整合，形成龙头带动、水产农户、企业一体化发展，充分发挥产业发展的规模优势、品种优势、质量优势。政府引导企业整体参与国内外市场的拓服与竞争，扶持有发展前景的企业上市融资做大做强，做好企业发展的“助推器”，增加汕尾市渔业上市公司数量。</w:t>
      </w:r>
    </w:p>
    <w:p>
      <w:pPr>
        <w:spacing w:line="560" w:lineRule="atLeast"/>
        <w:ind w:firstLine="640"/>
        <w:rPr>
          <w:rFonts w:ascii="仿宋" w:hAnsi="仿宋" w:eastAsia="仿宋" w:cs="仿宋"/>
        </w:rPr>
      </w:pPr>
      <w:r>
        <w:rPr>
          <w:rFonts w:hint="eastAsia" w:ascii="仿宋" w:hAnsi="仿宋" w:eastAsia="仿宋" w:cs="仿宋"/>
        </w:rPr>
        <w:t>优化渔业产业结构。通过结构调整，向海洋拓展空间，缓解养殖用海资源紧张、水资源紧缺的局面，使经济效益与环境相容。将产品效益作为重点关注对象，优化渔业产品结构、生产结构和区域结构，加大产品安全质量的监管，将渔业产业的生产统一化、标准化，推出海洋养殖主打品牌。加强海产品加工产品的调研、研发。支持一批实力较强的龙头企业、基地、合作社发展海产品加工，使用好汕尾市海产品品牌，开发优势牡蛎、石斑、对虾、藻类、挪威鱼等系列海产品精深加工，逐步做大渔业二产。加快新产业新业态的发展，适度提升乡村休闲旅游、农家乐等以农家为载体的服务业档次，提高服务质量，着力打造科普渔业、体验渔业、休闲竞技垂钓等新业态。</w:t>
      </w:r>
    </w:p>
    <w:p>
      <w:pPr>
        <w:spacing w:line="560" w:lineRule="atLeast"/>
        <w:ind w:firstLine="640"/>
        <w:rPr>
          <w:rFonts w:ascii="仿宋" w:hAnsi="仿宋" w:eastAsia="仿宋" w:cs="仿宋"/>
        </w:rPr>
      </w:pPr>
      <w:r>
        <w:rPr>
          <w:rFonts w:hint="eastAsia" w:ascii="仿宋" w:hAnsi="仿宋" w:eastAsia="仿宋" w:cs="仿宋"/>
        </w:rPr>
        <w:t>做强渔业经营主体。支持和鼓励龙头企业之间、市内龙头企业与市外有实力的企业之间强强联合，支持和鼓励形成集群化开发投资混合所有制企业，做大做强企业实体，培育一二三产融合发展型龙头企业，创造条件，着力引进国内知名海产品加工企业入驻汕尾市。深入调研农民合作社、家庭农场、专业大户等农村基层经营主体组织形式、运行模式，总结成功经验，查找存在的问题，支持和鼓励农村基层经营主体联合，向公司化发展，提升农村基层经营主体竞争力，提高抗风险能力。</w:t>
      </w:r>
    </w:p>
    <w:p>
      <w:pPr>
        <w:spacing w:line="560" w:lineRule="atLeast"/>
        <w:ind w:firstLine="640"/>
        <w:rPr>
          <w:rFonts w:ascii="仿宋" w:hAnsi="仿宋" w:eastAsia="仿宋" w:cs="仿宋"/>
        </w:rPr>
      </w:pPr>
      <w:r>
        <w:rPr>
          <w:rFonts w:hint="eastAsia" w:ascii="仿宋" w:hAnsi="仿宋" w:eastAsia="仿宋" w:cs="仿宋"/>
        </w:rPr>
        <w:t>强化绿色产业保障。全面健全“生产、监管、技术服务”三大保障。鼓励各领域按需申报渔业用海养殖相关标准，加快带动各沿海地区实施标准化生产，深入推进省级健康养殖示范场、市级标准化养殖示范区等绿色开发先行示范区建设，发挥示范区示范、辐射和带动作用，促进水产养殖生产、加工、经营和管理过程进入绿色标准化生产状态，提高海产品与渔业用海环境品质安全。完善水产健康养殖、海产品质量安全、水生动物疫病监测和预警等信息平台功能，并在渔业生产旺季编发水产养殖病害预测报，不定期联合多部门开展水产养殖投入品检查，开展海域养殖尾水治理工程等治理活动。着力构建新型职业农民培育、技术人员与养殖户交流服务等平台，合理利用网站、微信公众号、微信群、APP等为养殖户提供更便捷、更现代化服务，提升养殖户养殖水平。</w:t>
      </w:r>
    </w:p>
    <w:p>
      <w:pPr>
        <w:spacing w:line="560" w:lineRule="atLeast"/>
        <w:ind w:firstLine="640"/>
        <w:rPr>
          <w:rFonts w:ascii="仿宋" w:hAnsi="仿宋" w:eastAsia="仿宋" w:cs="仿宋"/>
        </w:rPr>
      </w:pPr>
      <w:r>
        <w:rPr>
          <w:rFonts w:hint="eastAsia" w:ascii="仿宋" w:hAnsi="仿宋" w:eastAsia="仿宋" w:cs="仿宋"/>
        </w:rPr>
        <w:t>构建全链溯源体系。构建绿色全链条质量追溯体系，加快完善“制度+体系+平台”质量追溯格局，建立绿色全链条生产质量安全可追溯制度。针对海洋渔业养殖产区、重点原料供应基地、水产生鲜技工配送中心、水产保供中心、水产批发市场、水产交易市场等重点水产品生产流通点，政府应加强对市场建立健全绿色生产、加工等各产业环节“生产有记录、信息可查询、流向可追踪、责任可追究、产品可召回、质量有保障”的质量安全可追溯制度。健全绿色水产品产业链质量安全卫生管理体系，大力推广标准化生产，包括海洋渔业场所建设、管理、加工车间和制作工艺等标准化。抓好海产品的质量安全建设，强化监测、监管力度，全面做好海洋渔业养殖和水产品加工等环节的农药残留检测监控，完善海产品质量抽检制度，全方位保障汕尾海产品质量安全、绿色健康。搭建海洋渔业绿色产品质量安全可追溯平台，开展产品质量溯源项目库、产品电子化生产溯源体系、产品电子化二维码生产追踪、产品生产互联网查询追踪等系统建设和设备购置，确保海产品在养殖加工、销售、物流等各环节都可实时进行追溯，并对不合格的产品进行及时的回收处理，把握生产链、加工链等全链条的产质绿色安全，提升汕尾海产品品质和安全品控管理。</w:t>
      </w:r>
    </w:p>
    <w:p>
      <w:pPr>
        <w:pStyle w:val="4"/>
        <w:spacing w:before="156" w:after="156" w:line="560" w:lineRule="atLeast"/>
        <w:ind w:firstLine="640" w:firstLineChars="200"/>
        <w:rPr>
          <w:rFonts w:ascii="楷体" w:hAnsi="楷体" w:eastAsia="楷体" w:cs="楷体"/>
          <w:b w:val="0"/>
          <w:bCs w:val="0"/>
        </w:rPr>
      </w:pPr>
      <w:bookmarkStart w:id="105" w:name="_Toc26358"/>
      <w:r>
        <w:rPr>
          <w:rFonts w:hint="eastAsia" w:ascii="楷体" w:hAnsi="楷体" w:eastAsia="楷体" w:cs="楷体"/>
          <w:b w:val="0"/>
          <w:bCs w:val="0"/>
        </w:rPr>
        <w:t>（三）强化人才队伍</w:t>
      </w:r>
      <w:bookmarkEnd w:id="105"/>
    </w:p>
    <w:p>
      <w:pPr>
        <w:spacing w:line="560" w:lineRule="atLeast"/>
        <w:ind w:firstLine="640"/>
        <w:rPr>
          <w:rFonts w:ascii="仿宋" w:hAnsi="仿宋" w:eastAsia="仿宋" w:cs="仿宋"/>
        </w:rPr>
      </w:pPr>
      <w:r>
        <w:rPr>
          <w:rFonts w:hint="eastAsia" w:ascii="仿宋" w:hAnsi="仿宋" w:eastAsia="仿宋" w:cs="仿宋"/>
        </w:rPr>
        <w:t>加强领军人才和工匠技能人才队伍建设。制定渔业养殖人才引进政策，</w:t>
      </w:r>
      <w:bookmarkStart w:id="119" w:name="_GoBack"/>
      <w:bookmarkEnd w:id="119"/>
      <w:r>
        <w:rPr>
          <w:rFonts w:hint="eastAsia" w:ascii="仿宋" w:hAnsi="仿宋" w:eastAsia="仿宋" w:cs="仿宋"/>
        </w:rPr>
        <w:t>鼓励有条件的企业利用高平台、高薪酬、高奖励广泛吸引渔业人才，快速组建起一支渔业养殖人才队伍；创新渔业养殖人才培养模式，结合国家农业农村部开展海洋养殖品牌培育“四个一”工程，依托渔业相关高等院校、科研院所和骨干企业，加强高校渔业专业学科建设，深化渔业科研机构改革，提高渔业养殖企业管理水平，有针对性地培育一批渔业养殖带头人、渔业专业技术人员和休闲渔业企业管理人才，提升休闲渔业可持续发展能力。</w:t>
      </w:r>
    </w:p>
    <w:p>
      <w:pPr>
        <w:spacing w:line="560" w:lineRule="atLeast"/>
        <w:ind w:firstLine="640"/>
        <w:rPr>
          <w:rFonts w:ascii="仿宋" w:hAnsi="仿宋" w:eastAsia="仿宋" w:cs="仿宋"/>
        </w:rPr>
      </w:pPr>
      <w:r>
        <w:rPr>
          <w:rFonts w:hint="eastAsia" w:ascii="仿宋" w:hAnsi="仿宋" w:eastAsia="仿宋" w:cs="仿宋"/>
        </w:rPr>
        <w:t>制定渔业养殖管理和技术人才培养计划。鼓励有条件的区域动员水产技术人员参加技术培训和到高校、科研院所深造，提高技术水平和管理能力，为养殖区提供环境监测、灾害预警、海产品质量检测、病害防治、渔药使用、配合饲料使用、养殖技术指导等方面的服务，促进水产养殖生产平稳运行；开发引进水产养殖新技术、新模式，推广新型养殖设施、优良品种及养殖技术，促进产业升级，充分利用有限的养殖空间，提高养殖效益，保障海产品的持续稳定供应。开展无公害健康养殖，提高海产品质量，为消费者提供无公害、绿色放心的海产品。组织渔民开展渔业养殖专业技术、渔业安全生产知识等相关培训，提高渔民专业素质，增强渔民就业能力。</w:t>
      </w:r>
    </w:p>
    <w:p>
      <w:pPr>
        <w:pStyle w:val="4"/>
        <w:spacing w:before="156" w:after="156" w:line="560" w:lineRule="atLeast"/>
        <w:ind w:firstLine="640" w:firstLineChars="200"/>
        <w:rPr>
          <w:rFonts w:ascii="楷体" w:hAnsi="楷体" w:eastAsia="楷体" w:cs="楷体"/>
          <w:b w:val="0"/>
          <w:bCs w:val="0"/>
        </w:rPr>
      </w:pPr>
      <w:bookmarkStart w:id="106" w:name="_Toc10150"/>
      <w:r>
        <w:rPr>
          <w:rFonts w:hint="eastAsia" w:ascii="楷体" w:hAnsi="楷体" w:eastAsia="楷体" w:cs="楷体"/>
          <w:b w:val="0"/>
          <w:bCs w:val="0"/>
        </w:rPr>
        <w:t>（四）加强安全监管</w:t>
      </w:r>
      <w:bookmarkEnd w:id="106"/>
    </w:p>
    <w:p>
      <w:pPr>
        <w:spacing w:line="560" w:lineRule="atLeast"/>
        <w:ind w:firstLine="640"/>
        <w:rPr>
          <w:rFonts w:ascii="仿宋" w:hAnsi="仿宋" w:eastAsia="仿宋" w:cs="仿宋"/>
        </w:rPr>
      </w:pPr>
      <w:r>
        <w:rPr>
          <w:rFonts w:hint="eastAsia" w:ascii="仿宋" w:hAnsi="仿宋" w:eastAsia="仿宋" w:cs="仿宋"/>
        </w:rPr>
        <w:t>强化海产品质量监管体系。完善海洋养殖相关管理制度和行业规范，探索推动《汕尾市海洋养殖管理办法》等法规标准的建设，明确海洋养殖相关行为的管理制度和奖惩办法。全面深入贯彻渔业和食品安全相关法规，着重抓好无公害养殖基地、水生动物防疫、海产品药残抽检等质量安全监管体系建设，对海产品实施从“生产基地到餐桌”的全程质量监控，保障国家食物安全。坚持抓好渔政管理和鱼类保护工作，维护水域生态平衡。鼓励探索创新海洋渔业市场综合管理机制。建立综合监管协调机构，制定综合监管责任清单，完善执法监管工作规范，推进综合监管体制改革试点建设。加强海产品市场环境专项整治，严厉打击欺诈消费行为，积极营造诚实守信的消费环境。</w:t>
      </w:r>
    </w:p>
    <w:p>
      <w:pPr>
        <w:spacing w:line="560" w:lineRule="atLeast"/>
        <w:ind w:firstLine="640"/>
        <w:rPr>
          <w:rFonts w:ascii="仿宋" w:hAnsi="仿宋" w:eastAsia="仿宋" w:cs="仿宋"/>
        </w:rPr>
      </w:pPr>
      <w:r>
        <w:rPr>
          <w:rFonts w:hint="eastAsia" w:ascii="仿宋" w:hAnsi="仿宋" w:eastAsia="仿宋" w:cs="仿宋"/>
        </w:rPr>
        <w:t>加强海产品市场发展监测工作。完善监测体系建设内容，监测工作须紧扣海洋养殖状况、海产品状况、产业结构、以及对渔业提质增效、富民增收的贡献等方面开展，各项政策落实向海洋养殖产业发展倾斜，加强宏观管理提供数据支撑和决策咨询。明确组织方式和分工，依据海洋养殖各产业环节归口部门统一落实组织，各地区海洋养殖归口部门具体实施，加强促进科研院校、行业协会、社会组织等力量支撑。将海洋养殖发展监测纳入渔业统计工作，监测结果作为渔业经济总产值核算的有机组成部分。</w:t>
      </w:r>
    </w:p>
    <w:p>
      <w:pPr>
        <w:spacing w:line="560" w:lineRule="atLeast"/>
        <w:ind w:firstLine="640"/>
        <w:rPr>
          <w:rFonts w:ascii="仿宋" w:hAnsi="仿宋" w:eastAsia="仿宋" w:cs="仿宋"/>
        </w:rPr>
      </w:pPr>
      <w:r>
        <w:rPr>
          <w:rFonts w:hint="eastAsia" w:ascii="仿宋" w:hAnsi="仿宋" w:eastAsia="仿宋" w:cs="仿宋"/>
        </w:rPr>
        <w:t>构建海洋养殖安全管理体系。加强渔业生产安全保障，推行海洋养殖建设标准，升级渔船通讯设备与应急救生设备，提高海洋牧场等海洋养殖设施设备的安全性能。强化安全生产监督执法提升渔政执法的现代化、标准化和信息化水平。探索建立海洋养殖救助体系。建立海洋养殖设施设备监控系统及数据处理中心，构建海洋养殖安全应急管理体系，完善“四网合一”安全通信网络。</w:t>
      </w:r>
    </w:p>
    <w:p>
      <w:pPr>
        <w:pStyle w:val="4"/>
        <w:spacing w:before="156" w:after="156" w:line="560" w:lineRule="atLeast"/>
        <w:ind w:firstLine="640" w:firstLineChars="200"/>
        <w:rPr>
          <w:rFonts w:ascii="楷体" w:hAnsi="楷体" w:eastAsia="楷体" w:cs="楷体"/>
          <w:b w:val="0"/>
          <w:bCs w:val="0"/>
        </w:rPr>
      </w:pPr>
      <w:bookmarkStart w:id="107" w:name="_Toc16159"/>
      <w:r>
        <w:rPr>
          <w:rFonts w:hint="eastAsia" w:ascii="楷体" w:hAnsi="楷体" w:eastAsia="楷体" w:cs="楷体"/>
          <w:b w:val="0"/>
          <w:bCs w:val="0"/>
        </w:rPr>
        <w:t>（五）落实扶持政策</w:t>
      </w:r>
      <w:bookmarkEnd w:id="107"/>
    </w:p>
    <w:p>
      <w:pPr>
        <w:spacing w:line="560" w:lineRule="atLeast"/>
        <w:ind w:firstLine="640"/>
        <w:rPr>
          <w:rFonts w:ascii="仿宋" w:hAnsi="仿宋" w:eastAsia="仿宋" w:cs="仿宋"/>
        </w:rPr>
      </w:pPr>
      <w:r>
        <w:rPr>
          <w:rFonts w:hint="eastAsia" w:ascii="仿宋" w:hAnsi="仿宋" w:eastAsia="仿宋" w:cs="仿宋"/>
        </w:rPr>
        <w:t>加大政策扶持力度。建议将本规划内容纳入汕尾市国民经济和社会发展规划，把本规划的实施纳入市县两级政府的工作部署，因地制宜地制定工作方案，做好组织协调和服务工作。加强对规划实施的评估与考核工作，将规划的相关内容列入各级政府和有关部门的政绩考核内容，督促有关部门抓紧落实规划的各项任务。发挥各级政府对渔业用海的扶持引导作用，为养殖产业转型升级营造良好的发展环境。引导渔业用海活动向重点养殖区和适度养殖区聚集，向深远海发展，推动渔业用海活动空间布局更加优化和海水养殖产业发展更加健康。</w:t>
      </w:r>
    </w:p>
    <w:p>
      <w:pPr>
        <w:spacing w:line="560" w:lineRule="atLeast"/>
        <w:ind w:firstLine="640"/>
        <w:rPr>
          <w:rFonts w:ascii="仿宋" w:hAnsi="仿宋" w:eastAsia="仿宋" w:cs="仿宋"/>
        </w:rPr>
      </w:pPr>
      <w:r>
        <w:rPr>
          <w:rFonts w:hint="eastAsia" w:ascii="仿宋" w:hAnsi="仿宋" w:eastAsia="仿宋" w:cs="仿宋"/>
        </w:rPr>
        <w:t>加强政策、组织和资金保障。加强对接国家省级相关政策资源，将地方政策资源与之相接，使政策资源优化利用最大化，提升国家、省市、区镇政策资源信息化的畅通度，促进各级政府各职能部门工作衔接和配合的畅通，形成良好营商服务环境。做好用好金融支农政策，适度增加财政投入，引导社会资金向渔业生产经营流入，着力推动“三农”补短板资金使用。探索建立财政、金融、保险等扶持特色水产业发展的各项优惠政策，将国家和省财政引导资金更多地向海洋养殖倾斜，优先安排项目。引导和鼓励民间资金投入特色水产业发展，增强发展后劲。</w:t>
      </w:r>
    </w:p>
    <w:p>
      <w:pPr>
        <w:spacing w:line="560" w:lineRule="atLeast"/>
        <w:ind w:firstLine="640"/>
        <w:rPr>
          <w:rFonts w:ascii="仿宋" w:hAnsi="仿宋" w:eastAsia="仿宋" w:cs="仿宋"/>
        </w:rPr>
      </w:pPr>
      <w:r>
        <w:rPr>
          <w:rFonts w:hint="eastAsia" w:ascii="仿宋" w:hAnsi="仿宋" w:eastAsia="仿宋" w:cs="仿宋"/>
        </w:rPr>
        <w:t>加强渔业要素保障。助力推动增强科技支撑能力，进一步增加市水产推广机构专业技术人员，增加设备设施及技术推广经费投入，加强新品种研发引进推广、病虫害防治。在人员、经费、培训上保障城乡基层科技体系的良好运行，使之真正成为活跃、有效的基层科技支撑力量。进一步改善海洋渔业基础设施，适度提高交通集成智慧化程度，提升市场流通与营运能力，适应海产品物流运输等通行需求及服务提质增效。</w:t>
      </w:r>
    </w:p>
    <w:p>
      <w:pPr>
        <w:spacing w:line="560" w:lineRule="atLeast"/>
        <w:ind w:firstLine="640"/>
        <w:rPr>
          <w:rFonts w:ascii="仿宋" w:hAnsi="仿宋" w:eastAsia="仿宋" w:cs="仿宋"/>
        </w:rPr>
      </w:pPr>
      <w:r>
        <w:rPr>
          <w:rFonts w:hint="eastAsia" w:ascii="仿宋" w:hAnsi="仿宋" w:eastAsia="仿宋" w:cs="仿宋"/>
        </w:rPr>
        <w:t>加强用海管理保障。加强用海审批保障，提高权属审批管理水平。健全和规范用海审批制度，推进省内用海规范细则，落实和明确海域使用权属申请流程，健全海域使用申请与公示、论证与报批制度建设，对用海项目规划、立项、论证和管理实行全面跟踪，保证用海项目办证率、海域使用证年审率、海域使用金征收率，提高权属审批管理水平，保障海洋经济健康有序发展。推进海域使用申请制度创新，依据海域发展需求，创新海域使用申请制度，探索按照海域的水面、水体、海床、底土分别设立使用权，在深汕合作区发展较好的海域开展空间统筹用海试点，逐步推进用海空间分级确权、规范化使用和建设。加强顶层责任管理网络建设，依据“一事一议”需求成立专案工作领导小组，加强宏观指导协调，及时研究解决海域管理重点问题。</w:t>
      </w:r>
    </w:p>
    <w:p>
      <w:pPr>
        <w:pStyle w:val="4"/>
        <w:spacing w:before="156" w:after="156" w:line="560" w:lineRule="atLeast"/>
        <w:ind w:firstLine="640" w:firstLineChars="200"/>
        <w:rPr>
          <w:rFonts w:ascii="楷体" w:hAnsi="楷体" w:eastAsia="楷体" w:cs="楷体"/>
          <w:b w:val="0"/>
          <w:bCs w:val="0"/>
        </w:rPr>
      </w:pPr>
      <w:bookmarkStart w:id="108" w:name="_Toc9159"/>
      <w:r>
        <w:rPr>
          <w:rFonts w:hint="eastAsia" w:ascii="楷体" w:hAnsi="楷体" w:eastAsia="楷体" w:cs="楷体"/>
          <w:b w:val="0"/>
          <w:bCs w:val="0"/>
        </w:rPr>
        <w:t>（六）推动海陆统筹</w:t>
      </w:r>
      <w:bookmarkEnd w:id="108"/>
    </w:p>
    <w:p>
      <w:pPr>
        <w:spacing w:line="560" w:lineRule="atLeast"/>
        <w:ind w:firstLine="640"/>
        <w:rPr>
          <w:rFonts w:ascii="仿宋" w:hAnsi="仿宋" w:eastAsia="仿宋" w:cs="仿宋"/>
        </w:rPr>
      </w:pPr>
      <w:r>
        <w:rPr>
          <w:rFonts w:hint="eastAsia" w:ascii="仿宋" w:hAnsi="仿宋" w:eastAsia="仿宋" w:cs="仿宋"/>
        </w:rPr>
        <w:t>推动陆海体制机制创新。健全创新“多规合一”体制机制，做到陆域规划和海域规划相衔接。完善相关配套政策和制度，依据现实发展需求，可相应制定相关配套政策制度作为保障，例如人才优惠政策、财政优惠政策、海域监管制度等。借助“一事一议”协调机制，建立多部门、多领域的专家顾问团队。鼓励社会积极参与，充分发挥社会机制的作用，及时向公众发布实时动态，推动陆海统筹管理工作顺利进行。</w:t>
      </w:r>
    </w:p>
    <w:p>
      <w:pPr>
        <w:spacing w:line="560" w:lineRule="atLeast"/>
        <w:ind w:firstLine="640"/>
        <w:rPr>
          <w:rFonts w:ascii="仿宋" w:hAnsi="仿宋" w:eastAsia="仿宋" w:cs="仿宋"/>
        </w:rPr>
      </w:pPr>
      <w:r>
        <w:rPr>
          <w:rFonts w:hint="eastAsia" w:ascii="仿宋" w:hAnsi="仿宋" w:eastAsia="仿宋" w:cs="仿宋"/>
        </w:rPr>
        <w:t>构建陆海空间信息平台。依托数字渔业与数字乡村政策资源优势，推动构建以大数据为统筹的数字平台，搭建信息共享服务平台，加快发展海洋电子信息产业，利用互联网、云计算和智能终端等现代技术，建立海洋防灾减灾智能平台、港口物流配送智能信息平台、海水质量监控智能平台、渔业渔港信息化平台、渔业产业交易平台等，实现海陆地区的海洋养殖相关产业经济信息资源共享，带动海陆经济全方位发展，实现陆海统筹发展。</w:t>
      </w:r>
    </w:p>
    <w:p>
      <w:pPr>
        <w:spacing w:line="560" w:lineRule="atLeast"/>
        <w:ind w:firstLine="640"/>
        <w:rPr>
          <w:rFonts w:ascii="仿宋" w:hAnsi="仿宋" w:eastAsia="仿宋" w:cs="仿宋"/>
        </w:rPr>
      </w:pPr>
      <w:r>
        <w:rPr>
          <w:rFonts w:hint="eastAsia" w:ascii="仿宋" w:hAnsi="仿宋" w:eastAsia="仿宋" w:cs="仿宋"/>
        </w:rPr>
        <w:t>完善陆海融合交通体系。依据海陆大循环和内循环交通体系网络，全面完善最前一公里的微内循交通体系支撑，重点完善芒屿岛、江牧岛、西桔礁、金屿等海岛道路建设，保障岛内交通通畅。建立海岛、港口、海上平台紧密联系的三层网络交通体系结构，完善陆路交通基础设施建设，实现公路、铁路、水运多联式交通系统的无缝衔接，强化港铁运输，打造综合性陆海交通网络。</w:t>
      </w:r>
    </w:p>
    <w:p>
      <w:pPr>
        <w:spacing w:line="560" w:lineRule="atLeast"/>
        <w:ind w:firstLine="640"/>
        <w:rPr>
          <w:rFonts w:ascii="仿宋" w:hAnsi="仿宋" w:eastAsia="仿宋" w:cs="仿宋"/>
        </w:rPr>
      </w:pPr>
      <w:r>
        <w:rPr>
          <w:rFonts w:hint="eastAsia" w:ascii="仿宋" w:hAnsi="仿宋" w:eastAsia="仿宋" w:cs="仿宋"/>
        </w:rPr>
        <w:t>完善陆海一体供应设施。完善渔港陆域桥头堡保障功能，完善渔港智慧交易平台建设，完善水产品保供中心、水产物流冷链中心、水产预处理中心、水产物流仓储基地，以及构建“产地仓”“销地仓</w:t>
      </w:r>
      <w:r>
        <w:rPr>
          <w:rFonts w:ascii="仿宋" w:hAnsi="仿宋" w:eastAsia="仿宋" w:cs="仿宋"/>
        </w:rPr>
        <w:t>”</w:t>
      </w:r>
      <w:r>
        <w:rPr>
          <w:rFonts w:hint="eastAsia" w:ascii="仿宋" w:hAnsi="仿宋" w:eastAsia="仿宋" w:cs="仿宋"/>
        </w:rPr>
        <w:t>等供应流通设施，建立陆海一体化供应与需求市场数据库，实现供应与需求信息的实时更新，进一步整合陆地需求市场和海洋供应市场，共建共享，实现陆海经济一体化。</w:t>
      </w:r>
    </w:p>
    <w:p>
      <w:pPr>
        <w:spacing w:line="560" w:lineRule="atLeast"/>
        <w:ind w:firstLine="640"/>
        <w:rPr>
          <w:rFonts w:ascii="仿宋" w:hAnsi="仿宋" w:eastAsia="仿宋" w:cs="仿宋"/>
        </w:rPr>
        <w:sectPr>
          <w:pgSz w:w="11906" w:h="16838"/>
          <w:pgMar w:top="1418" w:right="1588" w:bottom="1418" w:left="1588" w:header="851" w:footer="680" w:gutter="0"/>
          <w:pgNumType w:start="1"/>
          <w:cols w:space="0" w:num="1"/>
          <w:docGrid w:type="lines" w:linePitch="312" w:charSpace="0"/>
        </w:sectPr>
      </w:pPr>
    </w:p>
    <w:p>
      <w:pPr>
        <w:pStyle w:val="3"/>
        <w:spacing w:before="156" w:after="156" w:line="560" w:lineRule="atLeast"/>
        <w:ind w:firstLine="640" w:firstLineChars="200"/>
        <w:rPr>
          <w:b w:val="0"/>
          <w:bCs w:val="0"/>
        </w:rPr>
      </w:pPr>
      <w:bookmarkStart w:id="109" w:name="_Toc3465"/>
      <w:bookmarkStart w:id="110" w:name="_Toc4614"/>
      <w:r>
        <w:rPr>
          <w:rFonts w:hint="eastAsia"/>
          <w:b w:val="0"/>
          <w:bCs w:val="0"/>
        </w:rPr>
        <w:t>六、环境影响评价</w:t>
      </w:r>
      <w:bookmarkEnd w:id="109"/>
      <w:bookmarkEnd w:id="110"/>
    </w:p>
    <w:p>
      <w:pPr>
        <w:pStyle w:val="4"/>
        <w:spacing w:before="156" w:after="156" w:line="560" w:lineRule="atLeast"/>
        <w:ind w:firstLine="640" w:firstLineChars="200"/>
        <w:rPr>
          <w:rFonts w:ascii="楷体" w:hAnsi="楷体" w:eastAsia="楷体" w:cs="楷体"/>
          <w:b w:val="0"/>
          <w:bCs w:val="0"/>
        </w:rPr>
      </w:pPr>
      <w:bookmarkStart w:id="111" w:name="_Toc32322"/>
      <w:bookmarkStart w:id="112" w:name="_Toc20223"/>
      <w:r>
        <w:rPr>
          <w:rFonts w:hint="eastAsia" w:ascii="楷体" w:hAnsi="楷体" w:eastAsia="楷体" w:cs="楷体"/>
          <w:b w:val="0"/>
          <w:bCs w:val="0"/>
        </w:rPr>
        <w:t>（一）环境影响的分析与评价</w:t>
      </w:r>
      <w:bookmarkEnd w:id="111"/>
      <w:bookmarkEnd w:id="112"/>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1.对海水水质影响预测与评价</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海洋养殖过程中残余饵料、排泄分泌物等可能造成海域氮、磷的含量增加。养殖相关施工船舶产生的含油废水及工作人员产生的生活污水，可能使水质变差或污染。海产品生产加工过程中会产生污水，如果污水未经处理排放则会导致水体污染。游艇、摩托艇、船拖伞等休闲渔业项目可能产生油污污染，应全面加强管理。</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2.对海洋沉积物的影响预测与评价</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海洋养殖产生的大量残饵和鱼类排泄物会沉积到底部，由于底栖生物及微生物不能分解全部的沉积物，可能会进一步影响海底沉积物组成，影响海底底质环境。残饵、粪便等有机物质在沉积物中的堆积，促使底栖生物和分解有机物质的微生物群落迅速增长，导致沉积层的耗氧大大增加。网箱养殖区域下部沉积物中其耗氧率比网箱外要高2-5倍，造成网箱附近富含碳氮磷的沉积物中存在缺氧、无氧状态区。网箱养殖区域的沉积物中的磷酸盐可能会随着沉积物的积累浓度逐渐升高，同时输入氮也会积累在沉积物中，应全面加强管理。</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3.固体废物对海域影响分析与评价</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在固体废物影响方面，海洋养殖基地及服务设施建设过程中会产生建筑垃圾、危废物，固定锚时产生少量的悬浮泥沙及施工人员产生的固体废物等对环境造成不利影响。运营过程中，工作人员和游客会产生生活垃圾。海产品生产与休闲渔业商品生产过程中会产生固体废弃物，若随意排放也会对周边环境造成一定的不利影响，应全面加强管理。</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4.对海洋生态环境影响预测与评价</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对浮游生物的影响。海洋养殖带入的外源营养物质增加了水体的营养物质输入，可能会使浮游植物大量繁殖，同时由于鱼类会摄食浮游动物，可能会造成养殖区域周围的浮游动物数量减少。除此之外，养殖网箱的阴影也会使得藻类由于缺少光照生长受到抑制，进一步造成浮游动物的食物匮乏。</w:t>
      </w:r>
    </w:p>
    <w:p>
      <w:pPr>
        <w:spacing w:line="560" w:lineRule="atLeast"/>
        <w:ind w:firstLine="640"/>
        <w:rPr>
          <w:rFonts w:ascii="仿宋" w:hAnsi="仿宋" w:eastAsia="仿宋" w:cs="仿宋"/>
        </w:rPr>
      </w:pPr>
      <w:r>
        <w:rPr>
          <w:rFonts w:hint="eastAsia" w:ascii="仿宋" w:hAnsi="仿宋" w:eastAsia="仿宋" w:cs="仿宋"/>
        </w:rPr>
        <w:t>对底栖生物的影响。海洋养殖过程中，底栖生物群落随着沉积物中有机物质和营养盐含量的变化而发生变化。初期底栖群落的丰度和生物量可能会有所增加，随后就会表现出超负荷，可能会对底栖生物多样性造成影响。</w:t>
      </w:r>
    </w:p>
    <w:p>
      <w:pPr>
        <w:spacing w:line="560" w:lineRule="atLeast"/>
        <w:ind w:firstLine="640"/>
        <w:rPr>
          <w:rFonts w:ascii="仿宋" w:hAnsi="仿宋" w:eastAsia="仿宋" w:cs="仿宋"/>
        </w:rPr>
      </w:pPr>
      <w:r>
        <w:rPr>
          <w:rFonts w:hint="eastAsia" w:ascii="仿宋" w:hAnsi="仿宋" w:eastAsia="仿宋" w:cs="仿宋"/>
        </w:rPr>
        <w:t>对渔业资源的影响。海洋养殖对养殖区渔业资源可能会造成以下两个方面的影响：一是海洋养殖可能会增加水体中营养物质的积累，有利于浮游生物种类多样性的保存和生物链的增加，从而为养殖区域附近其他鱼类提供更多的饵料生物，增加附近鱼类生物量。二是海洋养殖可能会造成养殖区及邻近海域水体富营养化，使致病微生物大量繁殖，会对海域游泳生物的正常生长产生一定的影响，尤其是对鱼卵、仔鱼造成一定的损害。另外，海洋渔业基础设施的建设以及海上养殖装备、渔获装备的应用等会对海洋渔业增养殖空间产生水下噪声、电磁等影响。海上渔业活动和作业管控不善、过度开发和利用都将对海域渔业种业及养殖的可持续发展造成一定影响。</w:t>
      </w:r>
    </w:p>
    <w:p>
      <w:pPr>
        <w:pStyle w:val="4"/>
        <w:spacing w:before="156" w:after="156" w:line="560" w:lineRule="atLeast"/>
        <w:ind w:firstLine="640" w:firstLineChars="200"/>
        <w:rPr>
          <w:rFonts w:ascii="楷体" w:hAnsi="楷体" w:eastAsia="楷体" w:cs="楷体"/>
          <w:b w:val="0"/>
          <w:bCs w:val="0"/>
        </w:rPr>
      </w:pPr>
      <w:bookmarkStart w:id="113" w:name="_Toc29899"/>
      <w:bookmarkStart w:id="114" w:name="_Toc653"/>
      <w:r>
        <w:rPr>
          <w:rFonts w:hint="eastAsia" w:ascii="楷体" w:hAnsi="楷体" w:eastAsia="楷体" w:cs="楷体"/>
          <w:b w:val="0"/>
          <w:bCs w:val="0"/>
        </w:rPr>
        <w:t>（二）环境影响的对策与措施</w:t>
      </w:r>
      <w:bookmarkEnd w:id="113"/>
      <w:bookmarkEnd w:id="114"/>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1.改善整体海洋生态环境</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在制度层面，应完善相关保护管理政策，加强监测能力，建立环境监测数据库，针对重点海域进行定期监测，以全面了解渔业资源变动情况以及设施建设对环境的破坏情况。此外，完善相关奖惩政策，针对游艇、摩托艇等休闲渔业项目、水产加工项目、高度集约化养殖项目征收资源使用费和环境污染费等，用来治理环境污染，促进资源的可持续利用。针对游客数量、工作人员数量的增加问题，积极开展环境保护宣传以及志愿者活动，增设垃圾收集点，减少生活垃圾对环境的污染。开展海洋牧场综合体的建设，以减缓渔业资源衰退，改善海洋整体生态环境。</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2.加强渔业资源养护</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加强对水产种质资源及濒危物种进行保护，开展生物多样性的调查评估，利用前沿科技开展遗传物质研究，多渠道开展种质资源保护，同时为建立良种体系提供技术支撑。积极开展渔业资源增殖放流等活动，加大渔业资源增殖以及生态渔业建设力度，扶持开展“渔业资源增殖放流示范点”等项目，不断扩大增殖放流规模，提升增殖放流影响力。</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3.提升海洋环境监管能力</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优化近岸海域水质常规监测、重要河口断面监测和入海排污口点源监测频次，强化重要河口区、重要渔业水域以及生态保护红线管控的生态环境监管。开展赤潮、海洋污染等海洋灾害的监测与评价，推进构建海洋环境防灾减灾监测管理平台。加强海洋环境监测体系建设，健全海洋环境监测、生物资源监测等体系，提高技术装备支撑能力，形成有效覆盖沿岸海域的资源环境监测网络，实施有效监测，做好预警预报服务。</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4.推进海洋产业绿色发展</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推动沿海企业污染物达标排放，逐步淘汰高污染企业。推行清洁生产与生活方式，降低资源消耗和污染物排放。推动海洋渔业、海洋渔船工业等传统产业转型升级，提高企业绿色发展能力。以沿海不同区域海洋资源环境承载力为基础，优化沿海经济绿色发展和生态环境功能布局，推动沿海产业生态化发展。严格执行重点行业环境准入条件、环境保护、污染物排放标准和清洁生产等方面的法律法规和技术标准，严格项目审批，提高产业准入门槛。</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5.强化海洋生态红线管控</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强化重要渔业海域生态红线管控。维持海域自然属性，保护渔业资源产卵场、育幼场、索饵场和洄游通道。禁止截断洄游通道、开展水下爆破施工等开发活动。开放式渔业用海应注意控制养殖密度和养殖方式，减少养殖污染，提倡生态养殖。开展增殖放流活动，保护和恢复水产资源。通过严格涉海事项审批、加强海洋环境监测、强化执法巡查等措施落实海洋生态保护红线制度，确保生态红线各项管控措施落实到位，海洋保护区面积、大陆自然岸线保有率、海岛自然岸线保有率和近岸海域水质等各项考核指标符合要求。</w:t>
      </w:r>
    </w:p>
    <w:p>
      <w:pPr>
        <w:pStyle w:val="5"/>
        <w:spacing w:line="560" w:lineRule="atLeast"/>
        <w:ind w:firstLine="640"/>
        <w:rPr>
          <w:rFonts w:ascii="仿宋" w:hAnsi="仿宋" w:eastAsia="仿宋" w:cs="仿宋"/>
          <w:b w:val="0"/>
          <w:bCs w:val="0"/>
        </w:rPr>
      </w:pPr>
      <w:r>
        <w:rPr>
          <w:rFonts w:hint="eastAsia" w:ascii="仿宋" w:hAnsi="仿宋" w:eastAsia="仿宋" w:cs="仿宋"/>
          <w:b w:val="0"/>
          <w:bCs w:val="0"/>
        </w:rPr>
        <w:t>6.实施海洋生态修复行动</w:t>
      </w:r>
    </w:p>
    <w:p>
      <w:pPr>
        <w:spacing w:line="560" w:lineRule="atLeast"/>
        <w:ind w:firstLine="640"/>
      </w:pPr>
      <w:r>
        <w:rPr>
          <w:rFonts w:hint="eastAsia" w:ascii="仿宋" w:hAnsi="仿宋" w:eastAsia="仿宋" w:cs="仿宋"/>
        </w:rPr>
        <w:t>加强海湾综合治理，实施水质环境治理、岸线保护、滨海景观及生态廊道建设、近岸构筑物与海域空间利用清理以及海域整治修复等工程建设。加强近岸滩涂水域保护，恢复滨海湿地功能，加强海草床生态系统的保护和修复。以红海湾为试点，开展水产养殖污染来源、程度以及对海湾污染贡献率调查。科学评估养殖容量，调整养殖结构，合理规划养殖布局。推进汕尾辖区海岛生态修复，完善海岛基础设施和污水、固体废弃物处置设施，提高海洋养殖的生产配套条件，减少对海洋生态的影响。</w:t>
      </w:r>
      <w:r>
        <w:rPr>
          <w:rFonts w:hint="eastAsia"/>
        </w:rPr>
        <w:br w:type="page"/>
      </w:r>
    </w:p>
    <w:p>
      <w:pPr>
        <w:pStyle w:val="3"/>
        <w:spacing w:before="156" w:after="156" w:line="560" w:lineRule="atLeast"/>
        <w:rPr>
          <w:rFonts w:ascii="宋体" w:hAnsi="宋体" w:eastAsia="宋体" w:cs="宋体"/>
          <w:b w:val="0"/>
          <w:bCs w:val="0"/>
        </w:rPr>
      </w:pPr>
      <w:bookmarkStart w:id="115" w:name="_Toc4340"/>
      <w:bookmarkStart w:id="116" w:name="_Toc22527"/>
      <w:r>
        <w:rPr>
          <w:rFonts w:hint="eastAsia"/>
          <w:b w:val="0"/>
          <w:bCs w:val="0"/>
        </w:rPr>
        <w:t>附图：</w:t>
      </w:r>
      <w:bookmarkEnd w:id="115"/>
      <w:bookmarkEnd w:id="116"/>
    </w:p>
    <w:p>
      <w:pPr>
        <w:spacing w:line="560" w:lineRule="atLeast"/>
        <w:ind w:firstLine="0" w:firstLineChars="0"/>
        <w:jc w:val="center"/>
      </w:pPr>
      <w:r>
        <w:rPr>
          <w:rFonts w:hint="eastAsia" w:ascii="宋体" w:hAnsi="宋体" w:eastAsia="宋体" w:cs="宋体"/>
        </w:rPr>
        <w:t>附图1 总体规划范围图</w:t>
      </w:r>
    </w:p>
    <w:p>
      <w:pPr>
        <w:spacing w:line="560" w:lineRule="atLeast"/>
        <w:ind w:firstLine="0" w:firstLineChars="0"/>
      </w:pPr>
      <w:r>
        <w:drawing>
          <wp:inline distT="0" distB="0" distL="114300" distR="114300">
            <wp:extent cx="5555615" cy="7148830"/>
            <wp:effectExtent l="0" t="0" r="6985" b="13970"/>
            <wp:docPr id="3" name="图片 3" descr="E:\2020-12-12-战略规划-汕尾市海洋养殖发展规划\05 归档文件\2021-12-10 汕尾市海洋养殖发展规划图件汇总\总体规划范围图.jpg总体规划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020-12-12-战略规划-汕尾市海洋养殖发展规划\05 归档文件\2021-12-10 汕尾市海洋养殖发展规划图件汇总\总体规划范围图.jpg总体规划范围图"/>
                    <pic:cNvPicPr>
                      <a:picLocks noChangeAspect="1"/>
                    </pic:cNvPicPr>
                  </pic:nvPicPr>
                  <pic:blipFill>
                    <a:blip r:embed="rId9"/>
                    <a:srcRect/>
                    <a:stretch>
                      <a:fillRect/>
                    </a:stretch>
                  </pic:blipFill>
                  <pic:spPr>
                    <a:xfrm>
                      <a:off x="0" y="0"/>
                      <a:ext cx="5555615" cy="7148830"/>
                    </a:xfrm>
                    <a:prstGeom prst="rect">
                      <a:avLst/>
                    </a:prstGeom>
                  </pic:spPr>
                </pic:pic>
              </a:graphicData>
            </a:graphic>
          </wp:inline>
        </w:drawing>
      </w:r>
    </w:p>
    <w:p>
      <w:pPr>
        <w:spacing w:line="560" w:lineRule="atLeast"/>
        <w:ind w:firstLine="640"/>
      </w:pPr>
    </w:p>
    <w:p>
      <w:pPr>
        <w:spacing w:line="560" w:lineRule="atLeast"/>
        <w:ind w:firstLine="0" w:firstLineChars="0"/>
        <w:jc w:val="center"/>
        <w:rPr>
          <w:rFonts w:ascii="宋体" w:hAnsi="宋体" w:eastAsia="宋体" w:cs="宋体"/>
          <w:b/>
          <w:bCs/>
        </w:rPr>
      </w:pPr>
      <w:r>
        <w:rPr>
          <w:rFonts w:hint="eastAsia" w:ascii="宋体" w:hAnsi="宋体" w:eastAsia="宋体" w:cs="宋体"/>
        </w:rPr>
        <w:t>附图2 总体规划资源现状图</w:t>
      </w:r>
    </w:p>
    <w:p>
      <w:pPr>
        <w:spacing w:line="560" w:lineRule="atLeast"/>
        <w:ind w:firstLine="0" w:firstLineChars="0"/>
      </w:pPr>
      <w:r>
        <w:drawing>
          <wp:inline distT="0" distB="0" distL="114300" distR="114300">
            <wp:extent cx="5549900" cy="7141210"/>
            <wp:effectExtent l="0" t="0" r="12700" b="2540"/>
            <wp:docPr id="6" name="图片 5" descr="E:\2020-12-12-战略规划-汕尾市海洋养殖发展规划\05 归档文件\2021-12-10 汕尾市海洋养殖发展规划图件汇总\总体规划资源现状图.jpg总体规划资源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E:\2020-12-12-战略规划-汕尾市海洋养殖发展规划\05 归档文件\2021-12-10 汕尾市海洋养殖发展规划图件汇总\总体规划资源现状图.jpg总体规划资源现状图"/>
                    <pic:cNvPicPr>
                      <a:picLocks noChangeAspect="1"/>
                    </pic:cNvPicPr>
                  </pic:nvPicPr>
                  <pic:blipFill>
                    <a:blip r:embed="rId10"/>
                    <a:srcRect/>
                    <a:stretch>
                      <a:fillRect/>
                    </a:stretch>
                  </pic:blipFill>
                  <pic:spPr>
                    <a:xfrm>
                      <a:off x="0" y="0"/>
                      <a:ext cx="5549900" cy="7141210"/>
                    </a:xfrm>
                    <a:prstGeom prst="rect">
                      <a:avLst/>
                    </a:prstGeom>
                  </pic:spPr>
                </pic:pic>
              </a:graphicData>
            </a:graphic>
          </wp:inline>
        </w:drawing>
      </w:r>
      <w:r>
        <w:br w:type="page"/>
      </w:r>
    </w:p>
    <w:p>
      <w:pPr>
        <w:spacing w:line="560" w:lineRule="atLeast"/>
        <w:ind w:firstLine="0" w:firstLineChars="0"/>
        <w:jc w:val="center"/>
      </w:pPr>
      <w:r>
        <w:rPr>
          <w:rFonts w:hint="eastAsia" w:ascii="宋体" w:hAnsi="宋体" w:eastAsia="宋体" w:cs="宋体"/>
        </w:rPr>
        <w:t>附图3 总体空间结构规划图</w:t>
      </w:r>
    </w:p>
    <w:p>
      <w:pPr>
        <w:spacing w:line="560" w:lineRule="atLeast"/>
        <w:ind w:firstLine="0" w:firstLineChars="0"/>
      </w:pPr>
      <w:r>
        <w:drawing>
          <wp:inline distT="0" distB="0" distL="114300" distR="114300">
            <wp:extent cx="5623560" cy="7237095"/>
            <wp:effectExtent l="0" t="0" r="15240" b="1905"/>
            <wp:docPr id="5" name="图片 3" descr="E:\2020-12-12-战略规划-汕尾市海洋养殖发展规划\05 归档文件\2021-12-11 汕尾市海洋养殖发展规划图件汇总\总体空间结构规划图.jpg总体空间结构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E:\2020-12-12-战略规划-汕尾市海洋养殖发展规划\05 归档文件\2021-12-11 汕尾市海洋养殖发展规划图件汇总\总体空间结构规划图.jpg总体空间结构规划图"/>
                    <pic:cNvPicPr>
                      <a:picLocks noChangeAspect="1"/>
                    </pic:cNvPicPr>
                  </pic:nvPicPr>
                  <pic:blipFill>
                    <a:blip r:embed="rId11"/>
                    <a:srcRect/>
                    <a:stretch>
                      <a:fillRect/>
                    </a:stretch>
                  </pic:blipFill>
                  <pic:spPr>
                    <a:xfrm>
                      <a:off x="0" y="0"/>
                      <a:ext cx="5623560" cy="7237095"/>
                    </a:xfrm>
                    <a:prstGeom prst="rect">
                      <a:avLst/>
                    </a:prstGeom>
                  </pic:spPr>
                </pic:pic>
              </a:graphicData>
            </a:graphic>
          </wp:inline>
        </w:drawing>
      </w:r>
    </w:p>
    <w:p>
      <w:pPr>
        <w:spacing w:line="560" w:lineRule="atLeast"/>
        <w:ind w:firstLine="0" w:firstLineChars="0"/>
      </w:pPr>
    </w:p>
    <w:p>
      <w:pPr>
        <w:pStyle w:val="2"/>
        <w:spacing w:line="560" w:lineRule="atLeast"/>
      </w:pPr>
    </w:p>
    <w:p>
      <w:pPr>
        <w:spacing w:line="560" w:lineRule="atLeast"/>
        <w:ind w:firstLine="640"/>
      </w:pPr>
    </w:p>
    <w:p>
      <w:pPr>
        <w:spacing w:line="560" w:lineRule="atLeast"/>
        <w:ind w:firstLine="0" w:firstLineChars="0"/>
        <w:jc w:val="center"/>
      </w:pPr>
      <w:r>
        <w:rPr>
          <w:rFonts w:hint="eastAsia" w:ascii="宋体" w:hAnsi="宋体" w:eastAsia="宋体" w:cs="宋体"/>
        </w:rPr>
        <w:t>附图4 总体规划功能分区图</w:t>
      </w:r>
    </w:p>
    <w:p>
      <w:pPr>
        <w:spacing w:line="560" w:lineRule="atLeast"/>
        <w:ind w:firstLine="0" w:firstLineChars="0"/>
      </w:pPr>
      <w:r>
        <w:drawing>
          <wp:inline distT="0" distB="0" distL="114300" distR="114300">
            <wp:extent cx="5569585" cy="7166610"/>
            <wp:effectExtent l="0" t="0" r="12065" b="15240"/>
            <wp:docPr id="7" name="图片 5" descr="E:\2020-12-12-战略规划-汕尾市海洋养殖发展规划\05 归档文件\2021-12-10 汕尾市海洋养殖发展规划图件汇总\总体规划功能分区图.jpg总体规划功能分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E:\2020-12-12-战略规划-汕尾市海洋养殖发展规划\05 归档文件\2021-12-10 汕尾市海洋养殖发展规划图件汇总\总体规划功能分区图.jpg总体规划功能分区图"/>
                    <pic:cNvPicPr>
                      <a:picLocks noChangeAspect="1"/>
                    </pic:cNvPicPr>
                  </pic:nvPicPr>
                  <pic:blipFill>
                    <a:blip r:embed="rId12"/>
                    <a:srcRect/>
                    <a:stretch>
                      <a:fillRect/>
                    </a:stretch>
                  </pic:blipFill>
                  <pic:spPr>
                    <a:xfrm>
                      <a:off x="0" y="0"/>
                      <a:ext cx="5569585" cy="7166610"/>
                    </a:xfrm>
                    <a:prstGeom prst="rect">
                      <a:avLst/>
                    </a:prstGeom>
                  </pic:spPr>
                </pic:pic>
              </a:graphicData>
            </a:graphic>
          </wp:inline>
        </w:drawing>
      </w:r>
    </w:p>
    <w:p>
      <w:pPr>
        <w:spacing w:line="560" w:lineRule="atLeast"/>
        <w:ind w:firstLine="0" w:firstLineChars="0"/>
      </w:pPr>
    </w:p>
    <w:p>
      <w:pPr>
        <w:pStyle w:val="2"/>
        <w:spacing w:line="560" w:lineRule="atLeast"/>
      </w:pPr>
    </w:p>
    <w:p>
      <w:pPr>
        <w:spacing w:line="560" w:lineRule="atLeast"/>
        <w:ind w:firstLine="0" w:firstLineChars="0"/>
        <w:jc w:val="center"/>
        <w:rPr>
          <w:rFonts w:ascii="宋体" w:hAnsi="宋体" w:eastAsia="宋体" w:cs="宋体"/>
          <w:b/>
          <w:bCs/>
        </w:rPr>
      </w:pPr>
    </w:p>
    <w:p>
      <w:pPr>
        <w:spacing w:line="560" w:lineRule="atLeast"/>
        <w:ind w:firstLine="0" w:firstLineChars="0"/>
        <w:jc w:val="center"/>
      </w:pPr>
      <w:r>
        <w:rPr>
          <w:rFonts w:hint="eastAsia" w:ascii="宋体" w:hAnsi="宋体" w:eastAsia="宋体" w:cs="宋体"/>
          <w:b/>
          <w:bCs/>
        </w:rPr>
        <w:t xml:space="preserve"> </w:t>
      </w:r>
      <w:r>
        <w:rPr>
          <w:rFonts w:hint="eastAsia" w:ascii="宋体" w:hAnsi="宋体" w:eastAsia="宋体" w:cs="宋体"/>
        </w:rPr>
        <w:t>附图5 增养殖用海总体规划布局图</w:t>
      </w:r>
    </w:p>
    <w:p>
      <w:pPr>
        <w:spacing w:line="560" w:lineRule="atLeast"/>
        <w:ind w:firstLine="0" w:firstLineChars="0"/>
      </w:pPr>
      <w:r>
        <w:drawing>
          <wp:inline distT="0" distB="0" distL="114300" distR="114300">
            <wp:extent cx="5591175" cy="7195185"/>
            <wp:effectExtent l="0" t="0" r="9525" b="5715"/>
            <wp:docPr id="8" name="图片 1" descr="E:\2020-12-12-战略规划-汕尾市海洋养殖发展规划\05 归档文件\2021-12-11 汕尾市海洋养殖发展规划图件汇总\增养殖用海总体规划布局图.jpg增养殖用海总体规划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E:\2020-12-12-战略规划-汕尾市海洋养殖发展规划\05 归档文件\2021-12-11 汕尾市海洋养殖发展规划图件汇总\增养殖用海总体规划布局图.jpg增养殖用海总体规划布局图"/>
                    <pic:cNvPicPr>
                      <a:picLocks noChangeAspect="1"/>
                    </pic:cNvPicPr>
                  </pic:nvPicPr>
                  <pic:blipFill>
                    <a:blip r:embed="rId13"/>
                    <a:srcRect/>
                    <a:stretch>
                      <a:fillRect/>
                    </a:stretch>
                  </pic:blipFill>
                  <pic:spPr>
                    <a:xfrm>
                      <a:off x="0" y="0"/>
                      <a:ext cx="5591175" cy="7195185"/>
                    </a:xfrm>
                    <a:prstGeom prst="rect">
                      <a:avLst/>
                    </a:prstGeom>
                  </pic:spPr>
                </pic:pic>
              </a:graphicData>
            </a:graphic>
          </wp:inline>
        </w:drawing>
      </w:r>
    </w:p>
    <w:p>
      <w:pPr>
        <w:pStyle w:val="2"/>
        <w:spacing w:line="560" w:lineRule="atLeast"/>
      </w:pPr>
    </w:p>
    <w:p>
      <w:pPr>
        <w:spacing w:line="560" w:lineRule="atLeast"/>
        <w:ind w:firstLine="0" w:firstLineChars="0"/>
        <w:jc w:val="center"/>
        <w:rPr>
          <w:rFonts w:ascii="宋体" w:hAnsi="宋体" w:eastAsia="宋体" w:cs="宋体"/>
          <w:b/>
          <w:bCs/>
        </w:rPr>
      </w:pPr>
    </w:p>
    <w:p>
      <w:pPr>
        <w:pStyle w:val="2"/>
      </w:pPr>
    </w:p>
    <w:p>
      <w:pPr>
        <w:spacing w:line="560" w:lineRule="atLeast"/>
        <w:ind w:firstLine="0" w:firstLineChars="0"/>
        <w:jc w:val="center"/>
      </w:pPr>
      <w:r>
        <w:rPr>
          <w:rFonts w:hint="eastAsia" w:ascii="宋体" w:hAnsi="宋体" w:eastAsia="宋体" w:cs="宋体"/>
        </w:rPr>
        <w:t>附图6 增养殖用海利用分布指引图</w:t>
      </w:r>
    </w:p>
    <w:p>
      <w:pPr>
        <w:spacing w:line="560" w:lineRule="atLeast"/>
        <w:ind w:firstLine="0" w:firstLineChars="0"/>
      </w:pPr>
      <w:r>
        <w:drawing>
          <wp:inline distT="0" distB="0" distL="114300" distR="114300">
            <wp:extent cx="5600065" cy="7206615"/>
            <wp:effectExtent l="0" t="0" r="635" b="13335"/>
            <wp:docPr id="9" name="图片 2" descr="E:\2020-12-12-战略规划-汕尾市海洋养殖发展规划\05 归档文件\2021-12-11 汕尾市海洋养殖发展规划图件汇总\增养殖用海利用分布指引图.jpg增养殖用海利用分布指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E:\2020-12-12-战略规划-汕尾市海洋养殖发展规划\05 归档文件\2021-12-11 汕尾市海洋养殖发展规划图件汇总\增养殖用海利用分布指引图.jpg增养殖用海利用分布指引图"/>
                    <pic:cNvPicPr>
                      <a:picLocks noChangeAspect="1"/>
                    </pic:cNvPicPr>
                  </pic:nvPicPr>
                  <pic:blipFill>
                    <a:blip r:embed="rId14"/>
                    <a:srcRect/>
                    <a:stretch>
                      <a:fillRect/>
                    </a:stretch>
                  </pic:blipFill>
                  <pic:spPr>
                    <a:xfrm>
                      <a:off x="0" y="0"/>
                      <a:ext cx="5600065" cy="7206615"/>
                    </a:xfrm>
                    <a:prstGeom prst="rect">
                      <a:avLst/>
                    </a:prstGeom>
                  </pic:spPr>
                </pic:pic>
              </a:graphicData>
            </a:graphic>
          </wp:inline>
        </w:drawing>
      </w:r>
    </w:p>
    <w:p>
      <w:pPr>
        <w:spacing w:line="560" w:lineRule="atLeast"/>
        <w:ind w:firstLine="0" w:firstLineChars="0"/>
      </w:pPr>
    </w:p>
    <w:p>
      <w:pPr>
        <w:spacing w:line="560" w:lineRule="atLeast"/>
        <w:ind w:firstLine="0" w:firstLineChars="0"/>
      </w:pPr>
    </w:p>
    <w:p>
      <w:pPr>
        <w:spacing w:line="560" w:lineRule="atLeast"/>
        <w:ind w:firstLine="0" w:firstLineChars="0"/>
        <w:jc w:val="center"/>
      </w:pPr>
      <w:r>
        <w:rPr>
          <w:rFonts w:hint="eastAsia" w:ascii="宋体" w:hAnsi="宋体" w:eastAsia="宋体" w:cs="宋体"/>
        </w:rPr>
        <w:t>附图7 增养殖用海分类分布统计图</w:t>
      </w:r>
    </w:p>
    <w:p>
      <w:pPr>
        <w:spacing w:line="560" w:lineRule="atLeast"/>
        <w:ind w:firstLine="0" w:firstLineChars="0"/>
      </w:pPr>
      <w:r>
        <w:drawing>
          <wp:inline distT="0" distB="0" distL="114300" distR="114300">
            <wp:extent cx="5578475" cy="7178675"/>
            <wp:effectExtent l="0" t="0" r="3175" b="3175"/>
            <wp:docPr id="10" name="图片 4" descr="E:\2020-12-12-战略规划-汕尾市海洋养殖发展规划\05 归档文件\2021-12-11 汕尾市海洋养殖发展规划图件汇总\增养殖用海分类分布统计图.jpg增养殖用海分类分布统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E:\2020-12-12-战略规划-汕尾市海洋养殖发展规划\05 归档文件\2021-12-11 汕尾市海洋养殖发展规划图件汇总\增养殖用海分类分布统计图.jpg增养殖用海分类分布统计图"/>
                    <pic:cNvPicPr>
                      <a:picLocks noChangeAspect="1"/>
                    </pic:cNvPicPr>
                  </pic:nvPicPr>
                  <pic:blipFill>
                    <a:blip r:embed="rId15"/>
                    <a:srcRect/>
                    <a:stretch>
                      <a:fillRect/>
                    </a:stretch>
                  </pic:blipFill>
                  <pic:spPr>
                    <a:xfrm>
                      <a:off x="0" y="0"/>
                      <a:ext cx="5578475" cy="7178675"/>
                    </a:xfrm>
                    <a:prstGeom prst="rect">
                      <a:avLst/>
                    </a:prstGeom>
                  </pic:spPr>
                </pic:pic>
              </a:graphicData>
            </a:graphic>
          </wp:inline>
        </w:drawing>
      </w:r>
    </w:p>
    <w:p>
      <w:pPr>
        <w:spacing w:line="560" w:lineRule="atLeast"/>
        <w:ind w:firstLine="0" w:firstLineChars="0"/>
        <w:rPr>
          <w:rFonts w:ascii="宋体" w:hAnsi="宋体" w:eastAsia="宋体" w:cs="宋体"/>
          <w:b/>
          <w:bCs/>
        </w:rPr>
      </w:pPr>
    </w:p>
    <w:p>
      <w:pPr>
        <w:pStyle w:val="2"/>
        <w:spacing w:line="560" w:lineRule="atLeast"/>
        <w:rPr>
          <w:rFonts w:ascii="宋体" w:hAnsi="宋体" w:eastAsia="宋体" w:cs="宋体"/>
        </w:rPr>
      </w:pPr>
    </w:p>
    <w:p>
      <w:pPr>
        <w:spacing w:line="560" w:lineRule="atLeast"/>
        <w:ind w:firstLine="640"/>
      </w:pPr>
    </w:p>
    <w:p>
      <w:pPr>
        <w:spacing w:line="560" w:lineRule="atLeast"/>
        <w:ind w:firstLine="0" w:firstLineChars="0"/>
        <w:jc w:val="center"/>
      </w:pPr>
      <w:r>
        <w:rPr>
          <w:rFonts w:hint="eastAsia" w:ascii="宋体" w:hAnsi="宋体" w:eastAsia="宋体" w:cs="宋体"/>
        </w:rPr>
        <w:t>附图8 国土空间利用叠加研究分析图</w:t>
      </w:r>
    </w:p>
    <w:p>
      <w:pPr>
        <w:spacing w:line="560" w:lineRule="atLeast"/>
        <w:ind w:firstLine="0" w:firstLineChars="0"/>
      </w:pPr>
      <w:r>
        <w:drawing>
          <wp:inline distT="0" distB="0" distL="114300" distR="114300">
            <wp:extent cx="5588635" cy="7190740"/>
            <wp:effectExtent l="0" t="0" r="12065" b="10160"/>
            <wp:docPr id="1" name="图片 1" descr="E:\2020-12-12-战略规划-汕尾市海洋养殖发展规划\05 归档文件\2021-12-11 汕尾市海洋养殖发展规划图件汇总\国土空间利用叠加研究分析图.jpg国土空间利用叠加研究分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2020-12-12-战略规划-汕尾市海洋养殖发展规划\05 归档文件\2021-12-11 汕尾市海洋养殖发展规划图件汇总\国土空间利用叠加研究分析图.jpg国土空间利用叠加研究分析图"/>
                    <pic:cNvPicPr>
                      <a:picLocks noChangeAspect="1"/>
                    </pic:cNvPicPr>
                  </pic:nvPicPr>
                  <pic:blipFill>
                    <a:blip r:embed="rId16"/>
                    <a:srcRect/>
                    <a:stretch>
                      <a:fillRect/>
                    </a:stretch>
                  </pic:blipFill>
                  <pic:spPr>
                    <a:xfrm>
                      <a:off x="0" y="0"/>
                      <a:ext cx="5588635" cy="7190740"/>
                    </a:xfrm>
                    <a:prstGeom prst="rect">
                      <a:avLst/>
                    </a:prstGeom>
                  </pic:spPr>
                </pic:pic>
              </a:graphicData>
            </a:graphic>
          </wp:inline>
        </w:drawing>
      </w:r>
    </w:p>
    <w:p>
      <w:pPr>
        <w:pStyle w:val="3"/>
        <w:spacing w:before="156" w:after="156" w:line="560" w:lineRule="atLeast"/>
      </w:pPr>
      <w:bookmarkStart w:id="117" w:name="_Toc26441"/>
    </w:p>
    <w:p>
      <w:pPr>
        <w:pStyle w:val="3"/>
        <w:spacing w:before="156" w:after="156" w:line="560" w:lineRule="atLeast"/>
      </w:pPr>
    </w:p>
    <w:p>
      <w:pPr>
        <w:pStyle w:val="3"/>
        <w:spacing w:before="156" w:after="156" w:line="560" w:lineRule="atLeast"/>
        <w:rPr>
          <w:rFonts w:ascii="宋体" w:hAnsi="宋体" w:eastAsia="宋体" w:cs="宋体"/>
        </w:rPr>
      </w:pPr>
      <w:bookmarkStart w:id="118" w:name="_Toc30680"/>
      <w:r>
        <w:rPr>
          <w:rFonts w:hint="eastAsia"/>
        </w:rPr>
        <w:t>附表：</w:t>
      </w:r>
      <w:bookmarkEnd w:id="117"/>
      <w:bookmarkEnd w:id="118"/>
    </w:p>
    <w:p>
      <w:pPr>
        <w:spacing w:line="560" w:lineRule="atLeast"/>
        <w:ind w:firstLine="0" w:firstLineChars="0"/>
        <w:jc w:val="center"/>
        <w:rPr>
          <w:rFonts w:ascii="宋体" w:hAnsi="宋体" w:eastAsia="宋体" w:cs="宋体"/>
          <w:b/>
          <w:bCs/>
        </w:rPr>
      </w:pPr>
      <w:r>
        <w:rPr>
          <w:rFonts w:hint="eastAsia" w:ascii="宋体" w:hAnsi="宋体" w:eastAsia="宋体" w:cs="宋体"/>
          <w:b/>
          <w:bCs/>
        </w:rPr>
        <w:t>附表1 增养殖用海各点坐标表</w:t>
      </w:r>
    </w:p>
    <w:tbl>
      <w:tblPr>
        <w:tblStyle w:val="14"/>
        <w:tblW w:w="8835" w:type="dxa"/>
        <w:tblInd w:w="-4" w:type="dxa"/>
        <w:tblLayout w:type="autofit"/>
        <w:tblCellMar>
          <w:top w:w="0" w:type="dxa"/>
          <w:left w:w="108" w:type="dxa"/>
          <w:bottom w:w="0" w:type="dxa"/>
          <w:right w:w="108" w:type="dxa"/>
        </w:tblCellMar>
      </w:tblPr>
      <w:tblGrid>
        <w:gridCol w:w="793"/>
        <w:gridCol w:w="1026"/>
        <w:gridCol w:w="954"/>
        <w:gridCol w:w="2475"/>
        <w:gridCol w:w="2325"/>
        <w:gridCol w:w="1262"/>
      </w:tblGrid>
      <w:tr>
        <w:tblPrEx>
          <w:tblCellMar>
            <w:top w:w="0" w:type="dxa"/>
            <w:left w:w="108" w:type="dxa"/>
            <w:bottom w:w="0" w:type="dxa"/>
            <w:right w:w="108" w:type="dxa"/>
          </w:tblCellMar>
        </w:tblPrEx>
        <w:trPr>
          <w:trHeight w:val="1099" w:hRule="atLeast"/>
        </w:trPr>
        <w:tc>
          <w:tcPr>
            <w:tcW w:w="793"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海域编号</w:t>
            </w:r>
          </w:p>
        </w:tc>
        <w:tc>
          <w:tcPr>
            <w:tcW w:w="102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海域名称</w:t>
            </w:r>
          </w:p>
        </w:tc>
        <w:tc>
          <w:tcPr>
            <w:tcW w:w="954"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坐标编号</w:t>
            </w:r>
          </w:p>
        </w:tc>
        <w:tc>
          <w:tcPr>
            <w:tcW w:w="247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经度</w:t>
            </w:r>
          </w:p>
        </w:tc>
        <w:tc>
          <w:tcPr>
            <w:tcW w:w="2325"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纬度</w:t>
            </w:r>
          </w:p>
        </w:tc>
        <w:tc>
          <w:tcPr>
            <w:tcW w:w="126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面积</w:t>
            </w:r>
          </w:p>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（公顷）</w:t>
            </w:r>
          </w:p>
        </w:tc>
      </w:tr>
      <w:tr>
        <w:tblPrEx>
          <w:tblCellMar>
            <w:top w:w="0" w:type="dxa"/>
            <w:left w:w="108" w:type="dxa"/>
            <w:bottom w:w="0" w:type="dxa"/>
            <w:right w:w="108" w:type="dxa"/>
          </w:tblCellMar>
        </w:tblPrEx>
        <w:trPr>
          <w:trHeight w:val="214" w:hRule="atLeast"/>
        </w:trPr>
        <w:tc>
          <w:tcPr>
            <w:tcW w:w="793"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1</w:t>
            </w:r>
          </w:p>
        </w:tc>
        <w:tc>
          <w:tcPr>
            <w:tcW w:w="102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r>
              <w:rPr>
                <w:rFonts w:hint="eastAsia"/>
                <w:sz w:val="24"/>
                <w:szCs w:val="24"/>
              </w:rPr>
              <w:t>芒屿岛南海域增养殖用海</w:t>
            </w: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1</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4' 50.61"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46' 36.21" N</w:t>
            </w:r>
          </w:p>
        </w:tc>
        <w:tc>
          <w:tcPr>
            <w:tcW w:w="126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2020</w:t>
            </w: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2</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6' 51.37"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47' 19.96"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3</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6' 53.68"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44' 31.94"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4</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4' 23.37"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44' 30.15"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2</w:t>
            </w:r>
          </w:p>
        </w:tc>
        <w:tc>
          <w:tcPr>
            <w:tcW w:w="102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r>
              <w:rPr>
                <w:rFonts w:hint="eastAsia"/>
                <w:sz w:val="24"/>
                <w:szCs w:val="24"/>
              </w:rPr>
              <w:t>江牡岛附近海域增养殖用海</w:t>
            </w: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5</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9' 31.80"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46' 31.00" N</w:t>
            </w:r>
          </w:p>
        </w:tc>
        <w:tc>
          <w:tcPr>
            <w:tcW w:w="126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2800</w:t>
            </w: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6</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11' 47.00"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46' 32.54"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7</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11' 50.09"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42' 36.56"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8</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9' 34.96"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42' 35.02"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3</w:t>
            </w:r>
          </w:p>
        </w:tc>
        <w:tc>
          <w:tcPr>
            <w:tcW w:w="102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r>
              <w:rPr>
                <w:rFonts w:hint="eastAsia"/>
                <w:sz w:val="24"/>
                <w:szCs w:val="24"/>
              </w:rPr>
              <w:t>马宫南海域增养殖用海</w:t>
            </w: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9</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14' 8.58"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46' 20.05" N</w:t>
            </w:r>
          </w:p>
        </w:tc>
        <w:tc>
          <w:tcPr>
            <w:tcW w:w="126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2122</w:t>
            </w: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10</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15' 38.35"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46' 21.04"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11</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15' 39.32"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45' 4.32"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12</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16' 46.88"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45' 5.06"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13</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16' 43.298"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43' 14.385"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14</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14' 10.969"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43' 14.397"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4</w:t>
            </w:r>
          </w:p>
        </w:tc>
        <w:tc>
          <w:tcPr>
            <w:tcW w:w="102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r>
              <w:rPr>
                <w:rFonts w:hint="eastAsia"/>
                <w:sz w:val="24"/>
                <w:szCs w:val="24"/>
              </w:rPr>
              <w:t>江牡岛南海域增养殖用海</w:t>
            </w: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15</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11' 57.25"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42' 4.28" N</w:t>
            </w:r>
          </w:p>
        </w:tc>
        <w:tc>
          <w:tcPr>
            <w:tcW w:w="126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3245</w:t>
            </w: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16</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12' 40.906"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41' 10.960"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17</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12' 40.905"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39' 26.516"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18</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10' 4.32"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37' 36.10"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19</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8' 26.38"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39' 35.58"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5</w:t>
            </w:r>
          </w:p>
        </w:tc>
        <w:tc>
          <w:tcPr>
            <w:tcW w:w="102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r>
              <w:rPr>
                <w:rFonts w:hint="eastAsia"/>
                <w:sz w:val="24"/>
                <w:szCs w:val="24"/>
              </w:rPr>
              <w:t>红海湾南海域增养殖用海</w:t>
            </w: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20</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14' 23.627"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34' 50.381" N</w:t>
            </w:r>
          </w:p>
        </w:tc>
        <w:tc>
          <w:tcPr>
            <w:tcW w:w="126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6940</w:t>
            </w: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21</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16' 19.196"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34' 58.151"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22</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17' 3.960"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29' 58.336"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23</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11' 46.783"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28' 21.648"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24</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11' 33.614"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29' 22.096"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6</w:t>
            </w:r>
          </w:p>
        </w:tc>
        <w:tc>
          <w:tcPr>
            <w:tcW w:w="102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r>
              <w:rPr>
                <w:rFonts w:hint="eastAsia"/>
                <w:sz w:val="24"/>
                <w:szCs w:val="24"/>
              </w:rPr>
              <w:t>黄江-螺河入海口增养殖用海</w:t>
            </w: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25</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17' 5.10"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51' 22.30" N</w:t>
            </w:r>
          </w:p>
        </w:tc>
        <w:tc>
          <w:tcPr>
            <w:tcW w:w="126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614</w:t>
            </w: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26</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18' 20.92"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54' 6.31"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27</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18' 38.24"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54' 19.34"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28</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19' 41.72"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54' 46.67"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29</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18' 53.60"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54' 3.86"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30</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17' 40.19"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51' 17.531"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31</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35' 23.72"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52' 17.96"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32</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36' 52.93"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52' 37.22"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33</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36' 41.92"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53' 59.87"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34</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36' 39.95"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51' 38.04"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7</w:t>
            </w:r>
          </w:p>
        </w:tc>
        <w:tc>
          <w:tcPr>
            <w:tcW w:w="102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r>
              <w:rPr>
                <w:rFonts w:hint="eastAsia"/>
                <w:sz w:val="24"/>
                <w:szCs w:val="24"/>
              </w:rPr>
              <w:t>龟龄岛东海域增养殖用海</w:t>
            </w: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35</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27' 25.53"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41' 38.96" N</w:t>
            </w:r>
          </w:p>
        </w:tc>
        <w:tc>
          <w:tcPr>
            <w:tcW w:w="126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1870</w:t>
            </w: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36</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30' 57.36"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40' 40.12"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37</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30' 56.02"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39' 28.72"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38</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27' 26.94"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39' 37.73"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8</w:t>
            </w:r>
          </w:p>
        </w:tc>
        <w:tc>
          <w:tcPr>
            <w:tcW w:w="102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r>
              <w:rPr>
                <w:rFonts w:hint="eastAsia"/>
                <w:sz w:val="24"/>
                <w:szCs w:val="24"/>
              </w:rPr>
              <w:t>遮浪东海域增养殖用海</w:t>
            </w: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39</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36' 11.58"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44' 9.18" N</w:t>
            </w:r>
          </w:p>
        </w:tc>
        <w:tc>
          <w:tcPr>
            <w:tcW w:w="126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2057</w:t>
            </w: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40</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37' 25.546"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44' 9.825"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41</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37' 43.160"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42' 18.713"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42</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38' 39.913"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41' 32.810"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43</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38' 40.51"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40' 31.56"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44</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37' 8.74"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40' 30.77"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45</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37' 8.04"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41' 51.03"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46</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35' 35.85"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43' 23.82"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9</w:t>
            </w:r>
          </w:p>
        </w:tc>
        <w:tc>
          <w:tcPr>
            <w:tcW w:w="102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r>
              <w:rPr>
                <w:rFonts w:hint="eastAsia"/>
                <w:sz w:val="24"/>
                <w:szCs w:val="24"/>
              </w:rPr>
              <w:t>金厢南海域增养殖用海</w:t>
            </w: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47</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37' 22.00"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49' 8.00" N</w:t>
            </w:r>
          </w:p>
        </w:tc>
        <w:tc>
          <w:tcPr>
            <w:tcW w:w="126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5888</w:t>
            </w: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48</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43' 53.89"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50' 41.13"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49</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45' 58.38"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50' 5.10"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50</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43' 28.50"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47' 0.78"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51</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37' 21.72"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47' 13.20"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10</w:t>
            </w:r>
          </w:p>
        </w:tc>
        <w:tc>
          <w:tcPr>
            <w:tcW w:w="102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r>
              <w:rPr>
                <w:rFonts w:hint="eastAsia"/>
                <w:sz w:val="24"/>
                <w:szCs w:val="24"/>
              </w:rPr>
              <w:t>乌坎南海域增养殖用海</w:t>
            </w: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52</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38' 11.89"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51' 45.94" N</w:t>
            </w:r>
          </w:p>
        </w:tc>
        <w:tc>
          <w:tcPr>
            <w:tcW w:w="126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700</w:t>
            </w: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53</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39' 7.86"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51' 46.42"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54</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39' 9.27"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49' 23.79"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55</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38' 13.31"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49' 23.32"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11</w:t>
            </w:r>
          </w:p>
        </w:tc>
        <w:tc>
          <w:tcPr>
            <w:tcW w:w="102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r>
              <w:rPr>
                <w:rFonts w:hint="eastAsia"/>
                <w:sz w:val="24"/>
                <w:szCs w:val="24"/>
              </w:rPr>
              <w:t>金厢西海域增养殖用海</w:t>
            </w: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56</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40' 19.80"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52' 22.26" N</w:t>
            </w:r>
          </w:p>
        </w:tc>
        <w:tc>
          <w:tcPr>
            <w:tcW w:w="126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300</w:t>
            </w: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57</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41' 21.06"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52' 31.88"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58</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41' 34.27"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51' 31.24"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59</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41' 3.77"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51' 11.84"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12</w:t>
            </w:r>
          </w:p>
        </w:tc>
        <w:tc>
          <w:tcPr>
            <w:tcW w:w="102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r>
              <w:rPr>
                <w:rFonts w:hint="eastAsia"/>
                <w:sz w:val="24"/>
                <w:szCs w:val="24"/>
              </w:rPr>
              <w:t>乌坎潟湖及潮汐通道海域增养殖用海</w:t>
            </w: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60</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37' 57.15"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52' 19.19" N</w:t>
            </w:r>
          </w:p>
        </w:tc>
        <w:tc>
          <w:tcPr>
            <w:tcW w:w="126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258</w:t>
            </w: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61</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39' 16.23"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53' 1.32"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62</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39' 18.91"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52' 45.39"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63</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40' 4.78"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53' 4.13"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64</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40' 41.28"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54' 24.35"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65</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41' 23.12"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54' 9.60"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13</w:t>
            </w:r>
          </w:p>
        </w:tc>
        <w:tc>
          <w:tcPr>
            <w:tcW w:w="102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r>
              <w:rPr>
                <w:rFonts w:hint="eastAsia"/>
                <w:sz w:val="24"/>
                <w:szCs w:val="24"/>
              </w:rPr>
              <w:t>碣石南海域增养殖用海</w:t>
            </w: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66</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45' 1.979"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42' 44.484" N</w:t>
            </w:r>
          </w:p>
        </w:tc>
        <w:tc>
          <w:tcPr>
            <w:tcW w:w="126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2100</w:t>
            </w: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67</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46' 39.87"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43' 13.65"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68</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48' 13.27"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40' 43.18"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69</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44' 42.18"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39' 33.75"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70</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44' 37.438"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40' 20.638"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71</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45' 56.698"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40' 54.633"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14</w:t>
            </w:r>
          </w:p>
        </w:tc>
        <w:tc>
          <w:tcPr>
            <w:tcW w:w="102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r>
              <w:rPr>
                <w:rFonts w:hint="eastAsia"/>
                <w:sz w:val="24"/>
                <w:szCs w:val="24"/>
              </w:rPr>
              <w:t>湖东南海域增养殖用海</w:t>
            </w: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72</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53' 27.630"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45' 47.388" N</w:t>
            </w:r>
          </w:p>
        </w:tc>
        <w:tc>
          <w:tcPr>
            <w:tcW w:w="126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2800</w:t>
            </w: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73</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58' 7.158"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47' 39.985"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74</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59' 22.773"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46' 26.011"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75</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115° 55' 48.118"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44' 25.195"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15</w:t>
            </w:r>
          </w:p>
        </w:tc>
        <w:tc>
          <w:tcPr>
            <w:tcW w:w="102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r>
              <w:rPr>
                <w:rFonts w:hint="eastAsia"/>
                <w:sz w:val="24"/>
                <w:szCs w:val="24"/>
              </w:rPr>
              <w:t>甲子南海域增养殖用海</w:t>
            </w: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76</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116° 5' 24.86"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47' 41.99" N</w:t>
            </w:r>
          </w:p>
        </w:tc>
        <w:tc>
          <w:tcPr>
            <w:tcW w:w="126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r>
              <w:rPr>
                <w:rFonts w:hint="eastAsia"/>
                <w:sz w:val="24"/>
                <w:szCs w:val="24"/>
              </w:rPr>
              <w:t>1400</w:t>
            </w: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77</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116° 8' 34.43"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48' 42.64"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14"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78</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116° 9' 4.72"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47' 33.13"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r>
        <w:tblPrEx>
          <w:tblCellMar>
            <w:top w:w="0" w:type="dxa"/>
            <w:left w:w="108" w:type="dxa"/>
            <w:bottom w:w="0" w:type="dxa"/>
            <w:right w:w="108" w:type="dxa"/>
          </w:tblCellMar>
        </w:tblPrEx>
        <w:trPr>
          <w:trHeight w:val="222" w:hRule="atLeast"/>
        </w:trPr>
        <w:tc>
          <w:tcPr>
            <w:tcW w:w="7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c>
          <w:tcPr>
            <w:tcW w:w="1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rPr>
                <w:sz w:val="24"/>
                <w:szCs w:val="24"/>
              </w:rPr>
            </w:pPr>
          </w:p>
        </w:tc>
        <w:tc>
          <w:tcPr>
            <w:tcW w:w="954"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jc w:val="center"/>
              <w:rPr>
                <w:sz w:val="24"/>
                <w:szCs w:val="24"/>
              </w:rPr>
            </w:pPr>
            <w:r>
              <w:rPr>
                <w:rFonts w:hint="eastAsia"/>
                <w:sz w:val="24"/>
                <w:szCs w:val="24"/>
              </w:rPr>
              <w:t>79</w:t>
            </w:r>
          </w:p>
        </w:tc>
        <w:tc>
          <w:tcPr>
            <w:tcW w:w="247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116° 5' 52.81" E</w:t>
            </w:r>
          </w:p>
        </w:tc>
        <w:tc>
          <w:tcPr>
            <w:tcW w:w="2325" w:type="dxa"/>
            <w:tcBorders>
              <w:top w:val="single" w:color="000000" w:sz="8" w:space="0"/>
              <w:left w:val="single" w:color="000000" w:sz="8" w:space="0"/>
              <w:bottom w:val="single" w:color="000000" w:sz="8" w:space="0"/>
              <w:right w:val="single" w:color="000000" w:sz="8" w:space="0"/>
            </w:tcBorders>
            <w:shd w:val="clear" w:color="auto" w:fill="auto"/>
          </w:tcPr>
          <w:p>
            <w:pPr>
              <w:spacing w:line="560" w:lineRule="atLeast"/>
              <w:ind w:firstLine="0" w:firstLineChars="0"/>
              <w:rPr>
                <w:sz w:val="24"/>
                <w:szCs w:val="24"/>
              </w:rPr>
            </w:pPr>
            <w:r>
              <w:rPr>
                <w:rFonts w:hint="eastAsia"/>
                <w:sz w:val="24"/>
                <w:szCs w:val="24"/>
              </w:rPr>
              <w:t>22° 46' 23.88" N</w:t>
            </w:r>
          </w:p>
        </w:tc>
        <w:tc>
          <w:tcPr>
            <w:tcW w:w="12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560" w:lineRule="atLeast"/>
              <w:ind w:firstLine="0" w:firstLineChars="0"/>
              <w:jc w:val="center"/>
              <w:rPr>
                <w:sz w:val="24"/>
                <w:szCs w:val="24"/>
              </w:rPr>
            </w:pPr>
          </w:p>
        </w:tc>
      </w:tr>
    </w:tbl>
    <w:p>
      <w:pPr>
        <w:spacing w:line="560" w:lineRule="atLeast"/>
        <w:ind w:firstLine="0" w:firstLineChars="0"/>
        <w:jc w:val="left"/>
        <w:rPr>
          <w:sz w:val="24"/>
          <w:szCs w:val="24"/>
        </w:rPr>
      </w:pPr>
    </w:p>
    <w:p>
      <w:pPr>
        <w:spacing w:line="560" w:lineRule="atLeast"/>
        <w:ind w:firstLine="640"/>
        <w:sectPr>
          <w:pgSz w:w="11906" w:h="16838"/>
          <w:pgMar w:top="1418" w:right="1588" w:bottom="1418" w:left="1588" w:header="851" w:footer="850" w:gutter="0"/>
          <w:cols w:space="425" w:num="1"/>
          <w:docGrid w:type="lines" w:linePitch="312" w:charSpace="0"/>
        </w:sectPr>
      </w:pPr>
    </w:p>
    <w:p>
      <w:pPr>
        <w:spacing w:line="560" w:lineRule="atLeast"/>
        <w:ind w:firstLine="0" w:firstLineChars="0"/>
        <w:jc w:val="center"/>
        <w:rPr>
          <w:rFonts w:ascii="宋体" w:hAnsi="宋体" w:eastAsia="宋体" w:cs="宋体"/>
          <w:b/>
          <w:bCs/>
        </w:rPr>
      </w:pPr>
      <w:r>
        <w:rPr>
          <w:rFonts w:hint="eastAsia" w:ascii="宋体" w:hAnsi="宋体" w:eastAsia="宋体" w:cs="宋体"/>
          <w:b/>
          <w:bCs/>
        </w:rPr>
        <w:t>附表2海洋渔业功能空间利用分类指引表</w:t>
      </w:r>
    </w:p>
    <w:tbl>
      <w:tblPr>
        <w:tblStyle w:val="14"/>
        <w:tblW w:w="14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0"/>
        <w:gridCol w:w="940"/>
        <w:gridCol w:w="921"/>
        <w:gridCol w:w="1226"/>
        <w:gridCol w:w="1233"/>
        <w:gridCol w:w="1965"/>
        <w:gridCol w:w="6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573" w:type="dxa"/>
            <w:gridSpan w:val="3"/>
            <w:shd w:val="clear" w:color="auto" w:fill="auto"/>
            <w:vAlign w:val="center"/>
          </w:tcPr>
          <w:p>
            <w:pPr>
              <w:spacing w:line="240" w:lineRule="auto"/>
              <w:ind w:firstLine="0" w:firstLineChars="0"/>
              <w:jc w:val="center"/>
              <w:rPr>
                <w:rFonts w:ascii="黑体" w:hAnsi="黑体" w:eastAsia="黑体" w:cs="黑体"/>
                <w:sz w:val="28"/>
                <w:szCs w:val="28"/>
              </w:rPr>
            </w:pPr>
            <w:r>
              <w:rPr>
                <w:rFonts w:hint="eastAsia" w:ascii="黑体" w:hAnsi="黑体" w:eastAsia="黑体" w:cs="黑体"/>
                <w:sz w:val="28"/>
                <w:szCs w:val="28"/>
              </w:rPr>
              <w:t>一级类</w:t>
            </w:r>
          </w:p>
        </w:tc>
        <w:tc>
          <w:tcPr>
            <w:tcW w:w="2147" w:type="dxa"/>
            <w:gridSpan w:val="2"/>
            <w:shd w:val="clear" w:color="auto" w:fill="auto"/>
            <w:vAlign w:val="center"/>
          </w:tcPr>
          <w:p>
            <w:pPr>
              <w:spacing w:line="240" w:lineRule="auto"/>
              <w:ind w:firstLine="0" w:firstLineChars="0"/>
              <w:jc w:val="center"/>
              <w:rPr>
                <w:rFonts w:ascii="黑体" w:hAnsi="黑体" w:eastAsia="黑体" w:cs="黑体"/>
                <w:sz w:val="28"/>
                <w:szCs w:val="28"/>
              </w:rPr>
            </w:pPr>
            <w:r>
              <w:rPr>
                <w:rFonts w:hint="eastAsia" w:ascii="黑体" w:hAnsi="黑体" w:eastAsia="黑体" w:cs="黑体"/>
                <w:sz w:val="28"/>
                <w:szCs w:val="28"/>
              </w:rPr>
              <w:t>二级类</w:t>
            </w:r>
          </w:p>
        </w:tc>
        <w:tc>
          <w:tcPr>
            <w:tcW w:w="9359" w:type="dxa"/>
            <w:gridSpan w:val="3"/>
            <w:shd w:val="clear" w:color="auto" w:fill="auto"/>
            <w:vAlign w:val="center"/>
          </w:tcPr>
          <w:p>
            <w:pPr>
              <w:spacing w:line="240" w:lineRule="auto"/>
              <w:ind w:firstLine="0" w:firstLineChars="0"/>
              <w:jc w:val="center"/>
              <w:rPr>
                <w:rFonts w:ascii="黑体" w:hAnsi="黑体" w:eastAsia="黑体" w:cs="黑体"/>
                <w:sz w:val="28"/>
                <w:szCs w:val="28"/>
              </w:rPr>
            </w:pPr>
            <w:r>
              <w:rPr>
                <w:rFonts w:hint="eastAsia" w:ascii="黑体" w:hAnsi="黑体" w:eastAsia="黑体" w:cs="黑体"/>
                <w:sz w:val="28"/>
                <w:szCs w:val="28"/>
              </w:rPr>
              <w:t>三级类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23" w:type="dxa"/>
            <w:shd w:val="clear" w:color="auto" w:fill="auto"/>
            <w:vAlign w:val="center"/>
          </w:tcPr>
          <w:p>
            <w:pPr>
              <w:spacing w:line="240" w:lineRule="auto"/>
              <w:ind w:firstLine="0" w:firstLineChars="0"/>
              <w:jc w:val="center"/>
              <w:rPr>
                <w:rFonts w:ascii="黑体" w:hAnsi="黑体" w:eastAsia="黑体" w:cs="黑体"/>
                <w:sz w:val="28"/>
                <w:szCs w:val="28"/>
              </w:rPr>
            </w:pPr>
            <w:r>
              <w:rPr>
                <w:rFonts w:hint="eastAsia" w:ascii="黑体" w:hAnsi="黑体" w:eastAsia="黑体" w:cs="黑体"/>
                <w:sz w:val="28"/>
                <w:szCs w:val="28"/>
              </w:rPr>
              <w:t>代码</w:t>
            </w:r>
          </w:p>
        </w:tc>
        <w:tc>
          <w:tcPr>
            <w:tcW w:w="1750" w:type="dxa"/>
            <w:gridSpan w:val="2"/>
            <w:shd w:val="clear" w:color="auto" w:fill="auto"/>
            <w:vAlign w:val="center"/>
          </w:tcPr>
          <w:p>
            <w:pPr>
              <w:spacing w:line="240" w:lineRule="auto"/>
              <w:ind w:firstLine="0" w:firstLineChars="0"/>
              <w:jc w:val="center"/>
              <w:rPr>
                <w:rFonts w:ascii="黑体" w:hAnsi="黑体" w:eastAsia="黑体" w:cs="黑体"/>
                <w:sz w:val="28"/>
                <w:szCs w:val="28"/>
              </w:rPr>
            </w:pPr>
            <w:r>
              <w:rPr>
                <w:rFonts w:hint="eastAsia" w:ascii="黑体" w:hAnsi="黑体" w:eastAsia="黑体" w:cs="黑体"/>
                <w:sz w:val="28"/>
                <w:szCs w:val="28"/>
              </w:rPr>
              <w:t>名称</w:t>
            </w:r>
          </w:p>
        </w:tc>
        <w:tc>
          <w:tcPr>
            <w:tcW w:w="921" w:type="dxa"/>
            <w:shd w:val="clear" w:color="auto" w:fill="auto"/>
            <w:vAlign w:val="center"/>
          </w:tcPr>
          <w:p>
            <w:pPr>
              <w:spacing w:line="240" w:lineRule="auto"/>
              <w:ind w:firstLine="0" w:firstLineChars="0"/>
              <w:jc w:val="center"/>
              <w:rPr>
                <w:rFonts w:ascii="黑体" w:hAnsi="黑体" w:eastAsia="黑体" w:cs="黑体"/>
                <w:sz w:val="28"/>
                <w:szCs w:val="28"/>
              </w:rPr>
            </w:pPr>
            <w:r>
              <w:rPr>
                <w:rFonts w:hint="eastAsia" w:ascii="黑体" w:hAnsi="黑体" w:eastAsia="黑体" w:cs="黑体"/>
                <w:sz w:val="28"/>
                <w:szCs w:val="28"/>
              </w:rPr>
              <w:t>代码</w:t>
            </w:r>
          </w:p>
        </w:tc>
        <w:tc>
          <w:tcPr>
            <w:tcW w:w="1226" w:type="dxa"/>
            <w:shd w:val="clear" w:color="auto" w:fill="auto"/>
            <w:vAlign w:val="center"/>
          </w:tcPr>
          <w:p>
            <w:pPr>
              <w:spacing w:line="240" w:lineRule="auto"/>
              <w:ind w:firstLine="0" w:firstLineChars="0"/>
              <w:jc w:val="center"/>
              <w:rPr>
                <w:rFonts w:ascii="黑体" w:hAnsi="黑体" w:eastAsia="黑体" w:cs="黑体"/>
                <w:sz w:val="28"/>
                <w:szCs w:val="28"/>
              </w:rPr>
            </w:pPr>
            <w:r>
              <w:rPr>
                <w:rFonts w:hint="eastAsia" w:ascii="黑体" w:hAnsi="黑体" w:eastAsia="黑体" w:cs="黑体"/>
                <w:sz w:val="28"/>
                <w:szCs w:val="28"/>
              </w:rPr>
              <w:t>名称</w:t>
            </w:r>
          </w:p>
        </w:tc>
        <w:tc>
          <w:tcPr>
            <w:tcW w:w="1233" w:type="dxa"/>
            <w:shd w:val="clear" w:color="auto" w:fill="auto"/>
            <w:vAlign w:val="center"/>
          </w:tcPr>
          <w:p>
            <w:pPr>
              <w:spacing w:line="240" w:lineRule="auto"/>
              <w:ind w:firstLine="0" w:firstLineChars="0"/>
              <w:jc w:val="center"/>
              <w:rPr>
                <w:rFonts w:ascii="黑体" w:hAnsi="黑体" w:eastAsia="黑体" w:cs="黑体"/>
                <w:sz w:val="28"/>
                <w:szCs w:val="28"/>
              </w:rPr>
            </w:pPr>
            <w:r>
              <w:rPr>
                <w:rFonts w:hint="eastAsia" w:ascii="黑体" w:hAnsi="黑体" w:eastAsia="黑体" w:cs="黑体"/>
                <w:sz w:val="28"/>
                <w:szCs w:val="28"/>
              </w:rPr>
              <w:t>代码</w:t>
            </w:r>
          </w:p>
        </w:tc>
        <w:tc>
          <w:tcPr>
            <w:tcW w:w="1965" w:type="dxa"/>
            <w:shd w:val="clear" w:color="auto" w:fill="auto"/>
            <w:vAlign w:val="center"/>
          </w:tcPr>
          <w:p>
            <w:pPr>
              <w:spacing w:line="240" w:lineRule="auto"/>
              <w:ind w:firstLine="0" w:firstLineChars="0"/>
              <w:jc w:val="center"/>
              <w:rPr>
                <w:rFonts w:ascii="黑体" w:hAnsi="黑体" w:eastAsia="黑体" w:cs="黑体"/>
                <w:sz w:val="28"/>
                <w:szCs w:val="28"/>
              </w:rPr>
            </w:pPr>
            <w:r>
              <w:rPr>
                <w:rFonts w:hint="eastAsia" w:ascii="黑体" w:hAnsi="黑体" w:eastAsia="黑体" w:cs="黑体"/>
                <w:sz w:val="28"/>
                <w:szCs w:val="28"/>
              </w:rPr>
              <w:t>名称</w:t>
            </w:r>
          </w:p>
        </w:tc>
        <w:tc>
          <w:tcPr>
            <w:tcW w:w="6161" w:type="dxa"/>
            <w:shd w:val="clear" w:color="auto" w:fill="auto"/>
            <w:vAlign w:val="center"/>
          </w:tcPr>
          <w:p>
            <w:pPr>
              <w:spacing w:line="240" w:lineRule="auto"/>
              <w:ind w:firstLine="0" w:firstLineChars="0"/>
              <w:jc w:val="center"/>
              <w:rPr>
                <w:rFonts w:ascii="黑体" w:hAnsi="黑体" w:eastAsia="黑体" w:cs="黑体"/>
                <w:sz w:val="28"/>
                <w:szCs w:val="28"/>
              </w:rPr>
            </w:pPr>
            <w:r>
              <w:rPr>
                <w:rFonts w:hint="eastAsia" w:ascii="黑体" w:hAnsi="黑体" w:eastAsia="黑体" w:cs="黑体"/>
                <w:sz w:val="28"/>
                <w:szCs w:val="28"/>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823" w:type="dxa"/>
            <w:vMerge w:val="restart"/>
            <w:shd w:val="clear" w:color="auto" w:fill="auto"/>
            <w:vAlign w:val="center"/>
          </w:tcPr>
          <w:p>
            <w:pPr>
              <w:spacing w:line="560" w:lineRule="atLeast"/>
              <w:ind w:firstLine="0" w:firstLineChars="0"/>
              <w:rPr>
                <w:sz w:val="24"/>
                <w:szCs w:val="24"/>
              </w:rPr>
            </w:pPr>
            <w:r>
              <w:rPr>
                <w:rFonts w:hint="eastAsia"/>
                <w:sz w:val="24"/>
                <w:szCs w:val="24"/>
              </w:rPr>
              <w:t>1802</w:t>
            </w:r>
          </w:p>
        </w:tc>
        <w:tc>
          <w:tcPr>
            <w:tcW w:w="810" w:type="dxa"/>
            <w:vMerge w:val="restart"/>
            <w:shd w:val="clear" w:color="auto" w:fill="auto"/>
            <w:vAlign w:val="center"/>
          </w:tcPr>
          <w:p>
            <w:pPr>
              <w:spacing w:line="560" w:lineRule="atLeast"/>
              <w:ind w:firstLine="0" w:firstLineChars="0"/>
              <w:rPr>
                <w:sz w:val="24"/>
                <w:szCs w:val="24"/>
              </w:rPr>
            </w:pPr>
            <w:r>
              <w:rPr>
                <w:rFonts w:hint="eastAsia"/>
                <w:sz w:val="24"/>
                <w:szCs w:val="24"/>
              </w:rPr>
              <w:t>增养殖用海</w:t>
            </w:r>
          </w:p>
        </w:tc>
        <w:tc>
          <w:tcPr>
            <w:tcW w:w="940" w:type="dxa"/>
            <w:vMerge w:val="restart"/>
            <w:shd w:val="clear" w:color="auto" w:fill="auto"/>
            <w:vAlign w:val="center"/>
          </w:tcPr>
          <w:p>
            <w:pPr>
              <w:spacing w:line="560" w:lineRule="atLeast"/>
              <w:ind w:firstLine="0" w:firstLineChars="0"/>
              <w:rPr>
                <w:sz w:val="24"/>
                <w:szCs w:val="24"/>
              </w:rPr>
            </w:pPr>
            <w:r>
              <w:rPr>
                <w:rFonts w:hint="eastAsia"/>
                <w:sz w:val="24"/>
                <w:szCs w:val="24"/>
              </w:rPr>
              <w:t>禁养区</w:t>
            </w:r>
          </w:p>
        </w:tc>
        <w:tc>
          <w:tcPr>
            <w:tcW w:w="921" w:type="dxa"/>
            <w:shd w:val="clear" w:color="auto" w:fill="auto"/>
            <w:vAlign w:val="center"/>
          </w:tcPr>
          <w:p>
            <w:pPr>
              <w:spacing w:line="560" w:lineRule="atLeast"/>
              <w:ind w:firstLine="0" w:firstLineChars="0"/>
              <w:jc w:val="center"/>
              <w:rPr>
                <w:sz w:val="24"/>
                <w:szCs w:val="24"/>
              </w:rPr>
            </w:pPr>
            <w:r>
              <w:rPr>
                <w:rFonts w:hint="eastAsia"/>
                <w:sz w:val="24"/>
                <w:szCs w:val="24"/>
              </w:rPr>
              <w:t>18021</w:t>
            </w:r>
          </w:p>
        </w:tc>
        <w:tc>
          <w:tcPr>
            <w:tcW w:w="1226" w:type="dxa"/>
            <w:shd w:val="clear" w:color="auto" w:fill="auto"/>
            <w:vAlign w:val="center"/>
          </w:tcPr>
          <w:p>
            <w:pPr>
              <w:spacing w:line="560" w:lineRule="atLeast"/>
              <w:ind w:firstLine="0" w:firstLineChars="0"/>
              <w:rPr>
                <w:sz w:val="24"/>
                <w:szCs w:val="24"/>
              </w:rPr>
            </w:pPr>
            <w:r>
              <w:rPr>
                <w:rFonts w:hint="eastAsia"/>
                <w:sz w:val="24"/>
                <w:szCs w:val="24"/>
              </w:rPr>
              <w:t>海洋生态保护类</w:t>
            </w:r>
          </w:p>
        </w:tc>
        <w:tc>
          <w:tcPr>
            <w:tcW w:w="1233" w:type="dxa"/>
            <w:shd w:val="clear" w:color="auto" w:fill="auto"/>
            <w:vAlign w:val="center"/>
          </w:tcPr>
          <w:p>
            <w:pPr>
              <w:spacing w:line="560" w:lineRule="atLeast"/>
              <w:ind w:firstLine="0" w:firstLineChars="0"/>
              <w:rPr>
                <w:sz w:val="24"/>
                <w:szCs w:val="24"/>
              </w:rPr>
            </w:pPr>
            <w:r>
              <w:rPr>
                <w:rFonts w:hint="eastAsia"/>
                <w:sz w:val="24"/>
                <w:szCs w:val="24"/>
              </w:rPr>
              <w:t>1802101</w:t>
            </w:r>
          </w:p>
        </w:tc>
        <w:tc>
          <w:tcPr>
            <w:tcW w:w="1965" w:type="dxa"/>
            <w:shd w:val="clear" w:color="auto" w:fill="auto"/>
            <w:vAlign w:val="center"/>
          </w:tcPr>
          <w:p>
            <w:pPr>
              <w:spacing w:line="560" w:lineRule="atLeast"/>
              <w:ind w:firstLine="0" w:firstLineChars="0"/>
              <w:rPr>
                <w:sz w:val="24"/>
                <w:szCs w:val="24"/>
              </w:rPr>
            </w:pPr>
            <w:r>
              <w:rPr>
                <w:rFonts w:hint="eastAsia"/>
                <w:sz w:val="24"/>
                <w:szCs w:val="24"/>
              </w:rPr>
              <w:t>海洋生态保护类</w:t>
            </w:r>
          </w:p>
        </w:tc>
        <w:tc>
          <w:tcPr>
            <w:tcW w:w="6161" w:type="dxa"/>
            <w:shd w:val="clear" w:color="auto" w:fill="auto"/>
            <w:vAlign w:val="center"/>
          </w:tcPr>
          <w:p>
            <w:pPr>
              <w:spacing w:line="560" w:lineRule="atLeast"/>
              <w:ind w:firstLine="0" w:firstLineChars="0"/>
              <w:rPr>
                <w:sz w:val="24"/>
                <w:szCs w:val="24"/>
              </w:rPr>
            </w:pPr>
            <w:r>
              <w:rPr>
                <w:rFonts w:hint="eastAsia"/>
                <w:sz w:val="24"/>
                <w:szCs w:val="24"/>
              </w:rPr>
              <w:t>是指国家、省市以海洋生态环境保育和生态资源管护为目的，进行特色保护和管理的区域。该区域禁止一切养殖活动。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23" w:type="dxa"/>
            <w:vMerge w:val="continue"/>
            <w:shd w:val="clear" w:color="auto" w:fill="auto"/>
            <w:vAlign w:val="center"/>
          </w:tcPr>
          <w:p>
            <w:pPr>
              <w:spacing w:line="560" w:lineRule="atLeast"/>
              <w:ind w:firstLine="0" w:firstLineChars="0"/>
              <w:rPr>
                <w:sz w:val="24"/>
                <w:szCs w:val="24"/>
              </w:rPr>
            </w:pPr>
          </w:p>
        </w:tc>
        <w:tc>
          <w:tcPr>
            <w:tcW w:w="810" w:type="dxa"/>
            <w:vMerge w:val="continue"/>
            <w:shd w:val="clear" w:color="auto" w:fill="auto"/>
            <w:vAlign w:val="center"/>
          </w:tcPr>
          <w:p>
            <w:pPr>
              <w:spacing w:line="560" w:lineRule="atLeast"/>
              <w:ind w:firstLine="0" w:firstLineChars="0"/>
              <w:rPr>
                <w:sz w:val="24"/>
                <w:szCs w:val="24"/>
              </w:rPr>
            </w:pPr>
          </w:p>
        </w:tc>
        <w:tc>
          <w:tcPr>
            <w:tcW w:w="940" w:type="dxa"/>
            <w:vMerge w:val="continue"/>
            <w:shd w:val="clear" w:color="auto" w:fill="auto"/>
            <w:vAlign w:val="center"/>
          </w:tcPr>
          <w:p>
            <w:pPr>
              <w:spacing w:line="560" w:lineRule="atLeast"/>
              <w:ind w:firstLine="0" w:firstLineChars="0"/>
              <w:rPr>
                <w:sz w:val="24"/>
                <w:szCs w:val="24"/>
              </w:rPr>
            </w:pPr>
          </w:p>
        </w:tc>
        <w:tc>
          <w:tcPr>
            <w:tcW w:w="921" w:type="dxa"/>
            <w:shd w:val="clear" w:color="auto" w:fill="auto"/>
            <w:vAlign w:val="center"/>
          </w:tcPr>
          <w:p>
            <w:pPr>
              <w:spacing w:line="560" w:lineRule="atLeast"/>
              <w:ind w:firstLine="0" w:firstLineChars="0"/>
              <w:jc w:val="center"/>
              <w:rPr>
                <w:sz w:val="24"/>
                <w:szCs w:val="24"/>
              </w:rPr>
            </w:pPr>
            <w:r>
              <w:rPr>
                <w:rFonts w:hint="eastAsia"/>
                <w:sz w:val="24"/>
                <w:szCs w:val="24"/>
              </w:rPr>
              <w:t>18022</w:t>
            </w:r>
          </w:p>
        </w:tc>
        <w:tc>
          <w:tcPr>
            <w:tcW w:w="1226" w:type="dxa"/>
            <w:shd w:val="clear" w:color="auto" w:fill="auto"/>
            <w:vAlign w:val="center"/>
          </w:tcPr>
          <w:p>
            <w:pPr>
              <w:spacing w:line="560" w:lineRule="atLeast"/>
              <w:ind w:firstLine="0" w:firstLineChars="0"/>
              <w:rPr>
                <w:sz w:val="24"/>
                <w:szCs w:val="24"/>
              </w:rPr>
            </w:pPr>
            <w:r>
              <w:rPr>
                <w:rFonts w:hint="eastAsia"/>
                <w:sz w:val="24"/>
                <w:szCs w:val="24"/>
              </w:rPr>
              <w:t>渔业生态保护类</w:t>
            </w:r>
          </w:p>
        </w:tc>
        <w:tc>
          <w:tcPr>
            <w:tcW w:w="1233" w:type="dxa"/>
            <w:shd w:val="clear" w:color="auto" w:fill="auto"/>
            <w:vAlign w:val="center"/>
          </w:tcPr>
          <w:p>
            <w:pPr>
              <w:spacing w:line="560" w:lineRule="atLeast"/>
              <w:ind w:firstLine="0" w:firstLineChars="0"/>
              <w:rPr>
                <w:sz w:val="24"/>
                <w:szCs w:val="24"/>
              </w:rPr>
            </w:pPr>
            <w:r>
              <w:rPr>
                <w:rFonts w:hint="eastAsia"/>
                <w:sz w:val="24"/>
                <w:szCs w:val="24"/>
              </w:rPr>
              <w:t>1802201</w:t>
            </w:r>
          </w:p>
        </w:tc>
        <w:tc>
          <w:tcPr>
            <w:tcW w:w="1965" w:type="dxa"/>
            <w:shd w:val="clear" w:color="auto" w:fill="auto"/>
            <w:vAlign w:val="center"/>
          </w:tcPr>
          <w:p>
            <w:pPr>
              <w:spacing w:line="560" w:lineRule="atLeast"/>
              <w:ind w:firstLine="0" w:firstLineChars="0"/>
              <w:rPr>
                <w:sz w:val="24"/>
                <w:szCs w:val="24"/>
              </w:rPr>
            </w:pPr>
            <w:r>
              <w:rPr>
                <w:rFonts w:hint="eastAsia"/>
                <w:sz w:val="24"/>
                <w:szCs w:val="24"/>
              </w:rPr>
              <w:t>渔业生态保护类</w:t>
            </w:r>
          </w:p>
        </w:tc>
        <w:tc>
          <w:tcPr>
            <w:tcW w:w="6161" w:type="dxa"/>
            <w:shd w:val="clear" w:color="auto" w:fill="auto"/>
            <w:vAlign w:val="center"/>
          </w:tcPr>
          <w:p>
            <w:pPr>
              <w:spacing w:line="560" w:lineRule="atLeast"/>
              <w:ind w:firstLine="0" w:firstLineChars="0"/>
              <w:rPr>
                <w:sz w:val="24"/>
                <w:szCs w:val="24"/>
              </w:rPr>
            </w:pPr>
            <w:r>
              <w:rPr>
                <w:rFonts w:hint="eastAsia"/>
                <w:sz w:val="24"/>
                <w:szCs w:val="24"/>
              </w:rPr>
              <w:t>是指国家、省市以渔业种质资源保育与管护为目的，进行特色保护和管护的区域。该区域禁止一切养殖活动。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823" w:type="dxa"/>
            <w:vMerge w:val="continue"/>
            <w:shd w:val="clear" w:color="auto" w:fill="auto"/>
            <w:vAlign w:val="center"/>
          </w:tcPr>
          <w:p>
            <w:pPr>
              <w:spacing w:line="560" w:lineRule="atLeast"/>
              <w:ind w:firstLine="0" w:firstLineChars="0"/>
              <w:rPr>
                <w:sz w:val="24"/>
                <w:szCs w:val="24"/>
              </w:rPr>
            </w:pPr>
          </w:p>
        </w:tc>
        <w:tc>
          <w:tcPr>
            <w:tcW w:w="810" w:type="dxa"/>
            <w:vMerge w:val="continue"/>
            <w:shd w:val="clear" w:color="auto" w:fill="auto"/>
            <w:vAlign w:val="center"/>
          </w:tcPr>
          <w:p>
            <w:pPr>
              <w:spacing w:line="560" w:lineRule="atLeast"/>
              <w:ind w:firstLine="0" w:firstLineChars="0"/>
              <w:rPr>
                <w:sz w:val="24"/>
                <w:szCs w:val="24"/>
              </w:rPr>
            </w:pPr>
          </w:p>
        </w:tc>
        <w:tc>
          <w:tcPr>
            <w:tcW w:w="940" w:type="dxa"/>
            <w:vMerge w:val="restart"/>
            <w:shd w:val="clear" w:color="auto" w:fill="auto"/>
            <w:vAlign w:val="center"/>
          </w:tcPr>
          <w:p>
            <w:pPr>
              <w:spacing w:line="560" w:lineRule="atLeast"/>
              <w:ind w:firstLine="0" w:firstLineChars="0"/>
              <w:rPr>
                <w:sz w:val="24"/>
                <w:szCs w:val="24"/>
              </w:rPr>
            </w:pPr>
            <w:r>
              <w:rPr>
                <w:rFonts w:hint="eastAsia"/>
                <w:sz w:val="24"/>
                <w:szCs w:val="24"/>
              </w:rPr>
              <w:t>限养区</w:t>
            </w:r>
          </w:p>
        </w:tc>
        <w:tc>
          <w:tcPr>
            <w:tcW w:w="921" w:type="dxa"/>
            <w:shd w:val="clear" w:color="auto" w:fill="auto"/>
            <w:vAlign w:val="center"/>
          </w:tcPr>
          <w:p>
            <w:pPr>
              <w:spacing w:line="560" w:lineRule="atLeast"/>
              <w:ind w:firstLine="0" w:firstLineChars="0"/>
              <w:jc w:val="center"/>
              <w:rPr>
                <w:sz w:val="24"/>
                <w:szCs w:val="24"/>
              </w:rPr>
            </w:pPr>
            <w:r>
              <w:rPr>
                <w:rFonts w:hint="eastAsia"/>
                <w:sz w:val="24"/>
                <w:szCs w:val="24"/>
              </w:rPr>
              <w:t>18023</w:t>
            </w:r>
          </w:p>
        </w:tc>
        <w:tc>
          <w:tcPr>
            <w:tcW w:w="1226" w:type="dxa"/>
            <w:shd w:val="clear" w:color="auto" w:fill="auto"/>
            <w:vAlign w:val="center"/>
          </w:tcPr>
          <w:p>
            <w:pPr>
              <w:spacing w:line="560" w:lineRule="atLeast"/>
              <w:ind w:firstLine="0" w:firstLineChars="0"/>
              <w:rPr>
                <w:sz w:val="24"/>
                <w:szCs w:val="24"/>
              </w:rPr>
            </w:pPr>
            <w:r>
              <w:rPr>
                <w:rFonts w:hint="eastAsia"/>
                <w:sz w:val="24"/>
                <w:szCs w:val="24"/>
              </w:rPr>
              <w:t>海洋资源管护类</w:t>
            </w:r>
          </w:p>
        </w:tc>
        <w:tc>
          <w:tcPr>
            <w:tcW w:w="1233" w:type="dxa"/>
            <w:shd w:val="clear" w:color="auto" w:fill="auto"/>
            <w:vAlign w:val="center"/>
          </w:tcPr>
          <w:p>
            <w:pPr>
              <w:spacing w:line="560" w:lineRule="atLeast"/>
              <w:ind w:firstLine="0" w:firstLineChars="0"/>
              <w:rPr>
                <w:sz w:val="24"/>
                <w:szCs w:val="24"/>
              </w:rPr>
            </w:pPr>
            <w:r>
              <w:rPr>
                <w:rFonts w:hint="eastAsia"/>
                <w:sz w:val="24"/>
                <w:szCs w:val="24"/>
              </w:rPr>
              <w:t>1802301</w:t>
            </w:r>
          </w:p>
        </w:tc>
        <w:tc>
          <w:tcPr>
            <w:tcW w:w="1965" w:type="dxa"/>
            <w:shd w:val="clear" w:color="auto" w:fill="auto"/>
            <w:vAlign w:val="center"/>
          </w:tcPr>
          <w:p>
            <w:pPr>
              <w:spacing w:line="560" w:lineRule="atLeast"/>
              <w:ind w:firstLine="0" w:firstLineChars="0"/>
              <w:rPr>
                <w:sz w:val="24"/>
                <w:szCs w:val="24"/>
              </w:rPr>
            </w:pPr>
            <w:r>
              <w:rPr>
                <w:rFonts w:hint="eastAsia"/>
                <w:sz w:val="24"/>
                <w:szCs w:val="24"/>
              </w:rPr>
              <w:t>海洋资源管护类</w:t>
            </w:r>
          </w:p>
        </w:tc>
        <w:tc>
          <w:tcPr>
            <w:tcW w:w="6161" w:type="dxa"/>
            <w:shd w:val="clear" w:color="auto" w:fill="auto"/>
            <w:vAlign w:val="center"/>
          </w:tcPr>
          <w:p>
            <w:pPr>
              <w:spacing w:line="560" w:lineRule="atLeast"/>
              <w:ind w:firstLine="0" w:firstLineChars="0"/>
              <w:rPr>
                <w:sz w:val="24"/>
                <w:szCs w:val="24"/>
              </w:rPr>
            </w:pPr>
            <w:r>
              <w:rPr>
                <w:rFonts w:hint="eastAsia"/>
                <w:sz w:val="24"/>
                <w:szCs w:val="24"/>
              </w:rPr>
              <w:t>是指国家、省市资源管护划定生态修复区域内，以生态修复以及海洋生态环境建设为目标，以控制海域排污总量、整治和恢复珊瑚礁、海岛、海湾、入海口等海洋生态为主体的海洋资源管护区域。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823" w:type="dxa"/>
            <w:vMerge w:val="continue"/>
            <w:shd w:val="clear" w:color="auto" w:fill="auto"/>
            <w:vAlign w:val="center"/>
          </w:tcPr>
          <w:p>
            <w:pPr>
              <w:spacing w:line="560" w:lineRule="atLeast"/>
              <w:ind w:firstLine="0" w:firstLineChars="0"/>
              <w:rPr>
                <w:sz w:val="24"/>
                <w:szCs w:val="24"/>
              </w:rPr>
            </w:pPr>
          </w:p>
        </w:tc>
        <w:tc>
          <w:tcPr>
            <w:tcW w:w="810" w:type="dxa"/>
            <w:vMerge w:val="continue"/>
            <w:shd w:val="clear" w:color="auto" w:fill="auto"/>
            <w:vAlign w:val="center"/>
          </w:tcPr>
          <w:p>
            <w:pPr>
              <w:spacing w:line="560" w:lineRule="atLeast"/>
              <w:ind w:firstLine="0" w:firstLineChars="0"/>
              <w:rPr>
                <w:sz w:val="24"/>
                <w:szCs w:val="24"/>
              </w:rPr>
            </w:pPr>
          </w:p>
        </w:tc>
        <w:tc>
          <w:tcPr>
            <w:tcW w:w="940" w:type="dxa"/>
            <w:vMerge w:val="continue"/>
            <w:shd w:val="clear" w:color="auto" w:fill="auto"/>
            <w:vAlign w:val="center"/>
          </w:tcPr>
          <w:p>
            <w:pPr>
              <w:spacing w:line="560" w:lineRule="atLeast"/>
              <w:ind w:firstLine="0" w:firstLineChars="0"/>
              <w:rPr>
                <w:sz w:val="24"/>
                <w:szCs w:val="24"/>
              </w:rPr>
            </w:pPr>
          </w:p>
        </w:tc>
        <w:tc>
          <w:tcPr>
            <w:tcW w:w="921" w:type="dxa"/>
            <w:vMerge w:val="restart"/>
            <w:shd w:val="clear" w:color="auto" w:fill="auto"/>
            <w:vAlign w:val="center"/>
          </w:tcPr>
          <w:p>
            <w:pPr>
              <w:spacing w:line="560" w:lineRule="atLeast"/>
              <w:ind w:firstLine="0" w:firstLineChars="0"/>
              <w:jc w:val="center"/>
              <w:rPr>
                <w:sz w:val="24"/>
                <w:szCs w:val="24"/>
              </w:rPr>
            </w:pPr>
            <w:r>
              <w:rPr>
                <w:rFonts w:hint="eastAsia"/>
                <w:sz w:val="24"/>
                <w:szCs w:val="24"/>
              </w:rPr>
              <w:t>18024</w:t>
            </w:r>
          </w:p>
        </w:tc>
        <w:tc>
          <w:tcPr>
            <w:tcW w:w="1226" w:type="dxa"/>
            <w:vMerge w:val="restart"/>
            <w:shd w:val="clear" w:color="auto" w:fill="auto"/>
            <w:vAlign w:val="center"/>
          </w:tcPr>
          <w:p>
            <w:pPr>
              <w:spacing w:line="560" w:lineRule="atLeast"/>
              <w:ind w:firstLine="0" w:firstLineChars="0"/>
              <w:rPr>
                <w:sz w:val="24"/>
                <w:szCs w:val="24"/>
              </w:rPr>
            </w:pPr>
            <w:r>
              <w:rPr>
                <w:rFonts w:hint="eastAsia"/>
                <w:sz w:val="24"/>
                <w:szCs w:val="24"/>
              </w:rPr>
              <w:t>渔业资源管护类</w:t>
            </w:r>
          </w:p>
        </w:tc>
        <w:tc>
          <w:tcPr>
            <w:tcW w:w="1233" w:type="dxa"/>
            <w:shd w:val="clear" w:color="auto" w:fill="auto"/>
            <w:vAlign w:val="center"/>
          </w:tcPr>
          <w:p>
            <w:pPr>
              <w:spacing w:line="560" w:lineRule="atLeast"/>
              <w:ind w:firstLine="0" w:firstLineChars="0"/>
              <w:rPr>
                <w:sz w:val="24"/>
                <w:szCs w:val="24"/>
              </w:rPr>
            </w:pPr>
            <w:r>
              <w:rPr>
                <w:rFonts w:hint="eastAsia"/>
                <w:sz w:val="24"/>
                <w:szCs w:val="24"/>
              </w:rPr>
              <w:t>1802401</w:t>
            </w:r>
          </w:p>
        </w:tc>
        <w:tc>
          <w:tcPr>
            <w:tcW w:w="1965" w:type="dxa"/>
            <w:shd w:val="clear" w:color="auto" w:fill="auto"/>
            <w:vAlign w:val="center"/>
          </w:tcPr>
          <w:p>
            <w:pPr>
              <w:spacing w:line="560" w:lineRule="atLeast"/>
              <w:ind w:firstLine="0" w:firstLineChars="0"/>
              <w:rPr>
                <w:sz w:val="24"/>
                <w:szCs w:val="24"/>
              </w:rPr>
            </w:pPr>
            <w:r>
              <w:rPr>
                <w:rFonts w:hint="eastAsia"/>
                <w:sz w:val="24"/>
                <w:szCs w:val="24"/>
              </w:rPr>
              <w:t>渔业资源管护类</w:t>
            </w:r>
          </w:p>
        </w:tc>
        <w:tc>
          <w:tcPr>
            <w:tcW w:w="6161" w:type="dxa"/>
            <w:shd w:val="clear" w:color="auto" w:fill="auto"/>
            <w:vAlign w:val="center"/>
          </w:tcPr>
          <w:p>
            <w:pPr>
              <w:spacing w:line="560" w:lineRule="atLeast"/>
              <w:ind w:firstLine="0" w:firstLineChars="0"/>
              <w:rPr>
                <w:sz w:val="24"/>
                <w:szCs w:val="24"/>
              </w:rPr>
            </w:pPr>
            <w:r>
              <w:rPr>
                <w:rFonts w:hint="eastAsia"/>
                <w:sz w:val="24"/>
                <w:szCs w:val="24"/>
              </w:rPr>
              <w:t>是指国家、省市资源管护划定重要渔业海域内，以渔业种质保护、改善区域群落结构和增加生物多样性为目标，针对汕尾市海洋重点品种，以人工鱼礁、海洋牧场等政策性投入和公益性投入为主体的渔业资源管护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823" w:type="dxa"/>
            <w:vMerge w:val="continue"/>
            <w:shd w:val="clear" w:color="auto" w:fill="auto"/>
            <w:vAlign w:val="center"/>
          </w:tcPr>
          <w:p>
            <w:pPr>
              <w:spacing w:line="560" w:lineRule="atLeast"/>
              <w:ind w:firstLine="0" w:firstLineChars="0"/>
              <w:rPr>
                <w:sz w:val="24"/>
                <w:szCs w:val="24"/>
              </w:rPr>
            </w:pPr>
          </w:p>
        </w:tc>
        <w:tc>
          <w:tcPr>
            <w:tcW w:w="810" w:type="dxa"/>
            <w:vMerge w:val="continue"/>
            <w:shd w:val="clear" w:color="auto" w:fill="auto"/>
            <w:vAlign w:val="center"/>
          </w:tcPr>
          <w:p>
            <w:pPr>
              <w:spacing w:line="560" w:lineRule="atLeast"/>
              <w:ind w:firstLine="0" w:firstLineChars="0"/>
              <w:rPr>
                <w:sz w:val="24"/>
                <w:szCs w:val="24"/>
              </w:rPr>
            </w:pPr>
          </w:p>
        </w:tc>
        <w:tc>
          <w:tcPr>
            <w:tcW w:w="940" w:type="dxa"/>
            <w:vMerge w:val="continue"/>
            <w:shd w:val="clear" w:color="auto" w:fill="auto"/>
            <w:vAlign w:val="center"/>
          </w:tcPr>
          <w:p>
            <w:pPr>
              <w:spacing w:line="560" w:lineRule="atLeast"/>
              <w:ind w:firstLine="0" w:firstLineChars="0"/>
              <w:rPr>
                <w:sz w:val="24"/>
                <w:szCs w:val="24"/>
              </w:rPr>
            </w:pPr>
          </w:p>
        </w:tc>
        <w:tc>
          <w:tcPr>
            <w:tcW w:w="921" w:type="dxa"/>
            <w:vMerge w:val="continue"/>
            <w:shd w:val="clear" w:color="auto" w:fill="auto"/>
            <w:vAlign w:val="center"/>
          </w:tcPr>
          <w:p>
            <w:pPr>
              <w:spacing w:line="560" w:lineRule="atLeast"/>
              <w:ind w:firstLine="0" w:firstLineChars="0"/>
              <w:jc w:val="center"/>
              <w:rPr>
                <w:sz w:val="24"/>
                <w:szCs w:val="24"/>
              </w:rPr>
            </w:pPr>
          </w:p>
        </w:tc>
        <w:tc>
          <w:tcPr>
            <w:tcW w:w="1226" w:type="dxa"/>
            <w:vMerge w:val="continue"/>
            <w:shd w:val="clear" w:color="auto" w:fill="auto"/>
            <w:vAlign w:val="center"/>
          </w:tcPr>
          <w:p>
            <w:pPr>
              <w:spacing w:line="560" w:lineRule="atLeast"/>
              <w:ind w:firstLine="0" w:firstLineChars="0"/>
              <w:rPr>
                <w:sz w:val="24"/>
                <w:szCs w:val="24"/>
              </w:rPr>
            </w:pPr>
          </w:p>
        </w:tc>
        <w:tc>
          <w:tcPr>
            <w:tcW w:w="1233" w:type="dxa"/>
            <w:shd w:val="clear" w:color="auto" w:fill="auto"/>
            <w:vAlign w:val="center"/>
          </w:tcPr>
          <w:p>
            <w:pPr>
              <w:spacing w:line="560" w:lineRule="atLeast"/>
              <w:ind w:firstLine="0" w:firstLineChars="0"/>
              <w:rPr>
                <w:sz w:val="24"/>
                <w:szCs w:val="24"/>
              </w:rPr>
            </w:pPr>
            <w:r>
              <w:rPr>
                <w:rFonts w:hint="eastAsia"/>
                <w:sz w:val="24"/>
                <w:szCs w:val="24"/>
              </w:rPr>
              <w:t>1802402</w:t>
            </w:r>
          </w:p>
        </w:tc>
        <w:tc>
          <w:tcPr>
            <w:tcW w:w="1965" w:type="dxa"/>
            <w:shd w:val="clear" w:color="auto" w:fill="auto"/>
            <w:vAlign w:val="center"/>
          </w:tcPr>
          <w:p>
            <w:pPr>
              <w:spacing w:line="560" w:lineRule="atLeast"/>
              <w:ind w:firstLine="0" w:firstLineChars="0"/>
              <w:rPr>
                <w:sz w:val="24"/>
                <w:szCs w:val="24"/>
              </w:rPr>
            </w:pPr>
            <w:r>
              <w:rPr>
                <w:rFonts w:hint="eastAsia"/>
                <w:sz w:val="24"/>
                <w:szCs w:val="24"/>
              </w:rPr>
              <w:t>共享渔业牧场类</w:t>
            </w:r>
          </w:p>
        </w:tc>
        <w:tc>
          <w:tcPr>
            <w:tcW w:w="6161" w:type="dxa"/>
            <w:shd w:val="clear" w:color="auto" w:fill="auto"/>
            <w:vAlign w:val="center"/>
          </w:tcPr>
          <w:p>
            <w:pPr>
              <w:spacing w:line="560" w:lineRule="atLeast"/>
              <w:ind w:firstLine="0" w:firstLineChars="0"/>
              <w:rPr>
                <w:sz w:val="24"/>
                <w:szCs w:val="24"/>
              </w:rPr>
            </w:pPr>
            <w:r>
              <w:rPr>
                <w:rFonts w:hint="eastAsia"/>
                <w:sz w:val="24"/>
                <w:szCs w:val="24"/>
              </w:rPr>
              <w:t>是指在一定海域内划定一定的区域作为全民渔乐活动共享区，该海区主要用于渔民转产转业，如禁渔期渔民休闲渔业作业区、以及全民日常增殖放流活动区等。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823" w:type="dxa"/>
            <w:vMerge w:val="continue"/>
            <w:shd w:val="clear" w:color="auto" w:fill="auto"/>
            <w:vAlign w:val="center"/>
          </w:tcPr>
          <w:p>
            <w:pPr>
              <w:spacing w:line="560" w:lineRule="atLeast"/>
              <w:ind w:firstLine="0" w:firstLineChars="0"/>
              <w:rPr>
                <w:sz w:val="24"/>
                <w:szCs w:val="24"/>
              </w:rPr>
            </w:pPr>
          </w:p>
        </w:tc>
        <w:tc>
          <w:tcPr>
            <w:tcW w:w="810" w:type="dxa"/>
            <w:vMerge w:val="continue"/>
            <w:shd w:val="clear" w:color="auto" w:fill="auto"/>
            <w:vAlign w:val="center"/>
          </w:tcPr>
          <w:p>
            <w:pPr>
              <w:spacing w:line="560" w:lineRule="atLeast"/>
              <w:ind w:firstLine="0" w:firstLineChars="0"/>
              <w:rPr>
                <w:sz w:val="24"/>
                <w:szCs w:val="24"/>
              </w:rPr>
            </w:pPr>
          </w:p>
        </w:tc>
        <w:tc>
          <w:tcPr>
            <w:tcW w:w="940" w:type="dxa"/>
            <w:vMerge w:val="restart"/>
            <w:shd w:val="clear" w:color="auto" w:fill="auto"/>
            <w:vAlign w:val="center"/>
          </w:tcPr>
          <w:p>
            <w:pPr>
              <w:spacing w:line="560" w:lineRule="atLeast"/>
              <w:ind w:firstLine="0" w:firstLineChars="0"/>
              <w:rPr>
                <w:sz w:val="24"/>
                <w:szCs w:val="24"/>
              </w:rPr>
            </w:pPr>
            <w:r>
              <w:rPr>
                <w:rFonts w:hint="eastAsia"/>
                <w:sz w:val="24"/>
                <w:szCs w:val="24"/>
              </w:rPr>
              <w:t>养殖区</w:t>
            </w:r>
          </w:p>
        </w:tc>
        <w:tc>
          <w:tcPr>
            <w:tcW w:w="921" w:type="dxa"/>
            <w:vMerge w:val="restart"/>
            <w:shd w:val="clear" w:color="auto" w:fill="auto"/>
            <w:vAlign w:val="center"/>
          </w:tcPr>
          <w:p>
            <w:pPr>
              <w:spacing w:line="560" w:lineRule="atLeast"/>
              <w:ind w:firstLine="0" w:firstLineChars="0"/>
              <w:jc w:val="center"/>
              <w:rPr>
                <w:sz w:val="24"/>
                <w:szCs w:val="24"/>
              </w:rPr>
            </w:pPr>
            <w:r>
              <w:rPr>
                <w:rFonts w:hint="eastAsia"/>
                <w:sz w:val="24"/>
                <w:szCs w:val="24"/>
              </w:rPr>
              <w:t>18025</w:t>
            </w:r>
          </w:p>
        </w:tc>
        <w:tc>
          <w:tcPr>
            <w:tcW w:w="1226" w:type="dxa"/>
            <w:vMerge w:val="restart"/>
            <w:shd w:val="clear" w:color="auto" w:fill="auto"/>
            <w:vAlign w:val="center"/>
          </w:tcPr>
          <w:p>
            <w:pPr>
              <w:spacing w:line="560" w:lineRule="atLeast"/>
              <w:ind w:firstLine="0" w:firstLineChars="0"/>
              <w:rPr>
                <w:sz w:val="24"/>
                <w:szCs w:val="24"/>
              </w:rPr>
            </w:pPr>
            <w:r>
              <w:rPr>
                <w:rFonts w:hint="eastAsia"/>
                <w:sz w:val="24"/>
                <w:szCs w:val="24"/>
              </w:rPr>
              <w:t>海洋经济渔业类</w:t>
            </w:r>
          </w:p>
        </w:tc>
        <w:tc>
          <w:tcPr>
            <w:tcW w:w="1233" w:type="dxa"/>
            <w:shd w:val="clear" w:color="auto" w:fill="auto"/>
            <w:vAlign w:val="center"/>
          </w:tcPr>
          <w:p>
            <w:pPr>
              <w:spacing w:line="560" w:lineRule="atLeast"/>
              <w:ind w:firstLine="0" w:firstLineChars="0"/>
              <w:rPr>
                <w:sz w:val="24"/>
                <w:szCs w:val="24"/>
              </w:rPr>
            </w:pPr>
            <w:r>
              <w:rPr>
                <w:rFonts w:hint="eastAsia"/>
                <w:sz w:val="24"/>
                <w:szCs w:val="24"/>
              </w:rPr>
              <w:t>1802501</w:t>
            </w:r>
          </w:p>
        </w:tc>
        <w:tc>
          <w:tcPr>
            <w:tcW w:w="1965" w:type="dxa"/>
            <w:shd w:val="clear" w:color="auto" w:fill="auto"/>
            <w:vAlign w:val="center"/>
          </w:tcPr>
          <w:p>
            <w:pPr>
              <w:spacing w:line="560" w:lineRule="atLeast"/>
              <w:ind w:firstLine="0" w:firstLineChars="0"/>
              <w:rPr>
                <w:sz w:val="24"/>
                <w:szCs w:val="24"/>
              </w:rPr>
            </w:pPr>
            <w:r>
              <w:rPr>
                <w:rFonts w:hint="eastAsia"/>
                <w:sz w:val="24"/>
                <w:szCs w:val="24"/>
              </w:rPr>
              <w:t>休闲渔旅融合类</w:t>
            </w:r>
          </w:p>
        </w:tc>
        <w:tc>
          <w:tcPr>
            <w:tcW w:w="6161" w:type="dxa"/>
            <w:shd w:val="clear" w:color="auto" w:fill="auto"/>
            <w:vAlign w:val="center"/>
          </w:tcPr>
          <w:p>
            <w:pPr>
              <w:spacing w:line="560" w:lineRule="atLeast"/>
              <w:ind w:firstLine="0" w:firstLineChars="0"/>
              <w:rPr>
                <w:sz w:val="24"/>
                <w:szCs w:val="24"/>
              </w:rPr>
            </w:pPr>
            <w:r>
              <w:rPr>
                <w:rFonts w:hint="eastAsia"/>
                <w:sz w:val="24"/>
                <w:szCs w:val="24"/>
              </w:rPr>
              <w:t>是指定海岸线保育区域内，休闲渔业行为大于渔业养殖经济行为的区域，该类型海域具备丰富独特的岸线、旅游休闲、滨海娱乐等渔旅资源。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823" w:type="dxa"/>
            <w:vMerge w:val="continue"/>
            <w:shd w:val="clear" w:color="auto" w:fill="auto"/>
            <w:vAlign w:val="center"/>
          </w:tcPr>
          <w:p>
            <w:pPr>
              <w:spacing w:line="560" w:lineRule="atLeast"/>
              <w:ind w:firstLine="0" w:firstLineChars="0"/>
              <w:rPr>
                <w:sz w:val="24"/>
                <w:szCs w:val="24"/>
              </w:rPr>
            </w:pPr>
          </w:p>
        </w:tc>
        <w:tc>
          <w:tcPr>
            <w:tcW w:w="810" w:type="dxa"/>
            <w:vMerge w:val="continue"/>
            <w:shd w:val="clear" w:color="auto" w:fill="auto"/>
            <w:vAlign w:val="center"/>
          </w:tcPr>
          <w:p>
            <w:pPr>
              <w:spacing w:line="560" w:lineRule="atLeast"/>
              <w:ind w:firstLine="0" w:firstLineChars="0"/>
              <w:rPr>
                <w:sz w:val="24"/>
                <w:szCs w:val="24"/>
              </w:rPr>
            </w:pPr>
          </w:p>
        </w:tc>
        <w:tc>
          <w:tcPr>
            <w:tcW w:w="940" w:type="dxa"/>
            <w:vMerge w:val="continue"/>
            <w:shd w:val="clear" w:color="auto" w:fill="auto"/>
            <w:vAlign w:val="center"/>
          </w:tcPr>
          <w:p>
            <w:pPr>
              <w:spacing w:line="560" w:lineRule="atLeast"/>
              <w:ind w:firstLine="0" w:firstLineChars="0"/>
              <w:rPr>
                <w:sz w:val="24"/>
                <w:szCs w:val="24"/>
              </w:rPr>
            </w:pPr>
          </w:p>
        </w:tc>
        <w:tc>
          <w:tcPr>
            <w:tcW w:w="921" w:type="dxa"/>
            <w:vMerge w:val="continue"/>
            <w:shd w:val="clear" w:color="auto" w:fill="auto"/>
            <w:vAlign w:val="center"/>
          </w:tcPr>
          <w:p>
            <w:pPr>
              <w:spacing w:line="560" w:lineRule="atLeast"/>
              <w:ind w:firstLine="0" w:firstLineChars="0"/>
              <w:rPr>
                <w:sz w:val="24"/>
                <w:szCs w:val="24"/>
              </w:rPr>
            </w:pPr>
          </w:p>
        </w:tc>
        <w:tc>
          <w:tcPr>
            <w:tcW w:w="1226" w:type="dxa"/>
            <w:vMerge w:val="continue"/>
            <w:shd w:val="clear" w:color="auto" w:fill="auto"/>
            <w:vAlign w:val="center"/>
          </w:tcPr>
          <w:p>
            <w:pPr>
              <w:spacing w:line="560" w:lineRule="atLeast"/>
              <w:ind w:firstLine="0" w:firstLineChars="0"/>
              <w:rPr>
                <w:sz w:val="24"/>
                <w:szCs w:val="24"/>
              </w:rPr>
            </w:pPr>
          </w:p>
        </w:tc>
        <w:tc>
          <w:tcPr>
            <w:tcW w:w="1233" w:type="dxa"/>
            <w:shd w:val="clear" w:color="auto" w:fill="auto"/>
            <w:vAlign w:val="center"/>
          </w:tcPr>
          <w:p>
            <w:pPr>
              <w:spacing w:line="560" w:lineRule="atLeast"/>
              <w:ind w:firstLine="0" w:firstLineChars="0"/>
              <w:rPr>
                <w:sz w:val="24"/>
                <w:szCs w:val="24"/>
              </w:rPr>
            </w:pPr>
            <w:r>
              <w:rPr>
                <w:rFonts w:hint="eastAsia"/>
                <w:sz w:val="24"/>
                <w:szCs w:val="24"/>
              </w:rPr>
              <w:t>1802502</w:t>
            </w:r>
          </w:p>
        </w:tc>
        <w:tc>
          <w:tcPr>
            <w:tcW w:w="1965" w:type="dxa"/>
            <w:shd w:val="clear" w:color="auto" w:fill="auto"/>
            <w:vAlign w:val="center"/>
          </w:tcPr>
          <w:p>
            <w:pPr>
              <w:spacing w:line="560" w:lineRule="atLeast"/>
              <w:ind w:firstLine="0" w:firstLineChars="0"/>
              <w:rPr>
                <w:sz w:val="24"/>
                <w:szCs w:val="24"/>
              </w:rPr>
            </w:pPr>
            <w:r>
              <w:rPr>
                <w:rFonts w:hint="eastAsia"/>
                <w:sz w:val="24"/>
                <w:szCs w:val="24"/>
              </w:rPr>
              <w:t>绿色生态养殖类</w:t>
            </w:r>
          </w:p>
        </w:tc>
        <w:tc>
          <w:tcPr>
            <w:tcW w:w="6161" w:type="dxa"/>
            <w:shd w:val="clear" w:color="auto" w:fill="auto"/>
            <w:vAlign w:val="center"/>
          </w:tcPr>
          <w:p>
            <w:pPr>
              <w:spacing w:line="560" w:lineRule="atLeast"/>
              <w:ind w:firstLine="0" w:firstLineChars="0"/>
              <w:rPr>
                <w:sz w:val="24"/>
                <w:szCs w:val="24"/>
              </w:rPr>
            </w:pPr>
            <w:r>
              <w:rPr>
                <w:rFonts w:hint="eastAsia"/>
                <w:sz w:val="24"/>
                <w:szCs w:val="24"/>
              </w:rPr>
              <w:t>是指立足国家、省、市绿色养殖等发展规划指引，适宜在近岸海域以绿色生态养殖方式进行渔业养殖经济行为的区域。该类型海域具有生态环境影响小、可持续发展等特点。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23" w:type="dxa"/>
            <w:vMerge w:val="continue"/>
            <w:shd w:val="clear" w:color="auto" w:fill="auto"/>
            <w:vAlign w:val="center"/>
          </w:tcPr>
          <w:p>
            <w:pPr>
              <w:spacing w:line="560" w:lineRule="atLeast"/>
              <w:ind w:firstLine="0" w:firstLineChars="0"/>
              <w:rPr>
                <w:sz w:val="24"/>
                <w:szCs w:val="24"/>
              </w:rPr>
            </w:pPr>
          </w:p>
        </w:tc>
        <w:tc>
          <w:tcPr>
            <w:tcW w:w="810" w:type="dxa"/>
            <w:vMerge w:val="continue"/>
            <w:shd w:val="clear" w:color="auto" w:fill="auto"/>
            <w:vAlign w:val="center"/>
          </w:tcPr>
          <w:p>
            <w:pPr>
              <w:spacing w:line="560" w:lineRule="atLeast"/>
              <w:ind w:firstLine="0" w:firstLineChars="0"/>
              <w:rPr>
                <w:sz w:val="24"/>
                <w:szCs w:val="24"/>
              </w:rPr>
            </w:pPr>
          </w:p>
        </w:tc>
        <w:tc>
          <w:tcPr>
            <w:tcW w:w="940" w:type="dxa"/>
            <w:vMerge w:val="continue"/>
            <w:shd w:val="clear" w:color="auto" w:fill="auto"/>
            <w:vAlign w:val="center"/>
          </w:tcPr>
          <w:p>
            <w:pPr>
              <w:spacing w:line="560" w:lineRule="atLeast"/>
              <w:ind w:firstLine="0" w:firstLineChars="0"/>
              <w:rPr>
                <w:sz w:val="24"/>
                <w:szCs w:val="24"/>
              </w:rPr>
            </w:pPr>
          </w:p>
        </w:tc>
        <w:tc>
          <w:tcPr>
            <w:tcW w:w="921" w:type="dxa"/>
            <w:vMerge w:val="continue"/>
            <w:shd w:val="clear" w:color="auto" w:fill="auto"/>
            <w:vAlign w:val="center"/>
          </w:tcPr>
          <w:p>
            <w:pPr>
              <w:spacing w:line="560" w:lineRule="atLeast"/>
              <w:ind w:firstLine="0" w:firstLineChars="0"/>
              <w:rPr>
                <w:sz w:val="24"/>
                <w:szCs w:val="24"/>
              </w:rPr>
            </w:pPr>
          </w:p>
        </w:tc>
        <w:tc>
          <w:tcPr>
            <w:tcW w:w="1226" w:type="dxa"/>
            <w:vMerge w:val="continue"/>
            <w:shd w:val="clear" w:color="auto" w:fill="auto"/>
            <w:vAlign w:val="center"/>
          </w:tcPr>
          <w:p>
            <w:pPr>
              <w:spacing w:line="560" w:lineRule="atLeast"/>
              <w:ind w:firstLine="0" w:firstLineChars="0"/>
              <w:rPr>
                <w:sz w:val="24"/>
                <w:szCs w:val="24"/>
              </w:rPr>
            </w:pPr>
          </w:p>
        </w:tc>
        <w:tc>
          <w:tcPr>
            <w:tcW w:w="1233" w:type="dxa"/>
            <w:shd w:val="clear" w:color="auto" w:fill="auto"/>
            <w:vAlign w:val="center"/>
          </w:tcPr>
          <w:p>
            <w:pPr>
              <w:spacing w:line="560" w:lineRule="atLeast"/>
              <w:ind w:firstLine="0" w:firstLineChars="0"/>
              <w:rPr>
                <w:sz w:val="24"/>
                <w:szCs w:val="24"/>
              </w:rPr>
            </w:pPr>
            <w:r>
              <w:rPr>
                <w:rFonts w:hint="eastAsia"/>
                <w:sz w:val="24"/>
                <w:szCs w:val="24"/>
              </w:rPr>
              <w:t>1802503</w:t>
            </w:r>
          </w:p>
        </w:tc>
        <w:tc>
          <w:tcPr>
            <w:tcW w:w="1965" w:type="dxa"/>
            <w:shd w:val="clear" w:color="auto" w:fill="auto"/>
            <w:vAlign w:val="center"/>
          </w:tcPr>
          <w:p>
            <w:pPr>
              <w:spacing w:line="560" w:lineRule="atLeast"/>
              <w:ind w:firstLine="0" w:firstLineChars="0"/>
              <w:rPr>
                <w:sz w:val="24"/>
                <w:szCs w:val="24"/>
              </w:rPr>
            </w:pPr>
            <w:r>
              <w:rPr>
                <w:rFonts w:hint="eastAsia"/>
                <w:sz w:val="24"/>
                <w:szCs w:val="24"/>
              </w:rPr>
              <w:t>深水养殖产业类</w:t>
            </w:r>
          </w:p>
        </w:tc>
        <w:tc>
          <w:tcPr>
            <w:tcW w:w="6161" w:type="dxa"/>
            <w:shd w:val="clear" w:color="auto" w:fill="auto"/>
            <w:vAlign w:val="center"/>
          </w:tcPr>
          <w:p>
            <w:pPr>
              <w:spacing w:line="560" w:lineRule="atLeast"/>
              <w:ind w:firstLine="0" w:firstLineChars="0"/>
              <w:rPr>
                <w:sz w:val="24"/>
                <w:szCs w:val="24"/>
              </w:rPr>
            </w:pPr>
            <w:r>
              <w:rPr>
                <w:rFonts w:hint="eastAsia"/>
                <w:sz w:val="24"/>
                <w:szCs w:val="24"/>
              </w:rPr>
              <w:t>是指立足国家、省、市深远海发展规划指引，在深远海适宜养殖海域开展经济渔业深水养殖作业的区域。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823" w:type="dxa"/>
            <w:vMerge w:val="continue"/>
            <w:shd w:val="clear" w:color="auto" w:fill="auto"/>
            <w:vAlign w:val="center"/>
          </w:tcPr>
          <w:p>
            <w:pPr>
              <w:spacing w:line="560" w:lineRule="atLeast"/>
              <w:ind w:firstLine="0" w:firstLineChars="0"/>
              <w:rPr>
                <w:sz w:val="24"/>
                <w:szCs w:val="24"/>
              </w:rPr>
            </w:pPr>
          </w:p>
        </w:tc>
        <w:tc>
          <w:tcPr>
            <w:tcW w:w="810" w:type="dxa"/>
            <w:vMerge w:val="continue"/>
            <w:shd w:val="clear" w:color="auto" w:fill="auto"/>
            <w:vAlign w:val="center"/>
          </w:tcPr>
          <w:p>
            <w:pPr>
              <w:spacing w:line="560" w:lineRule="atLeast"/>
              <w:ind w:firstLine="0" w:firstLineChars="0"/>
              <w:rPr>
                <w:sz w:val="24"/>
                <w:szCs w:val="24"/>
              </w:rPr>
            </w:pPr>
          </w:p>
        </w:tc>
        <w:tc>
          <w:tcPr>
            <w:tcW w:w="940" w:type="dxa"/>
            <w:vMerge w:val="continue"/>
            <w:shd w:val="clear" w:color="auto" w:fill="auto"/>
            <w:vAlign w:val="center"/>
          </w:tcPr>
          <w:p>
            <w:pPr>
              <w:spacing w:line="560" w:lineRule="atLeast"/>
              <w:ind w:firstLine="0" w:firstLineChars="0"/>
              <w:rPr>
                <w:sz w:val="24"/>
                <w:szCs w:val="24"/>
              </w:rPr>
            </w:pPr>
          </w:p>
        </w:tc>
        <w:tc>
          <w:tcPr>
            <w:tcW w:w="921" w:type="dxa"/>
            <w:vMerge w:val="continue"/>
            <w:shd w:val="clear" w:color="auto" w:fill="auto"/>
            <w:vAlign w:val="center"/>
          </w:tcPr>
          <w:p>
            <w:pPr>
              <w:spacing w:line="560" w:lineRule="atLeast"/>
              <w:ind w:firstLine="0" w:firstLineChars="0"/>
              <w:rPr>
                <w:sz w:val="24"/>
                <w:szCs w:val="24"/>
              </w:rPr>
            </w:pPr>
          </w:p>
        </w:tc>
        <w:tc>
          <w:tcPr>
            <w:tcW w:w="1226" w:type="dxa"/>
            <w:vMerge w:val="continue"/>
            <w:shd w:val="clear" w:color="auto" w:fill="auto"/>
            <w:vAlign w:val="center"/>
          </w:tcPr>
          <w:p>
            <w:pPr>
              <w:spacing w:line="560" w:lineRule="atLeast"/>
              <w:ind w:firstLine="0" w:firstLineChars="0"/>
              <w:rPr>
                <w:sz w:val="24"/>
                <w:szCs w:val="24"/>
              </w:rPr>
            </w:pPr>
          </w:p>
        </w:tc>
        <w:tc>
          <w:tcPr>
            <w:tcW w:w="1233" w:type="dxa"/>
            <w:shd w:val="clear" w:color="auto" w:fill="auto"/>
            <w:vAlign w:val="center"/>
          </w:tcPr>
          <w:p>
            <w:pPr>
              <w:spacing w:line="560" w:lineRule="atLeast"/>
              <w:ind w:firstLine="0" w:firstLineChars="0"/>
              <w:rPr>
                <w:sz w:val="24"/>
                <w:szCs w:val="24"/>
              </w:rPr>
            </w:pPr>
            <w:r>
              <w:rPr>
                <w:rFonts w:hint="eastAsia"/>
                <w:sz w:val="24"/>
                <w:szCs w:val="24"/>
              </w:rPr>
              <w:t>1802504</w:t>
            </w:r>
          </w:p>
        </w:tc>
        <w:tc>
          <w:tcPr>
            <w:tcW w:w="1965" w:type="dxa"/>
            <w:shd w:val="clear" w:color="auto" w:fill="auto"/>
            <w:vAlign w:val="center"/>
          </w:tcPr>
          <w:p>
            <w:pPr>
              <w:spacing w:line="560" w:lineRule="atLeast"/>
              <w:ind w:firstLine="0" w:firstLineChars="0"/>
              <w:rPr>
                <w:sz w:val="24"/>
                <w:szCs w:val="24"/>
              </w:rPr>
            </w:pPr>
            <w:r>
              <w:rPr>
                <w:rFonts w:hint="eastAsia"/>
                <w:sz w:val="24"/>
                <w:szCs w:val="24"/>
              </w:rPr>
              <w:t>能源混合利用类</w:t>
            </w:r>
          </w:p>
        </w:tc>
        <w:tc>
          <w:tcPr>
            <w:tcW w:w="6161" w:type="dxa"/>
            <w:shd w:val="clear" w:color="auto" w:fill="auto"/>
            <w:vAlign w:val="center"/>
          </w:tcPr>
          <w:p>
            <w:pPr>
              <w:spacing w:line="560" w:lineRule="atLeast"/>
              <w:ind w:firstLine="0" w:firstLineChars="0"/>
              <w:rPr>
                <w:sz w:val="24"/>
                <w:szCs w:val="24"/>
              </w:rPr>
            </w:pPr>
            <w:r>
              <w:rPr>
                <w:rFonts w:hint="eastAsia"/>
                <w:sz w:val="24"/>
                <w:szCs w:val="24"/>
              </w:rPr>
              <w:t>是指立足国家、省、市海洋新能源与渔业协调发展指引，能实现新能源采集转化与渔业养殖空间集约利用的区域。该类型海域具有光、电、波浪、潮汐等新能源丰富的特点。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823" w:type="dxa"/>
            <w:vMerge w:val="continue"/>
            <w:shd w:val="clear" w:color="auto" w:fill="auto"/>
            <w:vAlign w:val="center"/>
          </w:tcPr>
          <w:p>
            <w:pPr>
              <w:spacing w:line="560" w:lineRule="atLeast"/>
              <w:ind w:firstLine="0" w:firstLineChars="0"/>
              <w:rPr>
                <w:sz w:val="24"/>
                <w:szCs w:val="24"/>
              </w:rPr>
            </w:pPr>
          </w:p>
        </w:tc>
        <w:tc>
          <w:tcPr>
            <w:tcW w:w="810" w:type="dxa"/>
            <w:vMerge w:val="continue"/>
            <w:shd w:val="clear" w:color="auto" w:fill="auto"/>
            <w:vAlign w:val="center"/>
          </w:tcPr>
          <w:p>
            <w:pPr>
              <w:spacing w:line="560" w:lineRule="atLeast"/>
              <w:ind w:firstLine="0" w:firstLineChars="0"/>
              <w:rPr>
                <w:sz w:val="24"/>
                <w:szCs w:val="24"/>
              </w:rPr>
            </w:pPr>
          </w:p>
        </w:tc>
        <w:tc>
          <w:tcPr>
            <w:tcW w:w="940" w:type="dxa"/>
            <w:vMerge w:val="continue"/>
            <w:shd w:val="clear" w:color="auto" w:fill="auto"/>
            <w:vAlign w:val="center"/>
          </w:tcPr>
          <w:p>
            <w:pPr>
              <w:spacing w:line="560" w:lineRule="atLeast"/>
              <w:ind w:firstLine="0" w:firstLineChars="0"/>
              <w:rPr>
                <w:sz w:val="24"/>
                <w:szCs w:val="24"/>
              </w:rPr>
            </w:pPr>
          </w:p>
        </w:tc>
        <w:tc>
          <w:tcPr>
            <w:tcW w:w="921" w:type="dxa"/>
            <w:vMerge w:val="continue"/>
            <w:shd w:val="clear" w:color="auto" w:fill="auto"/>
            <w:vAlign w:val="center"/>
          </w:tcPr>
          <w:p>
            <w:pPr>
              <w:spacing w:line="560" w:lineRule="atLeast"/>
              <w:ind w:firstLine="0" w:firstLineChars="0"/>
              <w:rPr>
                <w:sz w:val="24"/>
                <w:szCs w:val="24"/>
              </w:rPr>
            </w:pPr>
          </w:p>
        </w:tc>
        <w:tc>
          <w:tcPr>
            <w:tcW w:w="1226" w:type="dxa"/>
            <w:vMerge w:val="continue"/>
            <w:shd w:val="clear" w:color="auto" w:fill="auto"/>
            <w:vAlign w:val="center"/>
          </w:tcPr>
          <w:p>
            <w:pPr>
              <w:spacing w:line="560" w:lineRule="atLeast"/>
              <w:ind w:firstLine="0" w:firstLineChars="0"/>
              <w:rPr>
                <w:sz w:val="24"/>
                <w:szCs w:val="24"/>
              </w:rPr>
            </w:pPr>
          </w:p>
        </w:tc>
        <w:tc>
          <w:tcPr>
            <w:tcW w:w="1233" w:type="dxa"/>
            <w:shd w:val="clear" w:color="auto" w:fill="auto"/>
            <w:vAlign w:val="center"/>
          </w:tcPr>
          <w:p>
            <w:pPr>
              <w:spacing w:line="560" w:lineRule="atLeast"/>
              <w:ind w:firstLine="0" w:firstLineChars="0"/>
              <w:rPr>
                <w:sz w:val="24"/>
                <w:szCs w:val="24"/>
              </w:rPr>
            </w:pPr>
            <w:r>
              <w:rPr>
                <w:rFonts w:hint="eastAsia"/>
                <w:sz w:val="24"/>
                <w:szCs w:val="24"/>
              </w:rPr>
              <w:t>1802505</w:t>
            </w:r>
          </w:p>
        </w:tc>
        <w:tc>
          <w:tcPr>
            <w:tcW w:w="1965" w:type="dxa"/>
            <w:shd w:val="clear" w:color="auto" w:fill="auto"/>
            <w:vAlign w:val="center"/>
          </w:tcPr>
          <w:p>
            <w:pPr>
              <w:spacing w:line="560" w:lineRule="atLeast"/>
              <w:ind w:firstLine="0" w:firstLineChars="0"/>
              <w:rPr>
                <w:sz w:val="24"/>
                <w:szCs w:val="24"/>
              </w:rPr>
            </w:pPr>
            <w:r>
              <w:rPr>
                <w:rFonts w:hint="eastAsia"/>
                <w:sz w:val="24"/>
                <w:szCs w:val="24"/>
              </w:rPr>
              <w:t>岛礁融合发展类</w:t>
            </w:r>
          </w:p>
        </w:tc>
        <w:tc>
          <w:tcPr>
            <w:tcW w:w="6161" w:type="dxa"/>
            <w:shd w:val="clear" w:color="auto" w:fill="auto"/>
            <w:vAlign w:val="center"/>
          </w:tcPr>
          <w:p>
            <w:pPr>
              <w:spacing w:line="560" w:lineRule="atLeast"/>
              <w:ind w:firstLine="0" w:firstLineChars="0"/>
              <w:rPr>
                <w:sz w:val="24"/>
                <w:szCs w:val="24"/>
              </w:rPr>
            </w:pPr>
            <w:r>
              <w:rPr>
                <w:rFonts w:hint="eastAsia"/>
                <w:sz w:val="24"/>
                <w:szCs w:val="24"/>
              </w:rPr>
              <w:t>是指以国家海岛名录划定的农林渔牧用岛、旅游娱乐用岛等功能用岛为依托，能实现渔业资源与海岛资源高效融合联动发展的区域。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4079" w:type="dxa"/>
            <w:gridSpan w:val="8"/>
            <w:shd w:val="clear" w:color="auto" w:fill="auto"/>
            <w:vAlign w:val="center"/>
          </w:tcPr>
          <w:p>
            <w:pPr>
              <w:spacing w:line="560" w:lineRule="atLeast"/>
              <w:ind w:firstLine="0" w:firstLineChars="0"/>
              <w:rPr>
                <w:sz w:val="24"/>
                <w:szCs w:val="24"/>
              </w:rPr>
            </w:pPr>
            <w:r>
              <w:rPr>
                <w:rFonts w:hint="eastAsia"/>
                <w:sz w:val="24"/>
                <w:szCs w:val="24"/>
              </w:rPr>
              <w:t>注：“用海代码”参见《国土空间调查、规划、用途管制用地用海分类指南（试行）》</w:t>
            </w:r>
          </w:p>
        </w:tc>
      </w:tr>
    </w:tbl>
    <w:p>
      <w:pPr>
        <w:spacing w:line="560" w:lineRule="atLeast"/>
        <w:ind w:firstLine="640"/>
        <w:sectPr>
          <w:pgSz w:w="16838" w:h="11906" w:orient="landscape"/>
          <w:pgMar w:top="1588" w:right="1418" w:bottom="1588" w:left="1418" w:header="851" w:footer="850" w:gutter="0"/>
          <w:cols w:space="425" w:num="1"/>
          <w:docGrid w:type="lines" w:linePitch="435" w:charSpace="0"/>
        </w:sectPr>
      </w:pPr>
    </w:p>
    <w:p>
      <w:pPr>
        <w:spacing w:line="560" w:lineRule="atLeast"/>
        <w:ind w:firstLine="0" w:firstLineChars="0"/>
        <w:jc w:val="center"/>
        <w:rPr>
          <w:rFonts w:ascii="宋体" w:hAnsi="宋体" w:eastAsia="宋体" w:cs="宋体"/>
          <w:b/>
          <w:bCs/>
        </w:rPr>
      </w:pPr>
      <w:r>
        <w:rPr>
          <w:rFonts w:hint="eastAsia" w:ascii="宋体" w:hAnsi="宋体" w:eastAsia="宋体" w:cs="宋体"/>
          <w:b/>
          <w:bCs/>
        </w:rPr>
        <w:t>附表3 汕尾市海洋增养殖用海面积分类统计表</w:t>
      </w:r>
    </w:p>
    <w:tbl>
      <w:tblPr>
        <w:tblStyle w:val="14"/>
        <w:tblW w:w="8437"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2931"/>
        <w:gridCol w:w="1171"/>
        <w:gridCol w:w="2115"/>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855" w:type="dxa"/>
            <w:shd w:val="clear" w:color="auto" w:fill="auto"/>
            <w:noWrap/>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海域编号</w:t>
            </w:r>
          </w:p>
        </w:tc>
        <w:tc>
          <w:tcPr>
            <w:tcW w:w="2931" w:type="dxa"/>
            <w:shd w:val="clear" w:color="auto" w:fill="auto"/>
            <w:noWrap/>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海域名称</w:t>
            </w:r>
          </w:p>
        </w:tc>
        <w:tc>
          <w:tcPr>
            <w:tcW w:w="1171" w:type="dxa"/>
            <w:shd w:val="clear" w:color="auto" w:fill="auto"/>
            <w:noWrap/>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代码</w:t>
            </w:r>
          </w:p>
        </w:tc>
        <w:tc>
          <w:tcPr>
            <w:tcW w:w="2115" w:type="dxa"/>
            <w:shd w:val="clear" w:color="auto" w:fill="auto"/>
            <w:noWrap/>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三级类</w:t>
            </w:r>
          </w:p>
        </w:tc>
        <w:tc>
          <w:tcPr>
            <w:tcW w:w="1365" w:type="dxa"/>
            <w:shd w:val="clear" w:color="auto" w:fill="auto"/>
            <w:noWrap/>
            <w:vAlign w:val="center"/>
          </w:tcPr>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面积</w:t>
            </w:r>
          </w:p>
          <w:p>
            <w:pPr>
              <w:spacing w:line="560" w:lineRule="atLeast"/>
              <w:ind w:firstLine="0" w:firstLineChars="0"/>
              <w:jc w:val="center"/>
              <w:rPr>
                <w:rFonts w:ascii="黑体" w:hAnsi="黑体" w:eastAsia="黑体" w:cs="黑体"/>
                <w:sz w:val="28"/>
                <w:szCs w:val="28"/>
              </w:rPr>
            </w:pPr>
            <w:r>
              <w:rPr>
                <w:rFonts w:hint="eastAsia" w:ascii="黑体" w:hAnsi="黑体" w:eastAsia="黑体" w:cs="黑体"/>
                <w:sz w:val="28"/>
                <w:szCs w:val="28"/>
              </w:rPr>
              <w:t>（公顷）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vMerge w:val="restart"/>
            <w:shd w:val="clear" w:color="auto" w:fill="auto"/>
            <w:noWrap/>
            <w:vAlign w:val="center"/>
          </w:tcPr>
          <w:p>
            <w:pPr>
              <w:spacing w:line="560" w:lineRule="atLeast"/>
              <w:ind w:firstLine="0" w:firstLineChars="0"/>
              <w:jc w:val="center"/>
              <w:rPr>
                <w:sz w:val="24"/>
                <w:szCs w:val="24"/>
              </w:rPr>
            </w:pPr>
            <w:r>
              <w:rPr>
                <w:rFonts w:hint="eastAsia"/>
                <w:sz w:val="24"/>
                <w:szCs w:val="24"/>
              </w:rPr>
              <w:t>1</w:t>
            </w:r>
          </w:p>
        </w:tc>
        <w:tc>
          <w:tcPr>
            <w:tcW w:w="2931" w:type="dxa"/>
            <w:vMerge w:val="restart"/>
            <w:shd w:val="clear" w:color="auto" w:fill="auto"/>
            <w:noWrap/>
            <w:vAlign w:val="center"/>
          </w:tcPr>
          <w:p>
            <w:pPr>
              <w:spacing w:line="560" w:lineRule="atLeast"/>
              <w:ind w:firstLine="0" w:firstLineChars="0"/>
              <w:rPr>
                <w:sz w:val="24"/>
                <w:szCs w:val="24"/>
              </w:rPr>
            </w:pPr>
            <w:r>
              <w:rPr>
                <w:rFonts w:hint="eastAsia"/>
                <w:sz w:val="24"/>
                <w:szCs w:val="24"/>
              </w:rPr>
              <w:t>芒屿岛南海域增养殖用海</w:t>
            </w: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1802501</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休闲渔旅融合类</w:t>
            </w:r>
          </w:p>
        </w:tc>
        <w:tc>
          <w:tcPr>
            <w:tcW w:w="1365" w:type="dxa"/>
            <w:vMerge w:val="restart"/>
            <w:shd w:val="clear" w:color="auto" w:fill="auto"/>
            <w:noWrap/>
            <w:vAlign w:val="center"/>
          </w:tcPr>
          <w:p>
            <w:pPr>
              <w:spacing w:line="560" w:lineRule="atLeast"/>
              <w:ind w:firstLine="0" w:firstLineChars="0"/>
              <w:jc w:val="center"/>
              <w:rPr>
                <w:sz w:val="24"/>
                <w:szCs w:val="24"/>
              </w:rPr>
            </w:pPr>
            <w:r>
              <w:rPr>
                <w:rFonts w:hint="eastAsia"/>
                <w:sz w:val="24"/>
                <w:szCs w:val="24"/>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vMerge w:val="continue"/>
            <w:shd w:val="clear" w:color="auto" w:fill="auto"/>
            <w:noWrap/>
            <w:vAlign w:val="center"/>
          </w:tcPr>
          <w:p>
            <w:pPr>
              <w:spacing w:line="560" w:lineRule="atLeast"/>
              <w:ind w:firstLine="0" w:firstLineChars="0"/>
              <w:jc w:val="center"/>
              <w:rPr>
                <w:sz w:val="24"/>
                <w:szCs w:val="24"/>
              </w:rPr>
            </w:pPr>
          </w:p>
        </w:tc>
        <w:tc>
          <w:tcPr>
            <w:tcW w:w="2931" w:type="dxa"/>
            <w:vMerge w:val="continue"/>
            <w:shd w:val="clear" w:color="auto" w:fill="auto"/>
            <w:noWrap/>
            <w:vAlign w:val="center"/>
          </w:tcPr>
          <w:p>
            <w:pPr>
              <w:spacing w:line="560" w:lineRule="atLeast"/>
              <w:ind w:firstLine="0" w:firstLineChars="0"/>
              <w:rPr>
                <w:sz w:val="24"/>
                <w:szCs w:val="24"/>
              </w:rPr>
            </w:pP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1802502</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绿色生态养殖类</w:t>
            </w:r>
          </w:p>
        </w:tc>
        <w:tc>
          <w:tcPr>
            <w:tcW w:w="1365" w:type="dxa"/>
            <w:vMerge w:val="continue"/>
            <w:shd w:val="clear" w:color="auto" w:fill="auto"/>
            <w:noWrap/>
            <w:vAlign w:val="center"/>
          </w:tcPr>
          <w:p>
            <w:pPr>
              <w:spacing w:line="560" w:lineRule="atLeast"/>
              <w:ind w:firstLine="0" w:firstLineChars="0"/>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vMerge w:val="continue"/>
            <w:shd w:val="clear" w:color="auto" w:fill="auto"/>
            <w:noWrap/>
            <w:vAlign w:val="center"/>
          </w:tcPr>
          <w:p>
            <w:pPr>
              <w:spacing w:line="560" w:lineRule="atLeast"/>
              <w:ind w:firstLine="0" w:firstLineChars="0"/>
              <w:jc w:val="center"/>
              <w:rPr>
                <w:sz w:val="24"/>
                <w:szCs w:val="24"/>
              </w:rPr>
            </w:pPr>
          </w:p>
        </w:tc>
        <w:tc>
          <w:tcPr>
            <w:tcW w:w="2931" w:type="dxa"/>
            <w:vMerge w:val="continue"/>
            <w:shd w:val="clear" w:color="auto" w:fill="auto"/>
            <w:noWrap/>
            <w:vAlign w:val="center"/>
          </w:tcPr>
          <w:p>
            <w:pPr>
              <w:spacing w:line="560" w:lineRule="atLeast"/>
              <w:ind w:firstLine="0" w:firstLineChars="0"/>
              <w:rPr>
                <w:sz w:val="24"/>
                <w:szCs w:val="24"/>
              </w:rPr>
            </w:pP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1802505</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岛礁融合发展类</w:t>
            </w:r>
          </w:p>
        </w:tc>
        <w:tc>
          <w:tcPr>
            <w:tcW w:w="1365" w:type="dxa"/>
            <w:vMerge w:val="continue"/>
            <w:shd w:val="clear" w:color="auto" w:fill="auto"/>
            <w:noWrap/>
            <w:vAlign w:val="center"/>
          </w:tcPr>
          <w:p>
            <w:pPr>
              <w:spacing w:line="560" w:lineRule="atLeast"/>
              <w:ind w:firstLine="0" w:firstLineChars="0"/>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vMerge w:val="restart"/>
            <w:shd w:val="clear" w:color="auto" w:fill="auto"/>
            <w:noWrap/>
            <w:vAlign w:val="center"/>
          </w:tcPr>
          <w:p>
            <w:pPr>
              <w:spacing w:line="560" w:lineRule="atLeast"/>
              <w:ind w:firstLine="0" w:firstLineChars="0"/>
              <w:jc w:val="center"/>
              <w:rPr>
                <w:sz w:val="24"/>
                <w:szCs w:val="24"/>
              </w:rPr>
            </w:pPr>
            <w:r>
              <w:rPr>
                <w:rFonts w:hint="eastAsia"/>
                <w:sz w:val="24"/>
                <w:szCs w:val="24"/>
              </w:rPr>
              <w:t>2</w:t>
            </w:r>
          </w:p>
        </w:tc>
        <w:tc>
          <w:tcPr>
            <w:tcW w:w="2931" w:type="dxa"/>
            <w:vMerge w:val="restart"/>
            <w:shd w:val="clear" w:color="auto" w:fill="auto"/>
            <w:noWrap/>
            <w:vAlign w:val="center"/>
          </w:tcPr>
          <w:p>
            <w:pPr>
              <w:spacing w:line="560" w:lineRule="atLeast"/>
              <w:ind w:firstLine="0" w:firstLineChars="0"/>
              <w:rPr>
                <w:sz w:val="24"/>
                <w:szCs w:val="24"/>
              </w:rPr>
            </w:pPr>
            <w:r>
              <w:rPr>
                <w:rFonts w:hint="eastAsia"/>
                <w:sz w:val="24"/>
                <w:szCs w:val="24"/>
              </w:rPr>
              <w:t>江牡岛附近海域增养殖用海</w:t>
            </w: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1802501</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休闲渔旅融合类</w:t>
            </w:r>
          </w:p>
        </w:tc>
        <w:tc>
          <w:tcPr>
            <w:tcW w:w="1365" w:type="dxa"/>
            <w:vMerge w:val="restart"/>
            <w:shd w:val="clear" w:color="auto" w:fill="auto"/>
            <w:noWrap/>
            <w:vAlign w:val="center"/>
          </w:tcPr>
          <w:p>
            <w:pPr>
              <w:spacing w:line="560" w:lineRule="atLeast"/>
              <w:ind w:firstLine="0" w:firstLineChars="0"/>
              <w:jc w:val="center"/>
              <w:rPr>
                <w:sz w:val="24"/>
                <w:szCs w:val="24"/>
              </w:rPr>
            </w:pPr>
            <w:r>
              <w:rPr>
                <w:rFonts w:hint="eastAsia"/>
                <w:sz w:val="24"/>
                <w:szCs w:val="24"/>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vMerge w:val="continue"/>
            <w:shd w:val="clear" w:color="auto" w:fill="auto"/>
            <w:noWrap/>
            <w:vAlign w:val="center"/>
          </w:tcPr>
          <w:p>
            <w:pPr>
              <w:spacing w:line="560" w:lineRule="atLeast"/>
              <w:ind w:firstLine="0" w:firstLineChars="0"/>
              <w:jc w:val="center"/>
              <w:rPr>
                <w:sz w:val="24"/>
                <w:szCs w:val="24"/>
              </w:rPr>
            </w:pPr>
          </w:p>
        </w:tc>
        <w:tc>
          <w:tcPr>
            <w:tcW w:w="2931" w:type="dxa"/>
            <w:vMerge w:val="continue"/>
            <w:shd w:val="clear" w:color="auto" w:fill="auto"/>
            <w:noWrap/>
            <w:vAlign w:val="center"/>
          </w:tcPr>
          <w:p>
            <w:pPr>
              <w:spacing w:line="560" w:lineRule="atLeast"/>
              <w:ind w:firstLine="0" w:firstLineChars="0"/>
              <w:rPr>
                <w:sz w:val="24"/>
                <w:szCs w:val="24"/>
              </w:rPr>
            </w:pP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1802503</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深水养殖产业类</w:t>
            </w:r>
          </w:p>
        </w:tc>
        <w:tc>
          <w:tcPr>
            <w:tcW w:w="1365" w:type="dxa"/>
            <w:vMerge w:val="continue"/>
            <w:shd w:val="clear" w:color="auto" w:fill="auto"/>
            <w:noWrap/>
            <w:vAlign w:val="center"/>
          </w:tcPr>
          <w:p>
            <w:pPr>
              <w:spacing w:line="560" w:lineRule="atLeast"/>
              <w:ind w:firstLine="0" w:firstLineChars="0"/>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vMerge w:val="continue"/>
            <w:shd w:val="clear" w:color="auto" w:fill="auto"/>
            <w:noWrap/>
            <w:vAlign w:val="center"/>
          </w:tcPr>
          <w:p>
            <w:pPr>
              <w:spacing w:line="560" w:lineRule="atLeast"/>
              <w:ind w:firstLine="0" w:firstLineChars="0"/>
              <w:jc w:val="center"/>
              <w:rPr>
                <w:sz w:val="24"/>
                <w:szCs w:val="24"/>
              </w:rPr>
            </w:pPr>
          </w:p>
        </w:tc>
        <w:tc>
          <w:tcPr>
            <w:tcW w:w="2931" w:type="dxa"/>
            <w:vMerge w:val="continue"/>
            <w:shd w:val="clear" w:color="auto" w:fill="auto"/>
            <w:noWrap/>
            <w:vAlign w:val="center"/>
          </w:tcPr>
          <w:p>
            <w:pPr>
              <w:spacing w:line="560" w:lineRule="atLeast"/>
              <w:ind w:firstLine="0" w:firstLineChars="0"/>
              <w:rPr>
                <w:sz w:val="24"/>
                <w:szCs w:val="24"/>
              </w:rPr>
            </w:pP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1802505</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岛礁融合发展类</w:t>
            </w:r>
          </w:p>
        </w:tc>
        <w:tc>
          <w:tcPr>
            <w:tcW w:w="1365" w:type="dxa"/>
            <w:vMerge w:val="continue"/>
            <w:shd w:val="clear" w:color="auto" w:fill="auto"/>
            <w:noWrap/>
            <w:vAlign w:val="center"/>
          </w:tcPr>
          <w:p>
            <w:pPr>
              <w:spacing w:line="560" w:lineRule="atLeast"/>
              <w:ind w:firstLine="0" w:firstLineChars="0"/>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vMerge w:val="restart"/>
            <w:shd w:val="clear" w:color="auto" w:fill="auto"/>
            <w:noWrap/>
            <w:vAlign w:val="center"/>
          </w:tcPr>
          <w:p>
            <w:pPr>
              <w:spacing w:line="560" w:lineRule="atLeast"/>
              <w:ind w:firstLine="0" w:firstLineChars="0"/>
              <w:jc w:val="center"/>
              <w:rPr>
                <w:sz w:val="24"/>
                <w:szCs w:val="24"/>
              </w:rPr>
            </w:pPr>
            <w:r>
              <w:rPr>
                <w:rFonts w:hint="eastAsia"/>
                <w:sz w:val="24"/>
                <w:szCs w:val="24"/>
              </w:rPr>
              <w:t>3</w:t>
            </w:r>
          </w:p>
        </w:tc>
        <w:tc>
          <w:tcPr>
            <w:tcW w:w="2931" w:type="dxa"/>
            <w:vMerge w:val="restart"/>
            <w:shd w:val="clear" w:color="auto" w:fill="auto"/>
            <w:noWrap/>
            <w:vAlign w:val="center"/>
          </w:tcPr>
          <w:p>
            <w:pPr>
              <w:spacing w:line="560" w:lineRule="atLeast"/>
              <w:ind w:firstLine="0" w:firstLineChars="0"/>
              <w:rPr>
                <w:sz w:val="24"/>
                <w:szCs w:val="24"/>
              </w:rPr>
            </w:pPr>
            <w:r>
              <w:rPr>
                <w:rFonts w:hint="eastAsia"/>
                <w:sz w:val="24"/>
                <w:szCs w:val="24"/>
              </w:rPr>
              <w:t>马宫南海域增养殖用海</w:t>
            </w: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1802501</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休闲渔旅融合类</w:t>
            </w:r>
          </w:p>
        </w:tc>
        <w:tc>
          <w:tcPr>
            <w:tcW w:w="1365" w:type="dxa"/>
            <w:vMerge w:val="restart"/>
            <w:shd w:val="clear" w:color="auto" w:fill="auto"/>
            <w:noWrap/>
            <w:vAlign w:val="center"/>
          </w:tcPr>
          <w:p>
            <w:pPr>
              <w:spacing w:line="560" w:lineRule="atLeast"/>
              <w:ind w:firstLine="0" w:firstLineChars="0"/>
              <w:jc w:val="center"/>
              <w:rPr>
                <w:sz w:val="24"/>
                <w:szCs w:val="24"/>
              </w:rPr>
            </w:pPr>
            <w:r>
              <w:rPr>
                <w:rFonts w:hint="eastAsia"/>
                <w:sz w:val="24"/>
                <w:szCs w:val="24"/>
              </w:rPr>
              <w:t>2122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vMerge w:val="continue"/>
            <w:shd w:val="clear" w:color="auto" w:fill="auto"/>
            <w:noWrap/>
            <w:vAlign w:val="center"/>
          </w:tcPr>
          <w:p>
            <w:pPr>
              <w:spacing w:line="560" w:lineRule="atLeast"/>
              <w:ind w:firstLine="0" w:firstLineChars="0"/>
              <w:jc w:val="center"/>
              <w:rPr>
                <w:sz w:val="24"/>
                <w:szCs w:val="24"/>
              </w:rPr>
            </w:pPr>
          </w:p>
        </w:tc>
        <w:tc>
          <w:tcPr>
            <w:tcW w:w="2931" w:type="dxa"/>
            <w:vMerge w:val="continue"/>
            <w:shd w:val="clear" w:color="auto" w:fill="auto"/>
            <w:noWrap/>
            <w:vAlign w:val="center"/>
          </w:tcPr>
          <w:p>
            <w:pPr>
              <w:spacing w:line="560" w:lineRule="atLeast"/>
              <w:ind w:firstLine="0" w:firstLineChars="0"/>
              <w:rPr>
                <w:sz w:val="24"/>
                <w:szCs w:val="24"/>
              </w:rPr>
            </w:pP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1802503</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深水养殖产业类</w:t>
            </w:r>
          </w:p>
        </w:tc>
        <w:tc>
          <w:tcPr>
            <w:tcW w:w="1365" w:type="dxa"/>
            <w:vMerge w:val="continue"/>
            <w:shd w:val="clear" w:color="auto" w:fill="auto"/>
            <w:noWrap/>
            <w:vAlign w:val="center"/>
          </w:tcPr>
          <w:p>
            <w:pPr>
              <w:spacing w:line="560" w:lineRule="atLeast"/>
              <w:ind w:firstLine="0" w:firstLineChars="0"/>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shd w:val="clear" w:color="auto" w:fill="auto"/>
            <w:noWrap/>
            <w:vAlign w:val="center"/>
          </w:tcPr>
          <w:p>
            <w:pPr>
              <w:spacing w:line="560" w:lineRule="atLeast"/>
              <w:ind w:firstLine="0" w:firstLineChars="0"/>
              <w:jc w:val="center"/>
              <w:rPr>
                <w:sz w:val="24"/>
                <w:szCs w:val="24"/>
              </w:rPr>
            </w:pPr>
            <w:r>
              <w:rPr>
                <w:rFonts w:hint="eastAsia"/>
                <w:sz w:val="24"/>
                <w:szCs w:val="24"/>
              </w:rPr>
              <w:t>4</w:t>
            </w:r>
          </w:p>
        </w:tc>
        <w:tc>
          <w:tcPr>
            <w:tcW w:w="2931" w:type="dxa"/>
            <w:shd w:val="clear" w:color="auto" w:fill="auto"/>
            <w:noWrap/>
            <w:vAlign w:val="center"/>
          </w:tcPr>
          <w:p>
            <w:pPr>
              <w:spacing w:line="560" w:lineRule="atLeast"/>
              <w:ind w:firstLine="0" w:firstLineChars="0"/>
              <w:rPr>
                <w:sz w:val="24"/>
                <w:szCs w:val="24"/>
              </w:rPr>
            </w:pPr>
            <w:r>
              <w:rPr>
                <w:rFonts w:hint="eastAsia"/>
                <w:sz w:val="24"/>
                <w:szCs w:val="24"/>
              </w:rPr>
              <w:t>江牡岛南海域增养殖用海</w:t>
            </w: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1802503</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深水养殖产业类</w:t>
            </w:r>
          </w:p>
        </w:tc>
        <w:tc>
          <w:tcPr>
            <w:tcW w:w="1365" w:type="dxa"/>
            <w:shd w:val="clear" w:color="auto" w:fill="auto"/>
            <w:noWrap/>
            <w:vAlign w:val="center"/>
          </w:tcPr>
          <w:p>
            <w:pPr>
              <w:spacing w:line="560" w:lineRule="atLeast"/>
              <w:ind w:firstLine="0" w:firstLineChars="0"/>
              <w:jc w:val="center"/>
              <w:rPr>
                <w:sz w:val="24"/>
                <w:szCs w:val="24"/>
              </w:rPr>
            </w:pPr>
            <w:r>
              <w:rPr>
                <w:rFonts w:hint="eastAsia"/>
                <w:sz w:val="24"/>
                <w:szCs w:val="24"/>
              </w:rPr>
              <w:t>3245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shd w:val="clear" w:color="auto" w:fill="auto"/>
            <w:noWrap/>
            <w:vAlign w:val="center"/>
          </w:tcPr>
          <w:p>
            <w:pPr>
              <w:spacing w:line="560" w:lineRule="atLeast"/>
              <w:ind w:firstLine="0" w:firstLineChars="0"/>
              <w:jc w:val="center"/>
              <w:rPr>
                <w:sz w:val="24"/>
                <w:szCs w:val="24"/>
              </w:rPr>
            </w:pPr>
            <w:r>
              <w:rPr>
                <w:rFonts w:hint="eastAsia"/>
                <w:sz w:val="24"/>
                <w:szCs w:val="24"/>
              </w:rPr>
              <w:t>5</w:t>
            </w:r>
          </w:p>
        </w:tc>
        <w:tc>
          <w:tcPr>
            <w:tcW w:w="2931" w:type="dxa"/>
            <w:shd w:val="clear" w:color="auto" w:fill="auto"/>
            <w:noWrap/>
            <w:vAlign w:val="center"/>
          </w:tcPr>
          <w:p>
            <w:pPr>
              <w:spacing w:line="560" w:lineRule="atLeast"/>
              <w:ind w:firstLine="0" w:firstLineChars="0"/>
              <w:rPr>
                <w:sz w:val="24"/>
                <w:szCs w:val="24"/>
              </w:rPr>
            </w:pPr>
            <w:r>
              <w:rPr>
                <w:rFonts w:hint="eastAsia"/>
                <w:sz w:val="24"/>
                <w:szCs w:val="24"/>
              </w:rPr>
              <w:t>红海湾南海域增养殖用海</w:t>
            </w: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1802503</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深水养殖产业类</w:t>
            </w:r>
          </w:p>
        </w:tc>
        <w:tc>
          <w:tcPr>
            <w:tcW w:w="1365" w:type="dxa"/>
            <w:shd w:val="clear" w:color="auto" w:fill="auto"/>
            <w:noWrap/>
            <w:vAlign w:val="center"/>
          </w:tcPr>
          <w:p>
            <w:pPr>
              <w:spacing w:line="560" w:lineRule="atLeast"/>
              <w:ind w:firstLine="0" w:firstLineChars="0"/>
              <w:jc w:val="center"/>
              <w:rPr>
                <w:sz w:val="24"/>
                <w:szCs w:val="24"/>
              </w:rPr>
            </w:pPr>
            <w:r>
              <w:rPr>
                <w:rFonts w:hint="eastAsia"/>
                <w:sz w:val="24"/>
                <w:szCs w:val="24"/>
              </w:rPr>
              <w:t>6940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vMerge w:val="restart"/>
            <w:shd w:val="clear" w:color="auto" w:fill="auto"/>
            <w:noWrap/>
            <w:vAlign w:val="center"/>
          </w:tcPr>
          <w:p>
            <w:pPr>
              <w:spacing w:line="560" w:lineRule="atLeast"/>
              <w:ind w:firstLine="0" w:firstLineChars="0"/>
              <w:jc w:val="center"/>
              <w:rPr>
                <w:sz w:val="24"/>
                <w:szCs w:val="24"/>
              </w:rPr>
            </w:pPr>
            <w:r>
              <w:rPr>
                <w:rFonts w:hint="eastAsia"/>
                <w:sz w:val="24"/>
                <w:szCs w:val="24"/>
              </w:rPr>
              <w:t>6</w:t>
            </w:r>
          </w:p>
        </w:tc>
        <w:tc>
          <w:tcPr>
            <w:tcW w:w="2931" w:type="dxa"/>
            <w:vMerge w:val="restart"/>
            <w:shd w:val="clear" w:color="auto" w:fill="auto"/>
            <w:noWrap/>
            <w:vAlign w:val="center"/>
          </w:tcPr>
          <w:p>
            <w:pPr>
              <w:spacing w:line="560" w:lineRule="atLeast"/>
              <w:ind w:firstLine="0" w:firstLineChars="0"/>
              <w:rPr>
                <w:sz w:val="24"/>
                <w:szCs w:val="24"/>
              </w:rPr>
            </w:pPr>
            <w:r>
              <w:rPr>
                <w:rFonts w:hint="eastAsia"/>
                <w:sz w:val="24"/>
                <w:szCs w:val="24"/>
              </w:rPr>
              <w:t>黄江-螺河入海口增养殖用海</w:t>
            </w: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1802101</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海洋生态保护类</w:t>
            </w:r>
          </w:p>
        </w:tc>
        <w:tc>
          <w:tcPr>
            <w:tcW w:w="1365" w:type="dxa"/>
            <w:vMerge w:val="restart"/>
            <w:shd w:val="clear" w:color="auto" w:fill="auto"/>
            <w:noWrap/>
            <w:vAlign w:val="center"/>
          </w:tcPr>
          <w:p>
            <w:pPr>
              <w:spacing w:line="560" w:lineRule="atLeast"/>
              <w:ind w:firstLine="0" w:firstLineChars="0"/>
              <w:jc w:val="center"/>
              <w:rPr>
                <w:sz w:val="24"/>
                <w:szCs w:val="24"/>
              </w:rPr>
            </w:pPr>
            <w:r>
              <w:rPr>
                <w:rFonts w:hint="eastAsia"/>
                <w:sz w:val="24"/>
                <w:szCs w:val="24"/>
              </w:rPr>
              <w:t>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vMerge w:val="continue"/>
            <w:shd w:val="clear" w:color="auto" w:fill="auto"/>
            <w:noWrap/>
            <w:vAlign w:val="center"/>
          </w:tcPr>
          <w:p>
            <w:pPr>
              <w:spacing w:line="560" w:lineRule="atLeast"/>
              <w:ind w:firstLine="0" w:firstLineChars="0"/>
              <w:jc w:val="center"/>
              <w:rPr>
                <w:sz w:val="24"/>
                <w:szCs w:val="24"/>
              </w:rPr>
            </w:pPr>
          </w:p>
        </w:tc>
        <w:tc>
          <w:tcPr>
            <w:tcW w:w="2931" w:type="dxa"/>
            <w:vMerge w:val="continue"/>
            <w:shd w:val="clear" w:color="auto" w:fill="auto"/>
            <w:noWrap/>
            <w:vAlign w:val="center"/>
          </w:tcPr>
          <w:p>
            <w:pPr>
              <w:spacing w:line="560" w:lineRule="atLeast"/>
              <w:ind w:firstLine="0" w:firstLineChars="0"/>
              <w:rPr>
                <w:sz w:val="24"/>
                <w:szCs w:val="24"/>
              </w:rPr>
            </w:pP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1802402</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共享渔业牧场类</w:t>
            </w:r>
          </w:p>
        </w:tc>
        <w:tc>
          <w:tcPr>
            <w:tcW w:w="1365" w:type="dxa"/>
            <w:vMerge w:val="continue"/>
            <w:shd w:val="clear" w:color="auto" w:fill="auto"/>
            <w:noWrap/>
            <w:vAlign w:val="center"/>
          </w:tcPr>
          <w:p>
            <w:pPr>
              <w:spacing w:line="560" w:lineRule="atLeast"/>
              <w:ind w:firstLine="0" w:firstLineChars="0"/>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vMerge w:val="restart"/>
            <w:shd w:val="clear" w:color="auto" w:fill="auto"/>
            <w:noWrap/>
            <w:vAlign w:val="center"/>
          </w:tcPr>
          <w:p>
            <w:pPr>
              <w:spacing w:line="560" w:lineRule="atLeast"/>
              <w:ind w:firstLine="0" w:firstLineChars="0"/>
              <w:jc w:val="center"/>
              <w:rPr>
                <w:sz w:val="24"/>
                <w:szCs w:val="24"/>
              </w:rPr>
            </w:pPr>
            <w:r>
              <w:rPr>
                <w:rFonts w:hint="eastAsia"/>
                <w:sz w:val="24"/>
                <w:szCs w:val="24"/>
              </w:rPr>
              <w:t>7</w:t>
            </w:r>
          </w:p>
        </w:tc>
        <w:tc>
          <w:tcPr>
            <w:tcW w:w="2931" w:type="dxa"/>
            <w:vMerge w:val="restart"/>
            <w:shd w:val="clear" w:color="auto" w:fill="auto"/>
            <w:noWrap/>
            <w:vAlign w:val="center"/>
          </w:tcPr>
          <w:p>
            <w:pPr>
              <w:spacing w:line="560" w:lineRule="atLeast"/>
              <w:ind w:firstLine="0" w:firstLineChars="0"/>
              <w:rPr>
                <w:sz w:val="24"/>
                <w:szCs w:val="24"/>
              </w:rPr>
            </w:pPr>
            <w:r>
              <w:rPr>
                <w:rFonts w:hint="eastAsia"/>
                <w:sz w:val="24"/>
                <w:szCs w:val="24"/>
              </w:rPr>
              <w:t>龟龄岛东海域增养殖用海</w:t>
            </w: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1802301</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海洋资源管护类</w:t>
            </w:r>
          </w:p>
        </w:tc>
        <w:tc>
          <w:tcPr>
            <w:tcW w:w="1365" w:type="dxa"/>
            <w:vMerge w:val="restart"/>
            <w:shd w:val="clear" w:color="auto" w:fill="auto"/>
            <w:noWrap/>
            <w:vAlign w:val="center"/>
          </w:tcPr>
          <w:p>
            <w:pPr>
              <w:spacing w:line="560" w:lineRule="atLeast"/>
              <w:ind w:firstLine="0" w:firstLineChars="0"/>
              <w:jc w:val="center"/>
              <w:rPr>
                <w:sz w:val="24"/>
                <w:szCs w:val="24"/>
              </w:rPr>
            </w:pPr>
            <w:r>
              <w:rPr>
                <w:rFonts w:hint="eastAsia"/>
                <w:sz w:val="24"/>
                <w:szCs w:val="24"/>
              </w:rPr>
              <w:t>1870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vMerge w:val="continue"/>
            <w:shd w:val="clear" w:color="auto" w:fill="auto"/>
            <w:noWrap/>
            <w:vAlign w:val="center"/>
          </w:tcPr>
          <w:p>
            <w:pPr>
              <w:spacing w:line="560" w:lineRule="atLeast"/>
              <w:ind w:firstLine="0" w:firstLineChars="0"/>
              <w:jc w:val="center"/>
              <w:rPr>
                <w:sz w:val="24"/>
                <w:szCs w:val="24"/>
              </w:rPr>
            </w:pPr>
          </w:p>
        </w:tc>
        <w:tc>
          <w:tcPr>
            <w:tcW w:w="2931" w:type="dxa"/>
            <w:vMerge w:val="continue"/>
            <w:shd w:val="clear" w:color="auto" w:fill="auto"/>
            <w:noWrap/>
            <w:vAlign w:val="center"/>
          </w:tcPr>
          <w:p>
            <w:pPr>
              <w:spacing w:line="560" w:lineRule="atLeast"/>
              <w:ind w:firstLine="0" w:firstLineChars="0"/>
              <w:rPr>
                <w:sz w:val="24"/>
                <w:szCs w:val="24"/>
              </w:rPr>
            </w:pP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1802501</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休闲渔旅融合类</w:t>
            </w:r>
          </w:p>
        </w:tc>
        <w:tc>
          <w:tcPr>
            <w:tcW w:w="1365" w:type="dxa"/>
            <w:vMerge w:val="continue"/>
            <w:shd w:val="clear" w:color="auto" w:fill="auto"/>
            <w:noWrap/>
            <w:vAlign w:val="center"/>
          </w:tcPr>
          <w:p>
            <w:pPr>
              <w:spacing w:line="560" w:lineRule="atLeast"/>
              <w:ind w:firstLine="0" w:firstLineChars="0"/>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vMerge w:val="continue"/>
            <w:shd w:val="clear" w:color="auto" w:fill="auto"/>
            <w:noWrap/>
            <w:vAlign w:val="center"/>
          </w:tcPr>
          <w:p>
            <w:pPr>
              <w:spacing w:line="560" w:lineRule="atLeast"/>
              <w:ind w:firstLine="0" w:firstLineChars="0"/>
              <w:jc w:val="center"/>
              <w:rPr>
                <w:sz w:val="24"/>
                <w:szCs w:val="24"/>
              </w:rPr>
            </w:pPr>
          </w:p>
        </w:tc>
        <w:tc>
          <w:tcPr>
            <w:tcW w:w="2931" w:type="dxa"/>
            <w:vMerge w:val="continue"/>
            <w:shd w:val="clear" w:color="auto" w:fill="auto"/>
            <w:noWrap/>
            <w:vAlign w:val="center"/>
          </w:tcPr>
          <w:p>
            <w:pPr>
              <w:spacing w:line="560" w:lineRule="atLeast"/>
              <w:ind w:firstLine="0" w:firstLineChars="0"/>
              <w:rPr>
                <w:sz w:val="24"/>
                <w:szCs w:val="24"/>
              </w:rPr>
            </w:pP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1802505</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岛礁融合发展类</w:t>
            </w:r>
          </w:p>
        </w:tc>
        <w:tc>
          <w:tcPr>
            <w:tcW w:w="1365" w:type="dxa"/>
            <w:vMerge w:val="continue"/>
            <w:shd w:val="clear" w:color="auto" w:fill="auto"/>
            <w:noWrap/>
            <w:vAlign w:val="center"/>
          </w:tcPr>
          <w:p>
            <w:pPr>
              <w:spacing w:line="560" w:lineRule="atLeast"/>
              <w:ind w:firstLine="0" w:firstLineChars="0"/>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vMerge w:val="restart"/>
            <w:shd w:val="clear" w:color="auto" w:fill="auto"/>
            <w:noWrap/>
            <w:vAlign w:val="center"/>
          </w:tcPr>
          <w:p>
            <w:pPr>
              <w:spacing w:line="560" w:lineRule="atLeast"/>
              <w:ind w:firstLine="0" w:firstLineChars="0"/>
              <w:jc w:val="center"/>
              <w:rPr>
                <w:sz w:val="24"/>
                <w:szCs w:val="24"/>
              </w:rPr>
            </w:pPr>
            <w:r>
              <w:rPr>
                <w:rFonts w:hint="eastAsia"/>
                <w:sz w:val="24"/>
                <w:szCs w:val="24"/>
              </w:rPr>
              <w:t>8</w:t>
            </w:r>
          </w:p>
        </w:tc>
        <w:tc>
          <w:tcPr>
            <w:tcW w:w="2931" w:type="dxa"/>
            <w:vMerge w:val="restart"/>
            <w:shd w:val="clear" w:color="auto" w:fill="auto"/>
            <w:noWrap/>
            <w:vAlign w:val="center"/>
          </w:tcPr>
          <w:p>
            <w:pPr>
              <w:spacing w:line="560" w:lineRule="atLeast"/>
              <w:ind w:firstLine="0" w:firstLineChars="0"/>
              <w:rPr>
                <w:sz w:val="24"/>
                <w:szCs w:val="24"/>
              </w:rPr>
            </w:pPr>
            <w:r>
              <w:rPr>
                <w:rFonts w:hint="eastAsia"/>
                <w:sz w:val="24"/>
                <w:szCs w:val="24"/>
              </w:rPr>
              <w:t>遮浪东海域增养殖用海</w:t>
            </w: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1802503</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深水养殖产业类</w:t>
            </w:r>
          </w:p>
        </w:tc>
        <w:tc>
          <w:tcPr>
            <w:tcW w:w="1365" w:type="dxa"/>
            <w:vMerge w:val="restart"/>
            <w:shd w:val="clear" w:color="auto" w:fill="auto"/>
            <w:noWrap/>
            <w:vAlign w:val="center"/>
          </w:tcPr>
          <w:p>
            <w:pPr>
              <w:spacing w:line="560" w:lineRule="atLeast"/>
              <w:ind w:firstLine="0" w:firstLineChars="0"/>
              <w:jc w:val="center"/>
              <w:rPr>
                <w:sz w:val="24"/>
                <w:szCs w:val="24"/>
              </w:rPr>
            </w:pPr>
            <w:r>
              <w:rPr>
                <w:rFonts w:hint="eastAsia"/>
                <w:sz w:val="24"/>
                <w:szCs w:val="24"/>
              </w:rPr>
              <w:t>2057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vMerge w:val="continue"/>
            <w:shd w:val="clear" w:color="auto" w:fill="auto"/>
            <w:noWrap/>
            <w:vAlign w:val="center"/>
          </w:tcPr>
          <w:p>
            <w:pPr>
              <w:spacing w:line="560" w:lineRule="atLeast"/>
              <w:ind w:firstLine="0" w:firstLineChars="0"/>
              <w:jc w:val="center"/>
              <w:rPr>
                <w:sz w:val="24"/>
                <w:szCs w:val="24"/>
              </w:rPr>
            </w:pPr>
          </w:p>
        </w:tc>
        <w:tc>
          <w:tcPr>
            <w:tcW w:w="2931" w:type="dxa"/>
            <w:vMerge w:val="continue"/>
            <w:shd w:val="clear" w:color="auto" w:fill="auto"/>
            <w:noWrap/>
            <w:vAlign w:val="center"/>
          </w:tcPr>
          <w:p>
            <w:pPr>
              <w:spacing w:line="560" w:lineRule="atLeast"/>
              <w:ind w:firstLine="0" w:firstLineChars="0"/>
              <w:rPr>
                <w:sz w:val="24"/>
                <w:szCs w:val="24"/>
              </w:rPr>
            </w:pP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1802505</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岛礁融合发展类</w:t>
            </w:r>
          </w:p>
        </w:tc>
        <w:tc>
          <w:tcPr>
            <w:tcW w:w="1365" w:type="dxa"/>
            <w:vMerge w:val="continue"/>
            <w:shd w:val="clear" w:color="auto" w:fill="auto"/>
            <w:noWrap/>
            <w:vAlign w:val="center"/>
          </w:tcPr>
          <w:p>
            <w:pPr>
              <w:spacing w:line="560" w:lineRule="atLeast"/>
              <w:ind w:firstLine="0" w:firstLineChars="0"/>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vMerge w:val="restart"/>
            <w:shd w:val="clear" w:color="auto" w:fill="auto"/>
            <w:noWrap/>
            <w:vAlign w:val="center"/>
          </w:tcPr>
          <w:p>
            <w:pPr>
              <w:spacing w:line="560" w:lineRule="atLeast"/>
              <w:ind w:firstLine="0" w:firstLineChars="0"/>
              <w:jc w:val="center"/>
              <w:rPr>
                <w:sz w:val="24"/>
                <w:szCs w:val="24"/>
              </w:rPr>
            </w:pPr>
            <w:r>
              <w:rPr>
                <w:rFonts w:hint="eastAsia"/>
                <w:sz w:val="24"/>
                <w:szCs w:val="24"/>
              </w:rPr>
              <w:t>9</w:t>
            </w:r>
          </w:p>
        </w:tc>
        <w:tc>
          <w:tcPr>
            <w:tcW w:w="2931" w:type="dxa"/>
            <w:vMerge w:val="restart"/>
            <w:shd w:val="clear" w:color="auto" w:fill="auto"/>
            <w:noWrap/>
            <w:vAlign w:val="center"/>
          </w:tcPr>
          <w:p>
            <w:pPr>
              <w:spacing w:line="560" w:lineRule="atLeast"/>
              <w:ind w:firstLine="0" w:firstLineChars="0"/>
              <w:rPr>
                <w:sz w:val="24"/>
                <w:szCs w:val="24"/>
              </w:rPr>
            </w:pPr>
            <w:r>
              <w:rPr>
                <w:rFonts w:hint="eastAsia"/>
                <w:sz w:val="24"/>
                <w:szCs w:val="24"/>
              </w:rPr>
              <w:t>金厢南海域增养殖用海</w:t>
            </w: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1802201</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渔业生态保护类</w:t>
            </w:r>
          </w:p>
        </w:tc>
        <w:tc>
          <w:tcPr>
            <w:tcW w:w="1365" w:type="dxa"/>
            <w:vMerge w:val="restart"/>
            <w:shd w:val="clear" w:color="auto" w:fill="auto"/>
            <w:noWrap/>
            <w:vAlign w:val="center"/>
          </w:tcPr>
          <w:p>
            <w:pPr>
              <w:spacing w:line="560" w:lineRule="atLeast"/>
              <w:ind w:firstLine="0" w:firstLineChars="0"/>
              <w:jc w:val="center"/>
              <w:rPr>
                <w:sz w:val="24"/>
                <w:szCs w:val="24"/>
              </w:rPr>
            </w:pPr>
            <w:r>
              <w:rPr>
                <w:rFonts w:hint="eastAsia"/>
                <w:sz w:val="24"/>
                <w:szCs w:val="24"/>
              </w:rPr>
              <w:t>5888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vMerge w:val="continue"/>
            <w:shd w:val="clear" w:color="auto" w:fill="auto"/>
            <w:noWrap/>
            <w:vAlign w:val="center"/>
          </w:tcPr>
          <w:p>
            <w:pPr>
              <w:spacing w:line="560" w:lineRule="atLeast"/>
              <w:ind w:firstLine="0" w:firstLineChars="0"/>
              <w:jc w:val="center"/>
              <w:rPr>
                <w:sz w:val="24"/>
                <w:szCs w:val="24"/>
              </w:rPr>
            </w:pPr>
          </w:p>
        </w:tc>
        <w:tc>
          <w:tcPr>
            <w:tcW w:w="2931" w:type="dxa"/>
            <w:vMerge w:val="continue"/>
            <w:shd w:val="clear" w:color="auto" w:fill="auto"/>
            <w:noWrap/>
            <w:vAlign w:val="center"/>
          </w:tcPr>
          <w:p>
            <w:pPr>
              <w:spacing w:line="560" w:lineRule="atLeast"/>
              <w:ind w:firstLine="0" w:firstLineChars="0"/>
              <w:rPr>
                <w:sz w:val="24"/>
                <w:szCs w:val="24"/>
              </w:rPr>
            </w:pP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1802502</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绿色生态养殖类</w:t>
            </w:r>
          </w:p>
        </w:tc>
        <w:tc>
          <w:tcPr>
            <w:tcW w:w="1365" w:type="dxa"/>
            <w:vMerge w:val="continue"/>
            <w:shd w:val="clear" w:color="auto" w:fill="auto"/>
            <w:noWrap/>
            <w:vAlign w:val="center"/>
          </w:tcPr>
          <w:p>
            <w:pPr>
              <w:spacing w:line="560" w:lineRule="atLeast"/>
              <w:ind w:firstLine="0" w:firstLineChars="0"/>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vMerge w:val="restart"/>
            <w:shd w:val="clear" w:color="auto" w:fill="auto"/>
            <w:noWrap/>
            <w:vAlign w:val="center"/>
          </w:tcPr>
          <w:p>
            <w:pPr>
              <w:spacing w:line="560" w:lineRule="atLeast"/>
              <w:ind w:firstLine="0" w:firstLineChars="0"/>
              <w:jc w:val="center"/>
              <w:rPr>
                <w:sz w:val="24"/>
                <w:szCs w:val="24"/>
              </w:rPr>
            </w:pPr>
            <w:r>
              <w:rPr>
                <w:rFonts w:hint="eastAsia"/>
                <w:sz w:val="24"/>
                <w:szCs w:val="24"/>
              </w:rPr>
              <w:t>10</w:t>
            </w:r>
          </w:p>
        </w:tc>
        <w:tc>
          <w:tcPr>
            <w:tcW w:w="2931" w:type="dxa"/>
            <w:vMerge w:val="restart"/>
            <w:shd w:val="clear" w:color="auto" w:fill="auto"/>
            <w:noWrap/>
            <w:vAlign w:val="center"/>
          </w:tcPr>
          <w:p>
            <w:pPr>
              <w:spacing w:line="560" w:lineRule="atLeast"/>
              <w:ind w:firstLine="0" w:firstLineChars="0"/>
              <w:rPr>
                <w:sz w:val="24"/>
                <w:szCs w:val="24"/>
              </w:rPr>
            </w:pPr>
            <w:r>
              <w:rPr>
                <w:rFonts w:hint="eastAsia"/>
                <w:sz w:val="24"/>
                <w:szCs w:val="24"/>
              </w:rPr>
              <w:t>乌坎南海域增养殖用海</w:t>
            </w: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1802501</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休闲渔旅融合类</w:t>
            </w:r>
          </w:p>
        </w:tc>
        <w:tc>
          <w:tcPr>
            <w:tcW w:w="1365" w:type="dxa"/>
            <w:vMerge w:val="restart"/>
            <w:shd w:val="clear" w:color="auto" w:fill="auto"/>
            <w:noWrap/>
            <w:vAlign w:val="center"/>
          </w:tcPr>
          <w:p>
            <w:pPr>
              <w:spacing w:line="560" w:lineRule="atLeast"/>
              <w:ind w:firstLine="0" w:firstLineChars="0"/>
              <w:jc w:val="center"/>
              <w:rPr>
                <w:sz w:val="24"/>
                <w:szCs w:val="24"/>
              </w:rPr>
            </w:pPr>
            <w:r>
              <w:rPr>
                <w:rFonts w:hint="eastAsia"/>
                <w:sz w:val="24"/>
                <w:szCs w:val="24"/>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vMerge w:val="continue"/>
            <w:shd w:val="clear" w:color="auto" w:fill="auto"/>
            <w:noWrap/>
            <w:vAlign w:val="center"/>
          </w:tcPr>
          <w:p>
            <w:pPr>
              <w:spacing w:line="560" w:lineRule="atLeast"/>
              <w:ind w:firstLine="0" w:firstLineChars="0"/>
              <w:jc w:val="center"/>
              <w:rPr>
                <w:sz w:val="24"/>
                <w:szCs w:val="24"/>
              </w:rPr>
            </w:pPr>
          </w:p>
        </w:tc>
        <w:tc>
          <w:tcPr>
            <w:tcW w:w="2931" w:type="dxa"/>
            <w:vMerge w:val="continue"/>
            <w:shd w:val="clear" w:color="auto" w:fill="auto"/>
            <w:noWrap/>
            <w:vAlign w:val="center"/>
          </w:tcPr>
          <w:p>
            <w:pPr>
              <w:spacing w:line="560" w:lineRule="atLeast"/>
              <w:ind w:firstLine="0" w:firstLineChars="0"/>
              <w:rPr>
                <w:sz w:val="24"/>
                <w:szCs w:val="24"/>
              </w:rPr>
            </w:pP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1802502</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绿色生态养殖类</w:t>
            </w:r>
          </w:p>
        </w:tc>
        <w:tc>
          <w:tcPr>
            <w:tcW w:w="1365" w:type="dxa"/>
            <w:vMerge w:val="continue"/>
            <w:shd w:val="clear" w:color="auto" w:fill="auto"/>
            <w:noWrap/>
            <w:vAlign w:val="center"/>
          </w:tcPr>
          <w:p>
            <w:pPr>
              <w:spacing w:line="560" w:lineRule="atLeast"/>
              <w:ind w:firstLine="0" w:firstLineChars="0"/>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55" w:type="dxa"/>
            <w:vMerge w:val="restart"/>
            <w:shd w:val="clear" w:color="auto" w:fill="auto"/>
            <w:noWrap/>
            <w:vAlign w:val="center"/>
          </w:tcPr>
          <w:p>
            <w:pPr>
              <w:spacing w:line="560" w:lineRule="atLeast"/>
              <w:ind w:firstLine="0" w:firstLineChars="0"/>
              <w:jc w:val="center"/>
              <w:rPr>
                <w:sz w:val="24"/>
                <w:szCs w:val="24"/>
              </w:rPr>
            </w:pPr>
            <w:r>
              <w:rPr>
                <w:rFonts w:hint="eastAsia"/>
                <w:sz w:val="24"/>
                <w:szCs w:val="24"/>
              </w:rPr>
              <w:t>11</w:t>
            </w:r>
          </w:p>
        </w:tc>
        <w:tc>
          <w:tcPr>
            <w:tcW w:w="2931" w:type="dxa"/>
            <w:vMerge w:val="restart"/>
            <w:shd w:val="clear" w:color="auto" w:fill="auto"/>
            <w:noWrap/>
            <w:vAlign w:val="center"/>
          </w:tcPr>
          <w:p>
            <w:pPr>
              <w:spacing w:line="560" w:lineRule="atLeast"/>
              <w:ind w:firstLine="0" w:firstLineChars="0"/>
              <w:rPr>
                <w:sz w:val="24"/>
                <w:szCs w:val="24"/>
              </w:rPr>
            </w:pPr>
            <w:r>
              <w:rPr>
                <w:rFonts w:hint="eastAsia"/>
                <w:sz w:val="24"/>
                <w:szCs w:val="24"/>
              </w:rPr>
              <w:t>金厢西海域增养殖用海</w:t>
            </w: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1802501</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休闲渔旅融合类</w:t>
            </w:r>
          </w:p>
        </w:tc>
        <w:tc>
          <w:tcPr>
            <w:tcW w:w="1365" w:type="dxa"/>
            <w:vMerge w:val="restart"/>
            <w:shd w:val="clear" w:color="auto" w:fill="auto"/>
            <w:noWrap/>
            <w:vAlign w:val="center"/>
          </w:tcPr>
          <w:p>
            <w:pPr>
              <w:spacing w:line="560" w:lineRule="atLeast"/>
              <w:ind w:firstLine="0" w:firstLineChars="0"/>
              <w:jc w:val="center"/>
              <w:rPr>
                <w:sz w:val="24"/>
                <w:szCs w:val="24"/>
              </w:rPr>
            </w:pPr>
            <w:r>
              <w:rPr>
                <w:rFonts w:hint="eastAsia"/>
                <w:sz w:val="24"/>
                <w:szCs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vMerge w:val="continue"/>
            <w:shd w:val="clear" w:color="auto" w:fill="auto"/>
            <w:noWrap/>
            <w:vAlign w:val="center"/>
          </w:tcPr>
          <w:p>
            <w:pPr>
              <w:spacing w:line="560" w:lineRule="atLeast"/>
              <w:ind w:firstLine="0" w:firstLineChars="0"/>
              <w:jc w:val="center"/>
              <w:rPr>
                <w:sz w:val="24"/>
                <w:szCs w:val="24"/>
              </w:rPr>
            </w:pPr>
          </w:p>
        </w:tc>
        <w:tc>
          <w:tcPr>
            <w:tcW w:w="2931" w:type="dxa"/>
            <w:vMerge w:val="continue"/>
            <w:shd w:val="clear" w:color="auto" w:fill="auto"/>
            <w:noWrap/>
            <w:vAlign w:val="center"/>
          </w:tcPr>
          <w:p>
            <w:pPr>
              <w:spacing w:line="560" w:lineRule="atLeast"/>
              <w:ind w:firstLine="0" w:firstLineChars="0"/>
              <w:rPr>
                <w:sz w:val="24"/>
                <w:szCs w:val="24"/>
              </w:rPr>
            </w:pP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1802502</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绿色生态养殖类</w:t>
            </w:r>
          </w:p>
        </w:tc>
        <w:tc>
          <w:tcPr>
            <w:tcW w:w="1365" w:type="dxa"/>
            <w:vMerge w:val="continue"/>
            <w:shd w:val="clear" w:color="auto" w:fill="auto"/>
            <w:noWrap/>
            <w:vAlign w:val="center"/>
          </w:tcPr>
          <w:p>
            <w:pPr>
              <w:spacing w:line="560" w:lineRule="atLeast"/>
              <w:ind w:firstLine="0" w:firstLineChars="0"/>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vMerge w:val="restart"/>
            <w:shd w:val="clear" w:color="auto" w:fill="auto"/>
            <w:noWrap/>
            <w:vAlign w:val="center"/>
          </w:tcPr>
          <w:p>
            <w:pPr>
              <w:spacing w:line="560" w:lineRule="atLeast"/>
              <w:ind w:firstLine="0" w:firstLineChars="0"/>
              <w:jc w:val="center"/>
              <w:rPr>
                <w:sz w:val="24"/>
                <w:szCs w:val="24"/>
              </w:rPr>
            </w:pPr>
            <w:r>
              <w:rPr>
                <w:rFonts w:hint="eastAsia"/>
                <w:sz w:val="24"/>
                <w:szCs w:val="24"/>
              </w:rPr>
              <w:t>12</w:t>
            </w:r>
          </w:p>
        </w:tc>
        <w:tc>
          <w:tcPr>
            <w:tcW w:w="2931" w:type="dxa"/>
            <w:vMerge w:val="restart"/>
            <w:shd w:val="clear" w:color="auto" w:fill="auto"/>
            <w:noWrap/>
            <w:vAlign w:val="center"/>
          </w:tcPr>
          <w:p>
            <w:pPr>
              <w:spacing w:line="560" w:lineRule="atLeast"/>
              <w:ind w:firstLine="0" w:firstLineChars="0"/>
              <w:rPr>
                <w:sz w:val="24"/>
                <w:szCs w:val="24"/>
              </w:rPr>
            </w:pPr>
            <w:r>
              <w:rPr>
                <w:rFonts w:hint="eastAsia"/>
                <w:sz w:val="24"/>
                <w:szCs w:val="24"/>
              </w:rPr>
              <w:t>乌坎潟湖及潮汐通道海域增养殖用海</w:t>
            </w: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1802501</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休闲渔旅融合类</w:t>
            </w:r>
          </w:p>
        </w:tc>
        <w:tc>
          <w:tcPr>
            <w:tcW w:w="1365" w:type="dxa"/>
            <w:vMerge w:val="restart"/>
            <w:shd w:val="clear" w:color="auto" w:fill="auto"/>
            <w:noWrap/>
            <w:vAlign w:val="center"/>
          </w:tcPr>
          <w:p>
            <w:pPr>
              <w:spacing w:line="560" w:lineRule="atLeast"/>
              <w:ind w:firstLine="0" w:firstLineChars="0"/>
              <w:jc w:val="center"/>
              <w:rPr>
                <w:sz w:val="24"/>
                <w:szCs w:val="24"/>
              </w:rPr>
            </w:pPr>
            <w:r>
              <w:rPr>
                <w:rFonts w:hint="eastAsia"/>
                <w:sz w:val="24"/>
                <w:szCs w:val="24"/>
              </w:rPr>
              <w:t>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vMerge w:val="continue"/>
            <w:shd w:val="clear" w:color="auto" w:fill="auto"/>
            <w:noWrap/>
            <w:vAlign w:val="center"/>
          </w:tcPr>
          <w:p>
            <w:pPr>
              <w:spacing w:line="560" w:lineRule="atLeast"/>
              <w:ind w:firstLine="0" w:firstLineChars="0"/>
              <w:jc w:val="center"/>
              <w:rPr>
                <w:sz w:val="24"/>
                <w:szCs w:val="24"/>
              </w:rPr>
            </w:pPr>
          </w:p>
        </w:tc>
        <w:tc>
          <w:tcPr>
            <w:tcW w:w="2931" w:type="dxa"/>
            <w:vMerge w:val="continue"/>
            <w:shd w:val="clear" w:color="auto" w:fill="auto"/>
            <w:noWrap/>
            <w:vAlign w:val="center"/>
          </w:tcPr>
          <w:p>
            <w:pPr>
              <w:spacing w:line="560" w:lineRule="atLeast"/>
              <w:ind w:firstLine="0" w:firstLineChars="0"/>
              <w:rPr>
                <w:sz w:val="24"/>
                <w:szCs w:val="24"/>
              </w:rPr>
            </w:pP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1802502</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绿色生态养殖类</w:t>
            </w:r>
          </w:p>
        </w:tc>
        <w:tc>
          <w:tcPr>
            <w:tcW w:w="1365" w:type="dxa"/>
            <w:vMerge w:val="continue"/>
            <w:shd w:val="clear" w:color="auto" w:fill="auto"/>
            <w:noWrap/>
            <w:vAlign w:val="center"/>
          </w:tcPr>
          <w:p>
            <w:pPr>
              <w:spacing w:line="560" w:lineRule="atLeast"/>
              <w:ind w:firstLine="0" w:firstLineChars="0"/>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vMerge w:val="restart"/>
            <w:shd w:val="clear" w:color="auto" w:fill="auto"/>
            <w:noWrap/>
            <w:vAlign w:val="center"/>
          </w:tcPr>
          <w:p>
            <w:pPr>
              <w:spacing w:line="560" w:lineRule="atLeast"/>
              <w:ind w:firstLine="0" w:firstLineChars="0"/>
              <w:jc w:val="center"/>
              <w:rPr>
                <w:sz w:val="24"/>
                <w:szCs w:val="24"/>
              </w:rPr>
            </w:pPr>
            <w:r>
              <w:rPr>
                <w:rFonts w:hint="eastAsia"/>
                <w:sz w:val="24"/>
                <w:szCs w:val="24"/>
              </w:rPr>
              <w:t>13</w:t>
            </w:r>
          </w:p>
        </w:tc>
        <w:tc>
          <w:tcPr>
            <w:tcW w:w="2931" w:type="dxa"/>
            <w:vMerge w:val="restart"/>
            <w:shd w:val="clear" w:color="auto" w:fill="auto"/>
            <w:noWrap/>
            <w:vAlign w:val="center"/>
          </w:tcPr>
          <w:p>
            <w:pPr>
              <w:spacing w:line="560" w:lineRule="atLeast"/>
              <w:ind w:firstLine="0" w:firstLineChars="0"/>
              <w:rPr>
                <w:sz w:val="24"/>
                <w:szCs w:val="24"/>
              </w:rPr>
            </w:pPr>
            <w:r>
              <w:rPr>
                <w:rFonts w:hint="eastAsia"/>
                <w:sz w:val="24"/>
                <w:szCs w:val="24"/>
              </w:rPr>
              <w:t>碣石南海域增养殖用海</w:t>
            </w: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1802503</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深水养殖产业类</w:t>
            </w:r>
          </w:p>
        </w:tc>
        <w:tc>
          <w:tcPr>
            <w:tcW w:w="1365" w:type="dxa"/>
            <w:vMerge w:val="restart"/>
            <w:shd w:val="clear" w:color="auto" w:fill="auto"/>
            <w:noWrap/>
            <w:vAlign w:val="center"/>
          </w:tcPr>
          <w:p>
            <w:pPr>
              <w:spacing w:line="560" w:lineRule="atLeast"/>
              <w:ind w:firstLine="0" w:firstLineChars="0"/>
              <w:jc w:val="center"/>
              <w:rPr>
                <w:sz w:val="24"/>
                <w:szCs w:val="24"/>
              </w:rPr>
            </w:pPr>
            <w:r>
              <w:rPr>
                <w:rFonts w:hint="eastAsia"/>
                <w:sz w:val="24"/>
                <w:szCs w:val="24"/>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vMerge w:val="continue"/>
            <w:shd w:val="clear" w:color="auto" w:fill="auto"/>
            <w:noWrap/>
            <w:vAlign w:val="center"/>
          </w:tcPr>
          <w:p>
            <w:pPr>
              <w:spacing w:line="560" w:lineRule="atLeast"/>
              <w:ind w:firstLine="0" w:firstLineChars="0"/>
              <w:jc w:val="center"/>
              <w:rPr>
                <w:sz w:val="24"/>
                <w:szCs w:val="24"/>
              </w:rPr>
            </w:pPr>
          </w:p>
        </w:tc>
        <w:tc>
          <w:tcPr>
            <w:tcW w:w="2931" w:type="dxa"/>
            <w:vMerge w:val="continue"/>
            <w:shd w:val="clear" w:color="auto" w:fill="auto"/>
            <w:noWrap/>
            <w:vAlign w:val="center"/>
          </w:tcPr>
          <w:p>
            <w:pPr>
              <w:spacing w:line="560" w:lineRule="atLeast"/>
              <w:ind w:firstLine="0" w:firstLineChars="0"/>
              <w:rPr>
                <w:sz w:val="24"/>
                <w:szCs w:val="24"/>
              </w:rPr>
            </w:pP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1802505</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岛礁融合发展类</w:t>
            </w:r>
          </w:p>
        </w:tc>
        <w:tc>
          <w:tcPr>
            <w:tcW w:w="1365" w:type="dxa"/>
            <w:vMerge w:val="continue"/>
            <w:shd w:val="clear" w:color="auto" w:fill="auto"/>
            <w:noWrap/>
            <w:vAlign w:val="center"/>
          </w:tcPr>
          <w:p>
            <w:pPr>
              <w:spacing w:line="560" w:lineRule="atLeast"/>
              <w:ind w:firstLine="0" w:firstLineChars="0"/>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shd w:val="clear" w:color="auto" w:fill="auto"/>
            <w:noWrap/>
            <w:vAlign w:val="center"/>
          </w:tcPr>
          <w:p>
            <w:pPr>
              <w:spacing w:line="560" w:lineRule="atLeast"/>
              <w:ind w:firstLine="0" w:firstLineChars="0"/>
              <w:jc w:val="center"/>
              <w:rPr>
                <w:sz w:val="24"/>
                <w:szCs w:val="24"/>
              </w:rPr>
            </w:pPr>
            <w:r>
              <w:rPr>
                <w:rFonts w:hint="eastAsia"/>
                <w:sz w:val="24"/>
                <w:szCs w:val="24"/>
              </w:rPr>
              <w:t>14</w:t>
            </w:r>
          </w:p>
        </w:tc>
        <w:tc>
          <w:tcPr>
            <w:tcW w:w="2931" w:type="dxa"/>
            <w:shd w:val="clear" w:color="auto" w:fill="auto"/>
            <w:noWrap/>
            <w:vAlign w:val="center"/>
          </w:tcPr>
          <w:p>
            <w:pPr>
              <w:spacing w:line="560" w:lineRule="atLeast"/>
              <w:ind w:firstLine="0" w:firstLineChars="0"/>
              <w:rPr>
                <w:sz w:val="24"/>
                <w:szCs w:val="24"/>
              </w:rPr>
            </w:pPr>
            <w:r>
              <w:rPr>
                <w:rFonts w:hint="eastAsia"/>
                <w:sz w:val="24"/>
                <w:szCs w:val="24"/>
              </w:rPr>
              <w:t>湖东南海域增养殖用海</w:t>
            </w: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1802504</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能源混合利用类</w:t>
            </w:r>
          </w:p>
        </w:tc>
        <w:tc>
          <w:tcPr>
            <w:tcW w:w="1365" w:type="dxa"/>
            <w:shd w:val="clear" w:color="auto" w:fill="auto"/>
            <w:noWrap/>
            <w:vAlign w:val="center"/>
          </w:tcPr>
          <w:p>
            <w:pPr>
              <w:spacing w:line="560" w:lineRule="atLeast"/>
              <w:ind w:firstLine="0" w:firstLineChars="0"/>
              <w:jc w:val="center"/>
              <w:rPr>
                <w:sz w:val="24"/>
                <w:szCs w:val="24"/>
              </w:rPr>
            </w:pPr>
            <w:r>
              <w:rPr>
                <w:rFonts w:hint="eastAsia"/>
                <w:sz w:val="24"/>
                <w:szCs w:val="24"/>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vMerge w:val="restart"/>
            <w:shd w:val="clear" w:color="auto" w:fill="auto"/>
            <w:noWrap/>
            <w:vAlign w:val="center"/>
          </w:tcPr>
          <w:p>
            <w:pPr>
              <w:spacing w:line="560" w:lineRule="atLeast"/>
              <w:ind w:firstLine="0" w:firstLineChars="0"/>
              <w:jc w:val="center"/>
              <w:rPr>
                <w:sz w:val="24"/>
                <w:szCs w:val="24"/>
              </w:rPr>
            </w:pPr>
            <w:r>
              <w:rPr>
                <w:rFonts w:hint="eastAsia"/>
                <w:sz w:val="24"/>
                <w:szCs w:val="24"/>
              </w:rPr>
              <w:t>15</w:t>
            </w:r>
          </w:p>
        </w:tc>
        <w:tc>
          <w:tcPr>
            <w:tcW w:w="2931" w:type="dxa"/>
            <w:vMerge w:val="restart"/>
            <w:shd w:val="clear" w:color="auto" w:fill="auto"/>
            <w:noWrap/>
            <w:vAlign w:val="center"/>
          </w:tcPr>
          <w:p>
            <w:pPr>
              <w:spacing w:line="560" w:lineRule="atLeast"/>
              <w:ind w:firstLine="0" w:firstLineChars="0"/>
              <w:rPr>
                <w:sz w:val="24"/>
                <w:szCs w:val="24"/>
              </w:rPr>
            </w:pPr>
            <w:r>
              <w:rPr>
                <w:rFonts w:hint="eastAsia"/>
                <w:sz w:val="24"/>
                <w:szCs w:val="24"/>
              </w:rPr>
              <w:t>甲子南海域增养殖用海</w:t>
            </w: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1802503</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深水养殖产业类</w:t>
            </w:r>
          </w:p>
        </w:tc>
        <w:tc>
          <w:tcPr>
            <w:tcW w:w="1365" w:type="dxa"/>
            <w:vMerge w:val="restart"/>
            <w:shd w:val="clear" w:color="auto" w:fill="auto"/>
            <w:noWrap/>
            <w:vAlign w:val="center"/>
          </w:tcPr>
          <w:p>
            <w:pPr>
              <w:spacing w:line="560" w:lineRule="atLeast"/>
              <w:ind w:firstLine="0" w:firstLineChars="0"/>
              <w:jc w:val="center"/>
              <w:rPr>
                <w:sz w:val="24"/>
                <w:szCs w:val="24"/>
              </w:rPr>
            </w:pPr>
            <w:r>
              <w:rPr>
                <w:rFonts w:hint="eastAsia"/>
                <w:sz w:val="24"/>
                <w:szCs w:val="24"/>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55" w:type="dxa"/>
            <w:vMerge w:val="continue"/>
            <w:shd w:val="clear" w:color="auto" w:fill="auto"/>
            <w:noWrap/>
            <w:vAlign w:val="center"/>
          </w:tcPr>
          <w:p>
            <w:pPr>
              <w:spacing w:line="560" w:lineRule="atLeast"/>
              <w:ind w:firstLine="0" w:firstLineChars="0"/>
              <w:jc w:val="center"/>
              <w:rPr>
                <w:sz w:val="24"/>
                <w:szCs w:val="24"/>
              </w:rPr>
            </w:pPr>
          </w:p>
        </w:tc>
        <w:tc>
          <w:tcPr>
            <w:tcW w:w="2931" w:type="dxa"/>
            <w:vMerge w:val="continue"/>
            <w:shd w:val="clear" w:color="auto" w:fill="auto"/>
            <w:noWrap/>
            <w:vAlign w:val="center"/>
          </w:tcPr>
          <w:p>
            <w:pPr>
              <w:spacing w:line="560" w:lineRule="atLeast"/>
              <w:ind w:firstLine="0" w:firstLineChars="0"/>
              <w:rPr>
                <w:sz w:val="24"/>
                <w:szCs w:val="24"/>
              </w:rPr>
            </w:pPr>
          </w:p>
        </w:tc>
        <w:tc>
          <w:tcPr>
            <w:tcW w:w="1171" w:type="dxa"/>
            <w:shd w:val="clear" w:color="auto" w:fill="auto"/>
            <w:noWrap/>
            <w:vAlign w:val="center"/>
          </w:tcPr>
          <w:p>
            <w:pPr>
              <w:spacing w:line="560" w:lineRule="atLeast"/>
              <w:ind w:firstLine="0" w:firstLineChars="0"/>
              <w:rPr>
                <w:sz w:val="24"/>
                <w:szCs w:val="24"/>
              </w:rPr>
            </w:pPr>
            <w:r>
              <w:rPr>
                <w:rFonts w:hint="eastAsia"/>
                <w:sz w:val="24"/>
                <w:szCs w:val="24"/>
              </w:rPr>
              <w:t>1802504</w:t>
            </w:r>
          </w:p>
        </w:tc>
        <w:tc>
          <w:tcPr>
            <w:tcW w:w="2115" w:type="dxa"/>
            <w:shd w:val="clear" w:color="auto" w:fill="auto"/>
            <w:noWrap/>
            <w:vAlign w:val="center"/>
          </w:tcPr>
          <w:p>
            <w:pPr>
              <w:spacing w:line="560" w:lineRule="atLeast"/>
              <w:ind w:firstLine="0" w:firstLineChars="0"/>
              <w:rPr>
                <w:sz w:val="24"/>
                <w:szCs w:val="24"/>
              </w:rPr>
            </w:pPr>
            <w:r>
              <w:rPr>
                <w:rFonts w:hint="eastAsia"/>
                <w:sz w:val="24"/>
                <w:szCs w:val="24"/>
              </w:rPr>
              <w:t>能源混合利用类</w:t>
            </w:r>
          </w:p>
        </w:tc>
        <w:tc>
          <w:tcPr>
            <w:tcW w:w="1365" w:type="dxa"/>
            <w:vMerge w:val="continue"/>
            <w:shd w:val="clear" w:color="auto" w:fill="auto"/>
            <w:noWrap/>
            <w:vAlign w:val="center"/>
          </w:tcPr>
          <w:p>
            <w:pPr>
              <w:spacing w:line="560" w:lineRule="atLeast"/>
              <w:ind w:firstLine="0" w:firstLineChars="0"/>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072" w:type="dxa"/>
            <w:gridSpan w:val="4"/>
            <w:shd w:val="clear" w:color="auto" w:fill="auto"/>
            <w:noWrap/>
            <w:vAlign w:val="center"/>
          </w:tcPr>
          <w:p>
            <w:pPr>
              <w:spacing w:line="560" w:lineRule="atLeast"/>
              <w:ind w:firstLine="0" w:firstLineChars="0"/>
              <w:jc w:val="center"/>
              <w:rPr>
                <w:sz w:val="24"/>
                <w:szCs w:val="24"/>
              </w:rPr>
            </w:pPr>
            <w:r>
              <w:rPr>
                <w:rFonts w:hint="eastAsia"/>
                <w:sz w:val="24"/>
                <w:szCs w:val="24"/>
              </w:rPr>
              <w:t>合计</w:t>
            </w:r>
          </w:p>
        </w:tc>
        <w:tc>
          <w:tcPr>
            <w:tcW w:w="1365" w:type="dxa"/>
            <w:shd w:val="clear" w:color="auto" w:fill="auto"/>
            <w:noWrap/>
            <w:vAlign w:val="center"/>
          </w:tcPr>
          <w:p>
            <w:pPr>
              <w:spacing w:line="560" w:lineRule="atLeast"/>
              <w:ind w:firstLine="0" w:firstLineChars="0"/>
              <w:jc w:val="center"/>
              <w:rPr>
                <w:sz w:val="24"/>
                <w:szCs w:val="24"/>
              </w:rPr>
            </w:pPr>
            <w:r>
              <w:rPr>
                <w:rFonts w:hint="eastAsia"/>
                <w:sz w:val="24"/>
                <w:szCs w:val="24"/>
              </w:rPr>
              <w:t>35114</w:t>
            </w:r>
          </w:p>
        </w:tc>
      </w:tr>
    </w:tbl>
    <w:p>
      <w:pPr>
        <w:spacing w:line="560" w:lineRule="atLeast"/>
        <w:ind w:firstLine="640"/>
      </w:pPr>
    </w:p>
    <w:p>
      <w:pPr>
        <w:spacing w:line="560" w:lineRule="atLeast"/>
        <w:ind w:firstLine="0" w:firstLineChars="0"/>
      </w:pPr>
    </w:p>
    <w:sectPr>
      <w:pgSz w:w="11906" w:h="16838"/>
      <w:pgMar w:top="1418" w:right="1588" w:bottom="1418" w:left="1588" w:header="851" w:footer="850"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0E09E56-1C90-4A19-BB90-E1CD2D599E4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CFF78260-C609-4B88-B5E1-37144D4DD29E}"/>
  </w:font>
  <w:font w:name="楷体_GB2312">
    <w:panose1 w:val="02010609030101010101"/>
    <w:charset w:val="86"/>
    <w:family w:val="modern"/>
    <w:pitch w:val="default"/>
    <w:sig w:usb0="00000001" w:usb1="080E0000" w:usb2="00000000" w:usb3="00000000" w:csb0="00040000" w:csb1="00000000"/>
    <w:embedRegular r:id="rId3" w:fontKey="{979B0CBF-154B-45E0-98BB-9CE218A7A757}"/>
  </w:font>
  <w:font w:name="楷体">
    <w:panose1 w:val="02010609060101010101"/>
    <w:charset w:val="86"/>
    <w:family w:val="modern"/>
    <w:pitch w:val="default"/>
    <w:sig w:usb0="800002BF" w:usb1="38CF7CFA" w:usb2="00000016" w:usb3="00000000" w:csb0="00040001" w:csb1="00000000"/>
    <w:embedRegular r:id="rId4" w:fontKey="{8DF74AB3-A65B-46AE-8BE2-DAE24697E407}"/>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embedRegular r:id="rId5" w:fontKey="{C717CCB0-F831-4EE6-B305-4AA826E0DD81}"/>
  </w:font>
  <w:font w:name="方正小标宋简体">
    <w:panose1 w:val="03000509000000000000"/>
    <w:charset w:val="86"/>
    <w:family w:val="auto"/>
    <w:pitch w:val="default"/>
    <w:sig w:usb0="00000001" w:usb1="080E0000" w:usb2="00000000" w:usb3="00000000" w:csb0="00040000" w:csb1="00000000"/>
    <w:embedRegular r:id="rId6" w:fontKey="{BD2660AB-E676-4639-9D6E-91277317C948}"/>
  </w:font>
  <w:font w:name="微软雅黑">
    <w:panose1 w:val="020B0503020204020204"/>
    <w:charset w:val="86"/>
    <w:family w:val="swiss"/>
    <w:pitch w:val="default"/>
    <w:sig w:usb0="80000287" w:usb1="2ACF3C50" w:usb2="00000016" w:usb3="00000000" w:csb0="0004001F" w:csb1="00000000"/>
    <w:embedRegular r:id="rId7" w:fontKey="{B0C353F1-282E-4C66-96E4-D272781B5AA0}"/>
  </w:font>
  <w:font w:name="方正仿宋_GB2312">
    <w:altName w:val="仿宋"/>
    <w:panose1 w:val="00000000000000000000"/>
    <w:charset w:val="86"/>
    <w:family w:val="auto"/>
    <w:pitch w:val="default"/>
    <w:sig w:usb0="00000000" w:usb1="00000000" w:usb2="00000012" w:usb3="00000000" w:csb0="00040001" w:csb1="00000000"/>
    <w:embedRegular r:id="rId8" w:fontKey="{59905B7F-E6E5-483F-BD61-A7C6DDC7259B}"/>
  </w:font>
  <w:font w:name="仿宋">
    <w:panose1 w:val="02010609060101010101"/>
    <w:charset w:val="86"/>
    <w:family w:val="auto"/>
    <w:pitch w:val="default"/>
    <w:sig w:usb0="800002BF" w:usb1="38CF7CFA" w:usb2="00000016" w:usb3="00000000" w:csb0="00040001" w:csb1="00000000"/>
    <w:embedRegular r:id="rId9" w:fontKey="{22B8FD0D-9C7A-4004-88D1-98E594F637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r>
      <mc:AlternateContent>
        <mc:Choice Requires="wps">
          <w:drawing>
            <wp:anchor distT="0" distB="0" distL="114300" distR="114300" simplePos="0" relativeHeight="251659264" behindDoc="0" locked="0" layoutInCell="1" allowOverlap="1">
              <wp:simplePos x="0" y="0"/>
              <wp:positionH relativeFrom="margin">
                <wp:posOffset>2735580</wp:posOffset>
              </wp:positionH>
              <wp:positionV relativeFrom="paragraph">
                <wp:posOffset>-3810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ind w:firstLine="0" w:firstLineChars="0"/>
                            <w:jc w:val="center"/>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15.4pt;margin-top:-0.3pt;height:144pt;width:144pt;mso-position-horizontal-relative:margin;mso-wrap-style:none;z-index:251659264;mso-width-relative:page;mso-height-relative:page;" filled="f" stroked="f" coordsize="21600,21600" o:gfxdata="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4m6jjWAAAACQEAAA8AAAAAAAAAAQAgAAAAIgAAAGRycy9kb3ducmV2LnhtbFBLAQIUABQA&#10;AAAIAIdO4kAFYYw/KwIAAFUEAAAOAAAAAAAAAAEAIAAAACUBAABkcnMvZTJvRG9jLnhtbFBLBQYA&#10;AAAABgAGAFkBAADCBQAAAAA=&#10;">
              <v:fill on="f" focussize="0,0"/>
              <v:stroke on="f" weight="0.5pt"/>
              <v:imagedata o:title=""/>
              <o:lock v:ext="edit" aspectratio="f"/>
              <v:textbox inset="0mm,0mm,0mm,0mm" style="mso-fit-shape-to-text:t;">
                <w:txbxContent>
                  <w:p>
                    <w:pPr>
                      <w:pStyle w:val="9"/>
                      <w:ind w:firstLine="0" w:firstLineChars="0"/>
                      <w:jc w:val="center"/>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0" w:firstLineChars="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7C264D"/>
    <w:multiLevelType w:val="singleLevel"/>
    <w:tmpl w:val="6E7C264D"/>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60"/>
  <w:drawingGridVerticalSpacing w:val="435"/>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5561"/>
    <w:rsid w:val="00053169"/>
    <w:rsid w:val="000C0E32"/>
    <w:rsid w:val="000E31A9"/>
    <w:rsid w:val="000F75D8"/>
    <w:rsid w:val="00105AFE"/>
    <w:rsid w:val="00115953"/>
    <w:rsid w:val="001356F1"/>
    <w:rsid w:val="00140F68"/>
    <w:rsid w:val="00172A27"/>
    <w:rsid w:val="00183D4B"/>
    <w:rsid w:val="001A6B04"/>
    <w:rsid w:val="001B4356"/>
    <w:rsid w:val="00205FAC"/>
    <w:rsid w:val="00241FC0"/>
    <w:rsid w:val="00243517"/>
    <w:rsid w:val="002657E6"/>
    <w:rsid w:val="002701DB"/>
    <w:rsid w:val="00295111"/>
    <w:rsid w:val="002D73CE"/>
    <w:rsid w:val="002E64C8"/>
    <w:rsid w:val="0030091F"/>
    <w:rsid w:val="00315FB6"/>
    <w:rsid w:val="00320A95"/>
    <w:rsid w:val="00327688"/>
    <w:rsid w:val="00331C5B"/>
    <w:rsid w:val="00352327"/>
    <w:rsid w:val="003523E4"/>
    <w:rsid w:val="0036282C"/>
    <w:rsid w:val="00396B6D"/>
    <w:rsid w:val="003A5A7E"/>
    <w:rsid w:val="003B7CAD"/>
    <w:rsid w:val="003B7D75"/>
    <w:rsid w:val="003D10D3"/>
    <w:rsid w:val="00402506"/>
    <w:rsid w:val="00411499"/>
    <w:rsid w:val="004571BE"/>
    <w:rsid w:val="00461E5D"/>
    <w:rsid w:val="004A48BF"/>
    <w:rsid w:val="00505DCC"/>
    <w:rsid w:val="00550874"/>
    <w:rsid w:val="005553A6"/>
    <w:rsid w:val="0056276E"/>
    <w:rsid w:val="005928D3"/>
    <w:rsid w:val="00606581"/>
    <w:rsid w:val="0061685E"/>
    <w:rsid w:val="00643559"/>
    <w:rsid w:val="006823D6"/>
    <w:rsid w:val="00690B56"/>
    <w:rsid w:val="006A6AB4"/>
    <w:rsid w:val="006A7176"/>
    <w:rsid w:val="006F1583"/>
    <w:rsid w:val="006F19A7"/>
    <w:rsid w:val="00723649"/>
    <w:rsid w:val="00751BE1"/>
    <w:rsid w:val="00755397"/>
    <w:rsid w:val="007553F5"/>
    <w:rsid w:val="0077607C"/>
    <w:rsid w:val="00786570"/>
    <w:rsid w:val="00795F7C"/>
    <w:rsid w:val="007E28B5"/>
    <w:rsid w:val="007E3419"/>
    <w:rsid w:val="0082526F"/>
    <w:rsid w:val="0086043D"/>
    <w:rsid w:val="008E05B6"/>
    <w:rsid w:val="008E1931"/>
    <w:rsid w:val="008E66B7"/>
    <w:rsid w:val="008E7987"/>
    <w:rsid w:val="008F51C1"/>
    <w:rsid w:val="009032DE"/>
    <w:rsid w:val="00917A90"/>
    <w:rsid w:val="00925885"/>
    <w:rsid w:val="00930906"/>
    <w:rsid w:val="009464DC"/>
    <w:rsid w:val="009615F5"/>
    <w:rsid w:val="009705CA"/>
    <w:rsid w:val="009754A6"/>
    <w:rsid w:val="009844B4"/>
    <w:rsid w:val="00993FB9"/>
    <w:rsid w:val="009A516F"/>
    <w:rsid w:val="009E56AD"/>
    <w:rsid w:val="009F7D8F"/>
    <w:rsid w:val="00A0492C"/>
    <w:rsid w:val="00A232E7"/>
    <w:rsid w:val="00A37F9D"/>
    <w:rsid w:val="00A73799"/>
    <w:rsid w:val="00A7650B"/>
    <w:rsid w:val="00AA32DF"/>
    <w:rsid w:val="00AC7123"/>
    <w:rsid w:val="00AD7555"/>
    <w:rsid w:val="00AF7B5C"/>
    <w:rsid w:val="00B00CA4"/>
    <w:rsid w:val="00B065CA"/>
    <w:rsid w:val="00B425BA"/>
    <w:rsid w:val="00B663E5"/>
    <w:rsid w:val="00B86B2E"/>
    <w:rsid w:val="00BD63F9"/>
    <w:rsid w:val="00BD71C2"/>
    <w:rsid w:val="00BE2907"/>
    <w:rsid w:val="00C42EFE"/>
    <w:rsid w:val="00C45CDC"/>
    <w:rsid w:val="00C6716D"/>
    <w:rsid w:val="00C701BD"/>
    <w:rsid w:val="00CA1C0D"/>
    <w:rsid w:val="00CF5111"/>
    <w:rsid w:val="00CF5B76"/>
    <w:rsid w:val="00CF6942"/>
    <w:rsid w:val="00D11F67"/>
    <w:rsid w:val="00D2084F"/>
    <w:rsid w:val="00D217E5"/>
    <w:rsid w:val="00D24C4F"/>
    <w:rsid w:val="00D36E50"/>
    <w:rsid w:val="00D4144F"/>
    <w:rsid w:val="00D55C5A"/>
    <w:rsid w:val="00D80082"/>
    <w:rsid w:val="00DA390D"/>
    <w:rsid w:val="00DE0AD2"/>
    <w:rsid w:val="00DE2661"/>
    <w:rsid w:val="00DF6923"/>
    <w:rsid w:val="00E71750"/>
    <w:rsid w:val="00E827EF"/>
    <w:rsid w:val="00E93177"/>
    <w:rsid w:val="00EC2A1F"/>
    <w:rsid w:val="00F10FEF"/>
    <w:rsid w:val="01407E9A"/>
    <w:rsid w:val="01BE3333"/>
    <w:rsid w:val="01E121C6"/>
    <w:rsid w:val="0202233E"/>
    <w:rsid w:val="02134763"/>
    <w:rsid w:val="028916DF"/>
    <w:rsid w:val="02F53218"/>
    <w:rsid w:val="03655977"/>
    <w:rsid w:val="040B45B5"/>
    <w:rsid w:val="04142AF7"/>
    <w:rsid w:val="04334A5C"/>
    <w:rsid w:val="046A5576"/>
    <w:rsid w:val="04A3117E"/>
    <w:rsid w:val="05002F87"/>
    <w:rsid w:val="054933A7"/>
    <w:rsid w:val="054F3611"/>
    <w:rsid w:val="05813884"/>
    <w:rsid w:val="05C375FE"/>
    <w:rsid w:val="05D83281"/>
    <w:rsid w:val="07A64926"/>
    <w:rsid w:val="07AE25E1"/>
    <w:rsid w:val="08031F33"/>
    <w:rsid w:val="08341EA9"/>
    <w:rsid w:val="084A7B62"/>
    <w:rsid w:val="08A96052"/>
    <w:rsid w:val="08C06E08"/>
    <w:rsid w:val="08C16076"/>
    <w:rsid w:val="09A908B8"/>
    <w:rsid w:val="09D54A58"/>
    <w:rsid w:val="0A361489"/>
    <w:rsid w:val="0A4D1927"/>
    <w:rsid w:val="0BD35C51"/>
    <w:rsid w:val="0BFF2A12"/>
    <w:rsid w:val="0CDD42EA"/>
    <w:rsid w:val="0D0D4072"/>
    <w:rsid w:val="0DBB312D"/>
    <w:rsid w:val="0E1E7AC7"/>
    <w:rsid w:val="0F4C5F6D"/>
    <w:rsid w:val="1035205D"/>
    <w:rsid w:val="1081433D"/>
    <w:rsid w:val="10C951E2"/>
    <w:rsid w:val="10D92FE7"/>
    <w:rsid w:val="112C0EFD"/>
    <w:rsid w:val="11335637"/>
    <w:rsid w:val="11360C84"/>
    <w:rsid w:val="11542CF0"/>
    <w:rsid w:val="1279243C"/>
    <w:rsid w:val="12C0227B"/>
    <w:rsid w:val="12C82C9C"/>
    <w:rsid w:val="12F9640D"/>
    <w:rsid w:val="130331D2"/>
    <w:rsid w:val="13A8156F"/>
    <w:rsid w:val="13D30077"/>
    <w:rsid w:val="13E250F3"/>
    <w:rsid w:val="147A17CF"/>
    <w:rsid w:val="14C34F24"/>
    <w:rsid w:val="14E32ED1"/>
    <w:rsid w:val="15180030"/>
    <w:rsid w:val="15AE34DE"/>
    <w:rsid w:val="1606156C"/>
    <w:rsid w:val="16DC508F"/>
    <w:rsid w:val="170830C2"/>
    <w:rsid w:val="17A87407"/>
    <w:rsid w:val="17E517C0"/>
    <w:rsid w:val="17EE050A"/>
    <w:rsid w:val="17F00B90"/>
    <w:rsid w:val="1860246C"/>
    <w:rsid w:val="18D07C10"/>
    <w:rsid w:val="18DC209B"/>
    <w:rsid w:val="191044B0"/>
    <w:rsid w:val="19875187"/>
    <w:rsid w:val="19B72B7E"/>
    <w:rsid w:val="19E047A0"/>
    <w:rsid w:val="1A476A4C"/>
    <w:rsid w:val="1A700D8F"/>
    <w:rsid w:val="1A9579F9"/>
    <w:rsid w:val="1AC36773"/>
    <w:rsid w:val="1ADF2820"/>
    <w:rsid w:val="1AEE56EC"/>
    <w:rsid w:val="1B781204"/>
    <w:rsid w:val="1B8F1693"/>
    <w:rsid w:val="1BE22134"/>
    <w:rsid w:val="1C161DDD"/>
    <w:rsid w:val="1C444B9D"/>
    <w:rsid w:val="1C536B8E"/>
    <w:rsid w:val="1C962150"/>
    <w:rsid w:val="1CA114E1"/>
    <w:rsid w:val="1CDE4B9F"/>
    <w:rsid w:val="1D5C405C"/>
    <w:rsid w:val="1DBD2B6A"/>
    <w:rsid w:val="1E19267E"/>
    <w:rsid w:val="1E4744D0"/>
    <w:rsid w:val="1EE2069D"/>
    <w:rsid w:val="1EE44415"/>
    <w:rsid w:val="1F7A08D5"/>
    <w:rsid w:val="20BC2DAA"/>
    <w:rsid w:val="20F71C38"/>
    <w:rsid w:val="214C5241"/>
    <w:rsid w:val="225E628C"/>
    <w:rsid w:val="22813D29"/>
    <w:rsid w:val="23720BFD"/>
    <w:rsid w:val="246A0F18"/>
    <w:rsid w:val="24A21E05"/>
    <w:rsid w:val="24C32A29"/>
    <w:rsid w:val="24E3047C"/>
    <w:rsid w:val="251946ED"/>
    <w:rsid w:val="25227A45"/>
    <w:rsid w:val="253757FC"/>
    <w:rsid w:val="257D6C99"/>
    <w:rsid w:val="25B20DC9"/>
    <w:rsid w:val="26D83A53"/>
    <w:rsid w:val="27A40BE5"/>
    <w:rsid w:val="29490F41"/>
    <w:rsid w:val="296D639D"/>
    <w:rsid w:val="29CD21FC"/>
    <w:rsid w:val="29CF251B"/>
    <w:rsid w:val="29DD2A03"/>
    <w:rsid w:val="2A5266D7"/>
    <w:rsid w:val="2AE31A25"/>
    <w:rsid w:val="2B1A7BA0"/>
    <w:rsid w:val="2B937E75"/>
    <w:rsid w:val="2BCF3CCE"/>
    <w:rsid w:val="2BD61589"/>
    <w:rsid w:val="2BDC5E93"/>
    <w:rsid w:val="2C346570"/>
    <w:rsid w:val="2C503191"/>
    <w:rsid w:val="2C5C1A8E"/>
    <w:rsid w:val="2D05119F"/>
    <w:rsid w:val="2D797045"/>
    <w:rsid w:val="2E382087"/>
    <w:rsid w:val="2E474078"/>
    <w:rsid w:val="2E4A5AA2"/>
    <w:rsid w:val="2EDE09D0"/>
    <w:rsid w:val="2F6173BC"/>
    <w:rsid w:val="30B17ECF"/>
    <w:rsid w:val="31327262"/>
    <w:rsid w:val="318F336E"/>
    <w:rsid w:val="31C06421"/>
    <w:rsid w:val="31FE0EF2"/>
    <w:rsid w:val="32236BAB"/>
    <w:rsid w:val="32711055"/>
    <w:rsid w:val="32B07878"/>
    <w:rsid w:val="32CE357E"/>
    <w:rsid w:val="33332E1D"/>
    <w:rsid w:val="33362D60"/>
    <w:rsid w:val="33797585"/>
    <w:rsid w:val="337E053C"/>
    <w:rsid w:val="34012F1B"/>
    <w:rsid w:val="34FD36E3"/>
    <w:rsid w:val="35523A2F"/>
    <w:rsid w:val="35D97CAC"/>
    <w:rsid w:val="35E13004"/>
    <w:rsid w:val="35F26FC0"/>
    <w:rsid w:val="36886966"/>
    <w:rsid w:val="36D92F95"/>
    <w:rsid w:val="36E868BD"/>
    <w:rsid w:val="376D2B4F"/>
    <w:rsid w:val="382158CE"/>
    <w:rsid w:val="383C09C6"/>
    <w:rsid w:val="38C4657F"/>
    <w:rsid w:val="390C3244"/>
    <w:rsid w:val="39AD4279"/>
    <w:rsid w:val="39D72754"/>
    <w:rsid w:val="3A085447"/>
    <w:rsid w:val="3A0A4646"/>
    <w:rsid w:val="3AA25D8E"/>
    <w:rsid w:val="3B2F7FCE"/>
    <w:rsid w:val="3BDF3B42"/>
    <w:rsid w:val="3C0C01C4"/>
    <w:rsid w:val="3CA56B3A"/>
    <w:rsid w:val="3CD351E6"/>
    <w:rsid w:val="3CE138EA"/>
    <w:rsid w:val="3D4B5E6A"/>
    <w:rsid w:val="3D5E7801"/>
    <w:rsid w:val="3D805854"/>
    <w:rsid w:val="3D926738"/>
    <w:rsid w:val="3DC606FB"/>
    <w:rsid w:val="3DDD645B"/>
    <w:rsid w:val="3DF902CA"/>
    <w:rsid w:val="3DFA052E"/>
    <w:rsid w:val="3DFC4E7F"/>
    <w:rsid w:val="3E813F6C"/>
    <w:rsid w:val="3EEF0540"/>
    <w:rsid w:val="3F10719D"/>
    <w:rsid w:val="3F8F3AD1"/>
    <w:rsid w:val="3F980F39"/>
    <w:rsid w:val="3FD278C4"/>
    <w:rsid w:val="3FD75E62"/>
    <w:rsid w:val="40155D85"/>
    <w:rsid w:val="405C3425"/>
    <w:rsid w:val="40761DDE"/>
    <w:rsid w:val="409D6B76"/>
    <w:rsid w:val="40BC4C7E"/>
    <w:rsid w:val="414601C0"/>
    <w:rsid w:val="41650163"/>
    <w:rsid w:val="4249440B"/>
    <w:rsid w:val="425863FC"/>
    <w:rsid w:val="42D40179"/>
    <w:rsid w:val="42E908C7"/>
    <w:rsid w:val="435C353E"/>
    <w:rsid w:val="447137A5"/>
    <w:rsid w:val="44AF4BBA"/>
    <w:rsid w:val="44DE688D"/>
    <w:rsid w:val="450917AA"/>
    <w:rsid w:val="45AA3413"/>
    <w:rsid w:val="45D27BEE"/>
    <w:rsid w:val="45F45869"/>
    <w:rsid w:val="46366A55"/>
    <w:rsid w:val="46A55988"/>
    <w:rsid w:val="4703102D"/>
    <w:rsid w:val="47863A0C"/>
    <w:rsid w:val="47F26119"/>
    <w:rsid w:val="48137898"/>
    <w:rsid w:val="482761AD"/>
    <w:rsid w:val="486C79FB"/>
    <w:rsid w:val="48846C5E"/>
    <w:rsid w:val="488B752C"/>
    <w:rsid w:val="49701AE3"/>
    <w:rsid w:val="49EC0920"/>
    <w:rsid w:val="4A064990"/>
    <w:rsid w:val="4A3D5C96"/>
    <w:rsid w:val="4A722025"/>
    <w:rsid w:val="4A7638C4"/>
    <w:rsid w:val="4B63653E"/>
    <w:rsid w:val="4BBB7510"/>
    <w:rsid w:val="4BF74ED8"/>
    <w:rsid w:val="4C0E6AEB"/>
    <w:rsid w:val="4C2404A4"/>
    <w:rsid w:val="4C6F0F12"/>
    <w:rsid w:val="4C821EFC"/>
    <w:rsid w:val="4C883D82"/>
    <w:rsid w:val="4CFD207A"/>
    <w:rsid w:val="4D213401"/>
    <w:rsid w:val="4D4C4FF0"/>
    <w:rsid w:val="4DF25E14"/>
    <w:rsid w:val="4E0D3F9C"/>
    <w:rsid w:val="4ECA73AE"/>
    <w:rsid w:val="4F257AD3"/>
    <w:rsid w:val="500951DA"/>
    <w:rsid w:val="507F0D9C"/>
    <w:rsid w:val="509B79DA"/>
    <w:rsid w:val="50E25DCA"/>
    <w:rsid w:val="50EF43D0"/>
    <w:rsid w:val="514B633C"/>
    <w:rsid w:val="51BC194B"/>
    <w:rsid w:val="520143BB"/>
    <w:rsid w:val="529706E1"/>
    <w:rsid w:val="529E6332"/>
    <w:rsid w:val="535844AE"/>
    <w:rsid w:val="536F360E"/>
    <w:rsid w:val="53B3641F"/>
    <w:rsid w:val="53B640CF"/>
    <w:rsid w:val="54517B3B"/>
    <w:rsid w:val="54680721"/>
    <w:rsid w:val="547A66A6"/>
    <w:rsid w:val="55145B1E"/>
    <w:rsid w:val="554674F7"/>
    <w:rsid w:val="562F7113"/>
    <w:rsid w:val="566D64C3"/>
    <w:rsid w:val="567710EF"/>
    <w:rsid w:val="56905D0D"/>
    <w:rsid w:val="59C97EB4"/>
    <w:rsid w:val="5A355549"/>
    <w:rsid w:val="5A467E78"/>
    <w:rsid w:val="5A997268"/>
    <w:rsid w:val="5AFB08B6"/>
    <w:rsid w:val="5B01367D"/>
    <w:rsid w:val="5B2461B8"/>
    <w:rsid w:val="5B7C53D9"/>
    <w:rsid w:val="5B995664"/>
    <w:rsid w:val="5C1B076F"/>
    <w:rsid w:val="5C4C18BC"/>
    <w:rsid w:val="5C5B74CD"/>
    <w:rsid w:val="5D437F7D"/>
    <w:rsid w:val="5D707BDA"/>
    <w:rsid w:val="5E524FA9"/>
    <w:rsid w:val="5F4B3119"/>
    <w:rsid w:val="5F773B41"/>
    <w:rsid w:val="5FD01870"/>
    <w:rsid w:val="5FF03B7B"/>
    <w:rsid w:val="601639D6"/>
    <w:rsid w:val="602776E2"/>
    <w:rsid w:val="604C1ECB"/>
    <w:rsid w:val="60B80F4A"/>
    <w:rsid w:val="60F4333C"/>
    <w:rsid w:val="61453812"/>
    <w:rsid w:val="61604BE0"/>
    <w:rsid w:val="61D0191C"/>
    <w:rsid w:val="61D94043"/>
    <w:rsid w:val="627732CB"/>
    <w:rsid w:val="62A0377C"/>
    <w:rsid w:val="62B9483E"/>
    <w:rsid w:val="638E4A80"/>
    <w:rsid w:val="63984453"/>
    <w:rsid w:val="63A92B04"/>
    <w:rsid w:val="63E5567F"/>
    <w:rsid w:val="64B21544"/>
    <w:rsid w:val="64BD0615"/>
    <w:rsid w:val="64D110F4"/>
    <w:rsid w:val="64DA3A31"/>
    <w:rsid w:val="64F102BF"/>
    <w:rsid w:val="651426C6"/>
    <w:rsid w:val="655F4400"/>
    <w:rsid w:val="663009C3"/>
    <w:rsid w:val="66C537B1"/>
    <w:rsid w:val="66C54BC8"/>
    <w:rsid w:val="67C41CBB"/>
    <w:rsid w:val="682A07D5"/>
    <w:rsid w:val="685613E2"/>
    <w:rsid w:val="68664B20"/>
    <w:rsid w:val="6897000D"/>
    <w:rsid w:val="69A057AA"/>
    <w:rsid w:val="69A753F0"/>
    <w:rsid w:val="69C5201C"/>
    <w:rsid w:val="6AED32D6"/>
    <w:rsid w:val="6BA240C1"/>
    <w:rsid w:val="6BBC4F27"/>
    <w:rsid w:val="6BD72F65"/>
    <w:rsid w:val="6C074AE2"/>
    <w:rsid w:val="6C5E0930"/>
    <w:rsid w:val="6CC63644"/>
    <w:rsid w:val="6D325918"/>
    <w:rsid w:val="6D77157D"/>
    <w:rsid w:val="6DD15131"/>
    <w:rsid w:val="6DD662A4"/>
    <w:rsid w:val="6E157D91"/>
    <w:rsid w:val="6E1F5263"/>
    <w:rsid w:val="6E5422C4"/>
    <w:rsid w:val="6EA92ECB"/>
    <w:rsid w:val="6F173018"/>
    <w:rsid w:val="6F26325B"/>
    <w:rsid w:val="6F3C76CE"/>
    <w:rsid w:val="6F844452"/>
    <w:rsid w:val="6FAA5FCB"/>
    <w:rsid w:val="702A28D7"/>
    <w:rsid w:val="703D260A"/>
    <w:rsid w:val="708276CE"/>
    <w:rsid w:val="70B96165"/>
    <w:rsid w:val="70BE059A"/>
    <w:rsid w:val="713D663A"/>
    <w:rsid w:val="71F65166"/>
    <w:rsid w:val="720A5AC6"/>
    <w:rsid w:val="72272876"/>
    <w:rsid w:val="725748FA"/>
    <w:rsid w:val="725A1E41"/>
    <w:rsid w:val="7260194B"/>
    <w:rsid w:val="730A4279"/>
    <w:rsid w:val="730E028E"/>
    <w:rsid w:val="734409B7"/>
    <w:rsid w:val="7354020D"/>
    <w:rsid w:val="73637F96"/>
    <w:rsid w:val="74416CC6"/>
    <w:rsid w:val="74EE0568"/>
    <w:rsid w:val="7516167C"/>
    <w:rsid w:val="75654BD9"/>
    <w:rsid w:val="75842A89"/>
    <w:rsid w:val="761B33ED"/>
    <w:rsid w:val="76457A62"/>
    <w:rsid w:val="76AE1BF9"/>
    <w:rsid w:val="77147E3D"/>
    <w:rsid w:val="776B179C"/>
    <w:rsid w:val="77805509"/>
    <w:rsid w:val="77B5517C"/>
    <w:rsid w:val="77CE2B3A"/>
    <w:rsid w:val="77E374F8"/>
    <w:rsid w:val="77E43CB3"/>
    <w:rsid w:val="77F24E9B"/>
    <w:rsid w:val="79AC25AE"/>
    <w:rsid w:val="7A1501D4"/>
    <w:rsid w:val="7A70182E"/>
    <w:rsid w:val="7AB97517"/>
    <w:rsid w:val="7AD245CD"/>
    <w:rsid w:val="7B0013DB"/>
    <w:rsid w:val="7B8E01BE"/>
    <w:rsid w:val="7C60498A"/>
    <w:rsid w:val="7CA103C5"/>
    <w:rsid w:val="7CAB2FF1"/>
    <w:rsid w:val="7CBC0D5A"/>
    <w:rsid w:val="7CFB0B04"/>
    <w:rsid w:val="7D3F20B7"/>
    <w:rsid w:val="7D4E3C29"/>
    <w:rsid w:val="7DDE5E98"/>
    <w:rsid w:val="7DF54524"/>
    <w:rsid w:val="7E192908"/>
    <w:rsid w:val="7E4F3FCC"/>
    <w:rsid w:val="7E663674"/>
    <w:rsid w:val="7F0D630C"/>
    <w:rsid w:val="7F95315C"/>
    <w:rsid w:val="7FD1697B"/>
    <w:rsid w:val="7FDD7966"/>
    <w:rsid w:val="7FE94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仿宋_GB2312" w:hAnsi="仿宋_GB2312" w:eastAsia="仿宋_GB2312" w:cstheme="minorBidi"/>
      <w:kern w:val="2"/>
      <w:sz w:val="32"/>
      <w:szCs w:val="22"/>
      <w:lang w:val="en-US" w:eastAsia="zh-CN" w:bidi="ar-SA"/>
    </w:rPr>
  </w:style>
  <w:style w:type="paragraph" w:styleId="3">
    <w:name w:val="heading 1"/>
    <w:basedOn w:val="1"/>
    <w:next w:val="1"/>
    <w:link w:val="17"/>
    <w:qFormat/>
    <w:uiPriority w:val="9"/>
    <w:pPr>
      <w:spacing w:before="50" w:beforeLines="50" w:after="50" w:afterLines="50"/>
      <w:ind w:firstLine="0" w:firstLineChars="0"/>
      <w:jc w:val="left"/>
      <w:outlineLvl w:val="0"/>
    </w:pPr>
    <w:rPr>
      <w:rFonts w:ascii="黑体" w:hAnsi="黑体" w:eastAsia="黑体"/>
      <w:b/>
      <w:bCs/>
      <w:kern w:val="44"/>
      <w:szCs w:val="44"/>
    </w:rPr>
  </w:style>
  <w:style w:type="paragraph" w:styleId="4">
    <w:name w:val="heading 2"/>
    <w:basedOn w:val="1"/>
    <w:next w:val="1"/>
    <w:unhideWhenUsed/>
    <w:qFormat/>
    <w:uiPriority w:val="9"/>
    <w:pPr>
      <w:adjustRightInd w:val="0"/>
      <w:spacing w:before="50" w:beforeLines="50" w:after="50" w:afterLines="50"/>
      <w:ind w:firstLine="0" w:firstLineChars="0"/>
      <w:jc w:val="left"/>
      <w:outlineLvl w:val="1"/>
    </w:pPr>
    <w:rPr>
      <w:rFonts w:ascii="黑体" w:hAnsi="黑体" w:eastAsia="楷体_GB2312" w:cstheme="majorBidi"/>
      <w:b/>
      <w:bCs/>
      <w:szCs w:val="32"/>
    </w:rPr>
  </w:style>
  <w:style w:type="paragraph" w:styleId="5">
    <w:name w:val="heading 3"/>
    <w:basedOn w:val="6"/>
    <w:next w:val="1"/>
    <w:unhideWhenUsed/>
    <w:qFormat/>
    <w:uiPriority w:val="9"/>
    <w:pPr>
      <w:snapToGrid w:val="0"/>
      <w:jc w:val="left"/>
      <w:outlineLvl w:val="2"/>
    </w:pPr>
    <w:rPr>
      <w:rFonts w:ascii="楷体" w:hAnsi="楷体"/>
      <w:b/>
      <w:bCs/>
      <w:sz w:val="32"/>
      <w:szCs w:val="32"/>
    </w:rPr>
  </w:style>
  <w:style w:type="paragraph" w:styleId="2">
    <w:name w:val="heading 4"/>
    <w:basedOn w:val="1"/>
    <w:next w:val="1"/>
    <w:unhideWhenUsed/>
    <w:qFormat/>
    <w:uiPriority w:val="9"/>
    <w:pPr>
      <w:keepNext/>
      <w:keepLines/>
      <w:ind w:firstLine="0" w:firstLineChars="0"/>
      <w:outlineLvl w:val="3"/>
    </w:pPr>
    <w:rPr>
      <w:rFonts w:asciiTheme="majorHAnsi" w:hAnsiTheme="majorHAnsi" w:eastAsiaTheme="majorEastAsia" w:cstheme="majorBidi"/>
      <w:b/>
      <w:bCs/>
      <w:szCs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toa heading"/>
    <w:basedOn w:val="1"/>
    <w:next w:val="1"/>
    <w:semiHidden/>
    <w:unhideWhenUsed/>
    <w:qFormat/>
    <w:uiPriority w:val="99"/>
    <w:pPr>
      <w:spacing w:before="120"/>
    </w:pPr>
    <w:rPr>
      <w:rFonts w:ascii="Arial" w:hAnsi="Arial"/>
      <w:sz w:val="24"/>
    </w:rPr>
  </w:style>
  <w:style w:type="paragraph" w:styleId="7">
    <w:name w:val="caption"/>
    <w:basedOn w:val="1"/>
    <w:next w:val="1"/>
    <w:qFormat/>
    <w:uiPriority w:val="0"/>
    <w:rPr>
      <w:rFonts w:ascii="Cambria" w:hAnsi="Cambria" w:eastAsia="黑体" w:cs="Times New Roman"/>
      <w:sz w:val="20"/>
      <w:szCs w:val="20"/>
    </w:rPr>
  </w:style>
  <w:style w:type="paragraph" w:styleId="8">
    <w:name w:val="annotation text"/>
    <w:basedOn w:val="1"/>
    <w:qFormat/>
    <w:uiPriority w:val="0"/>
    <w:pPr>
      <w:jc w:val="left"/>
    </w:pPr>
  </w:style>
  <w:style w:type="paragraph" w:styleId="9">
    <w:name w:val="footer"/>
    <w:basedOn w:val="1"/>
    <w:unhideWhenUsed/>
    <w:qFormat/>
    <w:uiPriority w:val="99"/>
    <w:pPr>
      <w:tabs>
        <w:tab w:val="center" w:pos="4153"/>
        <w:tab w:val="right" w:pos="8306"/>
      </w:tabs>
      <w:snapToGrid w:val="0"/>
      <w:spacing w:line="240" w:lineRule="auto"/>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1">
    <w:name w:val="toc 1"/>
    <w:basedOn w:val="1"/>
    <w:next w:val="1"/>
    <w:unhideWhenUsed/>
    <w:qFormat/>
    <w:uiPriority w:val="39"/>
    <w:pPr>
      <w:ind w:firstLine="0" w:firstLineChars="0"/>
    </w:pPr>
    <w:rPr>
      <w:rFonts w:eastAsia="黑体"/>
      <w:b/>
    </w:rPr>
  </w:style>
  <w:style w:type="paragraph" w:styleId="12">
    <w:name w:val="toc 2"/>
    <w:basedOn w:val="1"/>
    <w:next w:val="1"/>
    <w:unhideWhenUsed/>
    <w:qFormat/>
    <w:uiPriority w:val="39"/>
    <w:rPr>
      <w:sz w:val="28"/>
    </w:rPr>
  </w:style>
  <w:style w:type="paragraph" w:styleId="13">
    <w:name w:val="Normal (Web)"/>
    <w:basedOn w:val="1"/>
    <w:qFormat/>
    <w:uiPriority w:val="0"/>
    <w:pPr>
      <w:spacing w:beforeAutospacing="1" w:afterAutospacing="1"/>
      <w:jc w:val="left"/>
    </w:pPr>
    <w:rPr>
      <w:rFonts w:cs="Times New Roman"/>
      <w:kern w:val="0"/>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标题 1 字符"/>
    <w:link w:val="3"/>
    <w:qFormat/>
    <w:uiPriority w:val="9"/>
    <w:rPr>
      <w:rFonts w:ascii="黑体" w:hAnsi="黑体" w:eastAsia="黑体"/>
      <w:b/>
      <w:bCs/>
      <w:kern w:val="44"/>
      <w:sz w:val="32"/>
      <w:szCs w:val="44"/>
    </w:rPr>
  </w:style>
  <w:style w:type="paragraph" w:customStyle="1" w:styleId="18">
    <w:name w:val="规划文本名称"/>
    <w:basedOn w:val="1"/>
    <w:qFormat/>
    <w:uiPriority w:val="99"/>
    <w:pPr>
      <w:spacing w:line="240" w:lineRule="auto"/>
      <w:ind w:firstLine="0" w:firstLineChars="0"/>
      <w:jc w:val="center"/>
    </w:pPr>
    <w:rPr>
      <w:rFonts w:ascii="华文中宋" w:hAnsi="华文中宋" w:eastAsia="华文中宋" w:cs="宋体"/>
      <w:b/>
      <w:bCs/>
      <w:kern w:val="0"/>
      <w:sz w:val="44"/>
      <w:szCs w:val="20"/>
    </w:rPr>
  </w:style>
  <w:style w:type="character" w:customStyle="1" w:styleId="19">
    <w:name w:val="封面日期"/>
    <w:qFormat/>
    <w:uiPriority w:val="99"/>
    <w:rPr>
      <w:rFonts w:ascii="华文中宋" w:hAnsi="华文中宋" w:eastAsia="华文中宋" w:cs="Times New Roman"/>
      <w:b/>
      <w:bCs/>
    </w:rPr>
  </w:style>
  <w:style w:type="character" w:customStyle="1" w:styleId="20">
    <w:name w:val="font71"/>
    <w:basedOn w:val="16"/>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100</Pages>
  <Words>43828</Words>
  <Characters>46250</Characters>
  <Lines>357</Lines>
  <Paragraphs>100</Paragraphs>
  <TotalTime>2</TotalTime>
  <ScaleCrop>false</ScaleCrop>
  <LinksUpToDate>false</LinksUpToDate>
  <CharactersWithSpaces>46858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2022-01-27T06:23:00Z</dcterms:created>
  <dc:creator>Lenovo</dc:creator>
  <cp:lastModifiedBy>梁晓蓝</cp:lastModifiedBy>
  <dcterms:modified xsi:type="dcterms:W3CDTF">2022-04-15T02:41:26Z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B1A40E7BAC774884A0E8A613D6C46B42</vt:lpwstr>
  </property>
</Properties>
</file>