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rPr>
          <w:b/>
          <w:bCs/>
        </w:rPr>
      </w:pPr>
      <w:bookmarkStart w:id="0" w:name="bookmark2"/>
      <w:bookmarkStart w:id="1" w:name="bookmark1"/>
      <w:bookmarkStart w:id="2" w:name="bookmark0"/>
      <w:r>
        <w:rPr>
          <w:sz w:val="28"/>
        </w:rPr>
        <mc:AlternateContent>
          <mc:Choice Requires="wps">
            <w:drawing>
              <wp:anchor distT="0" distB="0" distL="114300" distR="114300" simplePos="0" relativeHeight="251659264" behindDoc="0" locked="0" layoutInCell="1" allowOverlap="1">
                <wp:simplePos x="0" y="0"/>
                <wp:positionH relativeFrom="column">
                  <wp:posOffset>-466090</wp:posOffset>
                </wp:positionH>
                <wp:positionV relativeFrom="paragraph">
                  <wp:posOffset>-548640</wp:posOffset>
                </wp:positionV>
                <wp:extent cx="735965" cy="553085"/>
                <wp:effectExtent l="0" t="0" r="0" b="0"/>
                <wp:wrapNone/>
                <wp:docPr id="1" name="文本框 1"/>
                <wp:cNvGraphicFramePr/>
                <a:graphic xmlns:a="http://schemas.openxmlformats.org/drawingml/2006/main">
                  <a:graphicData uri="http://schemas.microsoft.com/office/word/2010/wordprocessingShape">
                    <wps:wsp>
                      <wps:cNvSpPr txBox="1"/>
                      <wps:spPr>
                        <a:xfrm>
                          <a:off x="676910" y="365760"/>
                          <a:ext cx="735965" cy="55308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4"/>
                                <w:szCs w:val="24"/>
                                <w:lang w:val="en-US" w:eastAsia="zh-CN"/>
                              </w:rPr>
                            </w:pPr>
                            <w:r>
                              <w:rPr>
                                <w:rFonts w:hint="eastAsia"/>
                                <w:sz w:val="24"/>
                                <w:szCs w:val="24"/>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7pt;margin-top:-43.2pt;height:43.55pt;width:57.95pt;z-index:251659264;mso-width-relative:page;mso-height-relative:page;" filled="f" stroked="f" coordsize="21600,21600" o:gfxdata="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H1k853YAAAABwEAAA8AAAAAAAAAAQAgAAAAIgAAAGRycy9k&#10;b3ducmV2LnhtbFBLAQIUABQAAAAIAIdO4kCKTOuXrQIAAFcFAAAOAAAAAAAAAAEAIAAAACcBAABk&#10;cnMvZTJvRG9jLnhtbFBLBQYAAAAABgAGAFkBAABGBgAAAAA=&#10;">
                <v:fill on="f" focussize="0,0"/>
                <v:stroke on="f" weight="0.5pt"/>
                <v:imagedata o:title=""/>
                <o:lock v:ext="edit" aspectratio="f"/>
                <v:textbox>
                  <w:txbxContent>
                    <w:p>
                      <w:pPr>
                        <w:rPr>
                          <w:rFonts w:hint="default" w:eastAsiaTheme="minorEastAsia"/>
                          <w:sz w:val="24"/>
                          <w:szCs w:val="24"/>
                          <w:lang w:val="en-US" w:eastAsia="zh-CN"/>
                        </w:rPr>
                      </w:pPr>
                      <w:r>
                        <w:rPr>
                          <w:rFonts w:hint="eastAsia"/>
                          <w:sz w:val="24"/>
                          <w:szCs w:val="24"/>
                          <w:lang w:val="en-US" w:eastAsia="zh-CN"/>
                        </w:rPr>
                        <w:t>附件2：</w:t>
                      </w:r>
                    </w:p>
                  </w:txbxContent>
                </v:textbox>
              </v:shape>
            </w:pict>
          </mc:Fallback>
        </mc:AlternateContent>
      </w:r>
      <w:r>
        <w:rPr>
          <w:b/>
          <w:bCs/>
          <w:color w:val="000000"/>
        </w:rPr>
        <w:t>广东省高标准农田建设项目评审量化评分指标表</w:t>
      </w:r>
      <w:bookmarkEnd w:id="0"/>
      <w:bookmarkEnd w:id="1"/>
      <w:bookmarkEnd w:id="2"/>
    </w:p>
    <w:p>
      <w:pPr>
        <w:pStyle w:val="13"/>
        <w:tabs>
          <w:tab w:val="left" w:pos="6665"/>
        </w:tabs>
        <w:spacing w:after="40"/>
        <w:jc w:val="both"/>
      </w:pPr>
      <w:r>
        <w:rPr>
          <w:color w:val="000000"/>
        </w:rPr>
        <w:t>项目名称：</w:t>
      </w:r>
      <w:r>
        <w:rPr>
          <w:color w:val="000000"/>
        </w:rPr>
        <w:tab/>
      </w:r>
      <w:r>
        <w:rPr>
          <w:rFonts w:hint="eastAsia"/>
          <w:color w:val="000000"/>
          <w:lang w:val="en-US" w:eastAsia="zh-CN"/>
        </w:rPr>
        <w:t xml:space="preserve">  </w:t>
      </w:r>
      <w:r>
        <w:rPr>
          <w:color w:val="000000"/>
        </w:rPr>
        <w:t>项目年度：</w:t>
      </w:r>
      <w:r>
        <w:rPr>
          <w:color w:val="000000"/>
          <w:sz w:val="18"/>
          <w:szCs w:val="18"/>
        </w:rPr>
        <w:t>20</w:t>
      </w:r>
      <w:r>
        <w:rPr>
          <w:rFonts w:hint="eastAsia"/>
          <w:color w:val="000000"/>
          <w:sz w:val="18"/>
          <w:szCs w:val="18"/>
          <w:lang w:val="en-US" w:eastAsia="zh-CN"/>
        </w:rPr>
        <w:t>22</w:t>
      </w:r>
      <w:r>
        <w:rPr>
          <w:color w:val="000000"/>
        </w:rPr>
        <w:t>年</w:t>
      </w:r>
    </w:p>
    <w:p>
      <w:pPr>
        <w:pStyle w:val="13"/>
        <w:tabs>
          <w:tab w:val="left" w:pos="6096"/>
        </w:tabs>
        <w:spacing w:after="100"/>
      </w:pPr>
      <w:r>
        <w:rPr>
          <w:color w:val="000000"/>
        </w:rPr>
        <w:t>建设地点：</w:t>
      </w:r>
      <w:r>
        <w:rPr>
          <w:color w:val="000000"/>
        </w:rPr>
        <w:tab/>
      </w:r>
    </w:p>
    <w:tbl>
      <w:tblPr>
        <w:tblStyle w:val="7"/>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21"/>
        <w:gridCol w:w="273"/>
        <w:gridCol w:w="8"/>
        <w:gridCol w:w="708"/>
        <w:gridCol w:w="428"/>
        <w:gridCol w:w="2268"/>
        <w:gridCol w:w="1134"/>
        <w:gridCol w:w="1418"/>
        <w:gridCol w:w="1134"/>
        <w:gridCol w:w="283"/>
        <w:gridCol w:w="1276"/>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blHeader/>
          <w:jc w:val="center"/>
        </w:trPr>
        <w:tc>
          <w:tcPr>
            <w:tcW w:w="694" w:type="dxa"/>
            <w:gridSpan w:val="2"/>
            <w:shd w:val="clear" w:color="auto" w:fill="FFFFFF"/>
            <w:vAlign w:val="center"/>
          </w:tcPr>
          <w:p>
            <w:pPr>
              <w:pStyle w:val="15"/>
              <w:spacing w:line="240" w:lineRule="auto"/>
              <w:jc w:val="center"/>
            </w:pPr>
            <w:r>
              <w:rPr>
                <w:color w:val="000000"/>
              </w:rPr>
              <w:t>评审</w:t>
            </w:r>
          </w:p>
          <w:p>
            <w:pPr>
              <w:pStyle w:val="15"/>
              <w:spacing w:line="240" w:lineRule="auto"/>
              <w:jc w:val="center"/>
            </w:pPr>
            <w:r>
              <w:rPr>
                <w:color w:val="000000"/>
              </w:rPr>
              <w:t>内容</w:t>
            </w:r>
          </w:p>
        </w:tc>
        <w:tc>
          <w:tcPr>
            <w:tcW w:w="716" w:type="dxa"/>
            <w:gridSpan w:val="2"/>
            <w:shd w:val="clear" w:color="auto" w:fill="FFFFFF"/>
            <w:vAlign w:val="center"/>
          </w:tcPr>
          <w:p>
            <w:pPr>
              <w:pStyle w:val="15"/>
              <w:spacing w:line="240" w:lineRule="auto"/>
              <w:jc w:val="center"/>
            </w:pPr>
            <w:r>
              <w:rPr>
                <w:color w:val="000000"/>
              </w:rPr>
              <w:t>评价</w:t>
            </w:r>
          </w:p>
          <w:p>
            <w:pPr>
              <w:pStyle w:val="15"/>
              <w:spacing w:line="240" w:lineRule="auto"/>
              <w:jc w:val="center"/>
            </w:pPr>
            <w:r>
              <w:rPr>
                <w:color w:val="000000"/>
              </w:rPr>
              <w:t>指标</w:t>
            </w:r>
          </w:p>
        </w:tc>
        <w:tc>
          <w:tcPr>
            <w:tcW w:w="428" w:type="dxa"/>
            <w:shd w:val="clear" w:color="auto" w:fill="FFFFFF"/>
            <w:vAlign w:val="center"/>
          </w:tcPr>
          <w:p>
            <w:pPr>
              <w:pStyle w:val="15"/>
              <w:spacing w:line="240" w:lineRule="auto"/>
              <w:jc w:val="center"/>
            </w:pPr>
            <w:r>
              <w:rPr>
                <w:color w:val="000000"/>
              </w:rPr>
              <w:t>分</w:t>
            </w:r>
          </w:p>
          <w:p>
            <w:pPr>
              <w:pStyle w:val="15"/>
              <w:spacing w:line="240" w:lineRule="auto"/>
              <w:jc w:val="center"/>
            </w:pPr>
            <w:r>
              <w:rPr>
                <w:color w:val="000000"/>
              </w:rPr>
              <w:t>值</w:t>
            </w:r>
          </w:p>
        </w:tc>
        <w:tc>
          <w:tcPr>
            <w:tcW w:w="5954" w:type="dxa"/>
            <w:gridSpan w:val="4"/>
            <w:shd w:val="clear" w:color="auto" w:fill="FFFFFF"/>
            <w:vAlign w:val="center"/>
          </w:tcPr>
          <w:p>
            <w:pPr>
              <w:pStyle w:val="15"/>
              <w:spacing w:line="240" w:lineRule="auto"/>
              <w:jc w:val="center"/>
            </w:pPr>
            <w:r>
              <w:rPr>
                <w:color w:val="000000"/>
              </w:rPr>
              <w:t>政策要点及评分标准</w:t>
            </w:r>
          </w:p>
        </w:tc>
        <w:tc>
          <w:tcPr>
            <w:tcW w:w="1559" w:type="dxa"/>
            <w:gridSpan w:val="2"/>
            <w:shd w:val="clear" w:color="auto" w:fill="FFFFFF"/>
            <w:vAlign w:val="center"/>
          </w:tcPr>
          <w:p>
            <w:pPr>
              <w:pStyle w:val="15"/>
              <w:spacing w:line="240" w:lineRule="auto"/>
              <w:jc w:val="center"/>
            </w:pPr>
            <w:r>
              <w:rPr>
                <w:color w:val="000000"/>
              </w:rPr>
              <w:t>评审意见及扣分情况</w:t>
            </w:r>
          </w:p>
        </w:tc>
        <w:tc>
          <w:tcPr>
            <w:tcW w:w="560" w:type="dxa"/>
            <w:shd w:val="clear" w:color="auto" w:fill="FFFFFF"/>
            <w:vAlign w:val="center"/>
          </w:tcPr>
          <w:p>
            <w:pPr>
              <w:pStyle w:val="15"/>
              <w:spacing w:line="240" w:lineRule="auto"/>
              <w:jc w:val="center"/>
            </w:pPr>
            <w:r>
              <w:rPr>
                <w:color w:val="00000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15"/>
              <w:spacing w:line="240" w:lineRule="auto"/>
              <w:jc w:val="center"/>
              <w:rPr>
                <w:rFonts w:eastAsia="PMingLiU"/>
                <w:color w:val="000000"/>
              </w:rPr>
            </w:pPr>
            <w:r>
              <w:rPr>
                <w:color w:val="000000"/>
              </w:rPr>
              <w:t>选项</w:t>
            </w:r>
          </w:p>
          <w:p>
            <w:pPr>
              <w:pStyle w:val="15"/>
              <w:spacing w:line="240" w:lineRule="auto"/>
              <w:jc w:val="center"/>
              <w:rPr>
                <w:sz w:val="18"/>
                <w:szCs w:val="18"/>
              </w:rPr>
            </w:pPr>
            <w:r>
              <w:rPr>
                <w:color w:val="000000"/>
              </w:rPr>
              <w:t>条件</w:t>
            </w:r>
            <w:r>
              <w:rPr>
                <w:color w:val="000000"/>
                <w:sz w:val="18"/>
                <w:szCs w:val="18"/>
              </w:rPr>
              <w:t>（30）</w:t>
            </w:r>
          </w:p>
        </w:tc>
        <w:tc>
          <w:tcPr>
            <w:tcW w:w="716" w:type="dxa"/>
            <w:gridSpan w:val="2"/>
            <w:shd w:val="clear" w:color="auto" w:fill="FFFFFF"/>
            <w:vAlign w:val="center"/>
          </w:tcPr>
          <w:p>
            <w:pPr>
              <w:pStyle w:val="15"/>
              <w:spacing w:line="240" w:lineRule="auto"/>
              <w:jc w:val="center"/>
              <w:rPr>
                <w:rFonts w:eastAsia="PMingLiU"/>
                <w:color w:val="000000"/>
              </w:rPr>
            </w:pPr>
            <w:r>
              <w:rPr>
                <w:color w:val="000000"/>
              </w:rPr>
              <w:t>水资</w:t>
            </w:r>
          </w:p>
          <w:p>
            <w:pPr>
              <w:pStyle w:val="15"/>
              <w:spacing w:line="240" w:lineRule="auto"/>
              <w:jc w:val="center"/>
            </w:pPr>
            <w:r>
              <w:rPr>
                <w:color w:val="000000"/>
              </w:rPr>
              <w:t>源条件</w:t>
            </w:r>
          </w:p>
        </w:tc>
        <w:tc>
          <w:tcPr>
            <w:tcW w:w="428" w:type="dxa"/>
            <w:shd w:val="clear" w:color="auto" w:fill="FFFFFF"/>
            <w:vAlign w:val="center"/>
          </w:tcPr>
          <w:p>
            <w:pPr>
              <w:pStyle w:val="15"/>
              <w:spacing w:line="240" w:lineRule="auto"/>
              <w:jc w:val="center"/>
              <w:rPr>
                <w:sz w:val="18"/>
                <w:szCs w:val="18"/>
              </w:rPr>
            </w:pPr>
            <w:r>
              <w:rPr>
                <w:color w:val="000000"/>
                <w:sz w:val="18"/>
                <w:szCs w:val="18"/>
              </w:rPr>
              <w:t>5</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项目区水源有保证，以利用地表水为主，能满足农田水量需求，水量供需平衡</w:t>
            </w:r>
            <w:r>
              <w:rPr>
                <w:color w:val="000000"/>
                <w:sz w:val="18"/>
                <w:szCs w:val="18"/>
              </w:rPr>
              <w:t>（3</w:t>
            </w:r>
            <w:r>
              <w:rPr>
                <w:color w:val="000000"/>
              </w:rPr>
              <w:t>分），水质达到农业灌溉用水要求</w:t>
            </w:r>
            <w:r>
              <w:rPr>
                <w:color w:val="000000"/>
                <w:sz w:val="18"/>
                <w:szCs w:val="18"/>
              </w:rPr>
              <w:t>（2</w:t>
            </w:r>
            <w:r>
              <w:rPr>
                <w:color w:val="000000"/>
              </w:rPr>
              <w:t>分）。</w:t>
            </w:r>
          </w:p>
          <w:p>
            <w:pPr>
              <w:pStyle w:val="15"/>
              <w:spacing w:line="240" w:lineRule="auto"/>
            </w:pPr>
            <w:r>
              <w:rPr>
                <w:color w:val="000000"/>
              </w:rPr>
              <w:t>评分标准：</w:t>
            </w:r>
          </w:p>
          <w:p>
            <w:pPr>
              <w:pStyle w:val="15"/>
              <w:numPr>
                <w:ilvl w:val="0"/>
                <w:numId w:val="1"/>
              </w:numPr>
              <w:tabs>
                <w:tab w:val="left" w:pos="187"/>
              </w:tabs>
              <w:spacing w:line="240" w:lineRule="auto"/>
            </w:pPr>
            <w:r>
              <w:rPr>
                <w:color w:val="000000"/>
              </w:rPr>
              <w:t>水源及水源工</w:t>
            </w:r>
            <w:bookmarkStart w:id="3" w:name="_GoBack"/>
            <w:bookmarkEnd w:id="3"/>
            <w:r>
              <w:rPr>
                <w:color w:val="000000"/>
              </w:rPr>
              <w:t>程情况一般，扣</w:t>
            </w:r>
            <w:r>
              <w:rPr>
                <w:color w:val="000000"/>
                <w:sz w:val="18"/>
                <w:szCs w:val="18"/>
                <w:lang w:val="en-US" w:eastAsia="zh-CN" w:bidi="en-US"/>
              </w:rPr>
              <w:t>1-2</w:t>
            </w:r>
            <w:r>
              <w:rPr>
                <w:color w:val="000000"/>
              </w:rPr>
              <w:t>分。</w:t>
            </w:r>
          </w:p>
          <w:p>
            <w:pPr>
              <w:pStyle w:val="15"/>
              <w:numPr>
                <w:ilvl w:val="0"/>
                <w:numId w:val="1"/>
              </w:numPr>
              <w:tabs>
                <w:tab w:val="left" w:pos="182"/>
              </w:tabs>
              <w:spacing w:line="240" w:lineRule="auto"/>
            </w:pPr>
            <w:r>
              <w:rPr>
                <w:color w:val="000000"/>
              </w:rPr>
              <w:t>水质情况较差，扣</w:t>
            </w:r>
            <w:r>
              <w:rPr>
                <w:color w:val="000000"/>
                <w:sz w:val="18"/>
                <w:szCs w:val="18"/>
              </w:rPr>
              <w:t>1</w:t>
            </w:r>
            <w:r>
              <w:rPr>
                <w:color w:val="000000"/>
              </w:rPr>
              <w:t>分。</w:t>
            </w:r>
          </w:p>
          <w:p>
            <w:pPr>
              <w:pStyle w:val="15"/>
              <w:numPr>
                <w:ilvl w:val="0"/>
                <w:numId w:val="1"/>
              </w:numPr>
              <w:tabs>
                <w:tab w:val="left" w:pos="206"/>
              </w:tabs>
              <w:spacing w:line="240" w:lineRule="auto"/>
            </w:pPr>
            <w:r>
              <w:rPr>
                <w:color w:val="000000"/>
              </w:rPr>
              <w:t>申报材料缺少水量分析计算、水质情况说明及未提供相关证明，各扣</w:t>
            </w:r>
            <w:r>
              <w:rPr>
                <w:color w:val="000000"/>
                <w:sz w:val="18"/>
                <w:szCs w:val="18"/>
                <w:lang w:val="en-US" w:eastAsia="zh-CN" w:bidi="en-US"/>
              </w:rPr>
              <w:t>0.5</w:t>
            </w:r>
            <w:r>
              <w:rPr>
                <w:color w:val="000000"/>
              </w:rPr>
              <w:t>分。</w:t>
            </w:r>
          </w:p>
        </w:tc>
        <w:tc>
          <w:tcPr>
            <w:tcW w:w="1559" w:type="dxa"/>
            <w:gridSpan w:val="2"/>
            <w:shd w:val="clear" w:color="auto" w:fill="FFFFFF"/>
            <w:vAlign w:val="center"/>
          </w:tcPr>
          <w:p>
            <w:pPr>
              <w:pStyle w:val="15"/>
              <w:spacing w:line="240" w:lineRule="auto"/>
              <w:jc w:val="center"/>
              <w:rPr>
                <w:lang w:eastAsia="zh-CN"/>
              </w:rPr>
            </w:pPr>
          </w:p>
        </w:tc>
        <w:tc>
          <w:tcPr>
            <w:tcW w:w="560" w:type="dxa"/>
            <w:shd w:val="clear" w:color="auto" w:fill="FFFFFF"/>
            <w:vAlign w:val="center"/>
          </w:tcPr>
          <w:p>
            <w:pPr>
              <w:pStyle w:val="15"/>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pPr>
          </w:p>
        </w:tc>
        <w:tc>
          <w:tcPr>
            <w:tcW w:w="716" w:type="dxa"/>
            <w:gridSpan w:val="2"/>
            <w:shd w:val="clear" w:color="auto" w:fill="FFFFFF"/>
            <w:vAlign w:val="center"/>
          </w:tcPr>
          <w:p>
            <w:pPr>
              <w:pStyle w:val="15"/>
              <w:spacing w:line="240" w:lineRule="auto"/>
              <w:jc w:val="center"/>
            </w:pPr>
            <w:r>
              <w:rPr>
                <w:color w:val="000000"/>
              </w:rPr>
              <w:t>灌排及防洪条件</w:t>
            </w:r>
          </w:p>
        </w:tc>
        <w:tc>
          <w:tcPr>
            <w:tcW w:w="428" w:type="dxa"/>
            <w:shd w:val="clear" w:color="auto" w:fill="FFFFFF"/>
            <w:vAlign w:val="center"/>
          </w:tcPr>
          <w:p>
            <w:pPr>
              <w:pStyle w:val="15"/>
              <w:spacing w:line="240" w:lineRule="auto"/>
              <w:jc w:val="center"/>
              <w:rPr>
                <w:sz w:val="18"/>
                <w:szCs w:val="18"/>
              </w:rPr>
            </w:pPr>
            <w:r>
              <w:rPr>
                <w:color w:val="000000"/>
                <w:sz w:val="18"/>
                <w:szCs w:val="18"/>
              </w:rPr>
              <w:t>3</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农田防洪有保障，水利灌排骨干工程基本具备</w:t>
            </w:r>
            <w:r>
              <w:rPr>
                <w:color w:val="000000"/>
                <w:sz w:val="18"/>
                <w:szCs w:val="18"/>
              </w:rPr>
              <w:t>（3</w:t>
            </w:r>
            <w:r>
              <w:rPr>
                <w:color w:val="000000"/>
              </w:rPr>
              <w:t>分）。</w:t>
            </w:r>
          </w:p>
          <w:p>
            <w:pPr>
              <w:pStyle w:val="15"/>
              <w:spacing w:line="240" w:lineRule="auto"/>
            </w:pPr>
            <w:r>
              <w:rPr>
                <w:color w:val="000000"/>
              </w:rPr>
              <w:t>评分标准：</w:t>
            </w:r>
          </w:p>
          <w:p>
            <w:pPr>
              <w:pStyle w:val="15"/>
              <w:numPr>
                <w:ilvl w:val="0"/>
                <w:numId w:val="2"/>
              </w:numPr>
              <w:tabs>
                <w:tab w:val="left" w:pos="192"/>
              </w:tabs>
              <w:spacing w:line="240" w:lineRule="auto"/>
            </w:pPr>
            <w:r>
              <w:rPr>
                <w:color w:val="000000"/>
              </w:rPr>
              <w:t>农田水利灌排骨干工程条件一般，扣</w:t>
            </w:r>
            <w:r>
              <w:rPr>
                <w:color w:val="000000"/>
                <w:sz w:val="18"/>
                <w:szCs w:val="18"/>
                <w:lang w:val="en-US" w:eastAsia="zh-CN" w:bidi="en-US"/>
              </w:rPr>
              <w:t>1-2</w:t>
            </w:r>
            <w:r>
              <w:rPr>
                <w:color w:val="000000"/>
              </w:rPr>
              <w:t>分。</w:t>
            </w:r>
          </w:p>
          <w:p>
            <w:pPr>
              <w:pStyle w:val="15"/>
              <w:numPr>
                <w:ilvl w:val="0"/>
                <w:numId w:val="2"/>
              </w:numPr>
              <w:tabs>
                <w:tab w:val="left" w:pos="216"/>
              </w:tabs>
              <w:spacing w:line="240" w:lineRule="auto"/>
            </w:pPr>
            <w:r>
              <w:rPr>
                <w:color w:val="000000"/>
              </w:rPr>
              <w:t>申报材料未说明相关情况，扣</w:t>
            </w:r>
            <w:r>
              <w:rPr>
                <w:color w:val="000000"/>
                <w:sz w:val="18"/>
                <w:szCs w:val="18"/>
              </w:rPr>
              <w:t>1</w:t>
            </w:r>
            <w:r>
              <w:rPr>
                <w:color w:val="000000"/>
              </w:rPr>
              <w:t>分。</w:t>
            </w:r>
          </w:p>
        </w:tc>
        <w:tc>
          <w:tcPr>
            <w:tcW w:w="1559" w:type="dxa"/>
            <w:gridSpan w:val="2"/>
            <w:shd w:val="clear" w:color="auto" w:fill="FFFFFF"/>
            <w:vAlign w:val="center"/>
          </w:tcPr>
          <w:p>
            <w:pPr>
              <w:pStyle w:val="15"/>
              <w:spacing w:line="240" w:lineRule="auto"/>
              <w:jc w:val="center"/>
              <w:rPr>
                <w:rFonts w:eastAsiaTheme="minorEastAsia"/>
              </w:rPr>
            </w:pPr>
          </w:p>
        </w:tc>
        <w:tc>
          <w:tcPr>
            <w:tcW w:w="560" w:type="dxa"/>
            <w:shd w:val="clear" w:color="auto" w:fill="FFFFFF"/>
            <w:vAlign w:val="center"/>
          </w:tcPr>
          <w:p>
            <w:pPr>
              <w:pStyle w:val="15"/>
              <w:spacing w:line="240" w:lineRule="auto"/>
              <w:jc w:val="center"/>
              <w:rPr>
                <w:rFonts w:eastAsia="PMingLiU"/>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pPr>
          </w:p>
        </w:tc>
        <w:tc>
          <w:tcPr>
            <w:tcW w:w="716" w:type="dxa"/>
            <w:gridSpan w:val="2"/>
            <w:shd w:val="clear" w:color="auto" w:fill="FFFFFF"/>
            <w:vAlign w:val="center"/>
          </w:tcPr>
          <w:p>
            <w:pPr>
              <w:pStyle w:val="15"/>
              <w:spacing w:line="240" w:lineRule="auto"/>
              <w:jc w:val="center"/>
            </w:pPr>
            <w:r>
              <w:rPr>
                <w:color w:val="000000"/>
              </w:rPr>
              <w:t>耕地条件</w:t>
            </w:r>
          </w:p>
        </w:tc>
        <w:tc>
          <w:tcPr>
            <w:tcW w:w="428" w:type="dxa"/>
            <w:shd w:val="clear" w:color="auto" w:fill="FFFFFF"/>
            <w:vAlign w:val="center"/>
          </w:tcPr>
          <w:p>
            <w:pPr>
              <w:pStyle w:val="15"/>
              <w:spacing w:line="240" w:lineRule="auto"/>
              <w:jc w:val="center"/>
              <w:rPr>
                <w:sz w:val="18"/>
                <w:szCs w:val="18"/>
              </w:rPr>
            </w:pPr>
            <w:r>
              <w:rPr>
                <w:color w:val="000000"/>
                <w:sz w:val="18"/>
                <w:szCs w:val="18"/>
              </w:rPr>
              <w:t>5</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项目位于基本农田保护区内</w:t>
            </w:r>
            <w:r>
              <w:rPr>
                <w:color w:val="000000"/>
                <w:sz w:val="18"/>
                <w:szCs w:val="18"/>
              </w:rPr>
              <w:t>（2</w:t>
            </w:r>
            <w:r>
              <w:rPr>
                <w:color w:val="000000"/>
              </w:rPr>
              <w:t>分），比较集中连片</w:t>
            </w:r>
            <w:r>
              <w:rPr>
                <w:color w:val="000000"/>
                <w:sz w:val="18"/>
                <w:szCs w:val="18"/>
                <w:lang w:val="en-US" w:eastAsia="zh-CN" w:bidi="en-US"/>
              </w:rPr>
              <w:t>（1.5</w:t>
            </w:r>
            <w:r>
              <w:rPr>
                <w:color w:val="000000"/>
              </w:rPr>
              <w:t>分），耕地坡度</w:t>
            </w:r>
            <w:r>
              <w:rPr>
                <w:color w:val="000000"/>
                <w:sz w:val="18"/>
                <w:szCs w:val="18"/>
              </w:rPr>
              <w:t>25</w:t>
            </w:r>
            <w:r>
              <w:rPr>
                <w:color w:val="000000"/>
              </w:rPr>
              <w:t>度以下</w:t>
            </w:r>
            <w:r>
              <w:rPr>
                <w:color w:val="000000"/>
                <w:sz w:val="18"/>
                <w:szCs w:val="18"/>
                <w:lang w:val="en-US" w:eastAsia="zh-CN" w:bidi="en-US"/>
              </w:rPr>
              <w:t>（1.5</w:t>
            </w:r>
            <w:r>
              <w:rPr>
                <w:color w:val="000000"/>
              </w:rPr>
              <w:t>分）。评分标准：</w:t>
            </w:r>
          </w:p>
          <w:p>
            <w:pPr>
              <w:pStyle w:val="15"/>
              <w:numPr>
                <w:ilvl w:val="0"/>
                <w:numId w:val="3"/>
              </w:numPr>
              <w:tabs>
                <w:tab w:val="left" w:pos="187"/>
              </w:tabs>
              <w:spacing w:line="240" w:lineRule="auto"/>
            </w:pPr>
            <w:r>
              <w:rPr>
                <w:color w:val="000000"/>
              </w:rPr>
              <w:t>部分耕地不属于基本农田保护区，建议剔除，扣</w:t>
            </w:r>
            <w:r>
              <w:rPr>
                <w:color w:val="000000"/>
                <w:sz w:val="18"/>
                <w:szCs w:val="18"/>
              </w:rPr>
              <w:t>1</w:t>
            </w:r>
            <w:r>
              <w:rPr>
                <w:color w:val="000000"/>
              </w:rPr>
              <w:t>分。</w:t>
            </w:r>
          </w:p>
          <w:p>
            <w:pPr>
              <w:pStyle w:val="15"/>
              <w:numPr>
                <w:ilvl w:val="0"/>
                <w:numId w:val="3"/>
              </w:numPr>
              <w:tabs>
                <w:tab w:val="left" w:pos="187"/>
              </w:tabs>
              <w:spacing w:line="240" w:lineRule="auto"/>
            </w:pPr>
            <w:r>
              <w:rPr>
                <w:color w:val="000000"/>
              </w:rPr>
              <w:t>耕地连片性较差，扣</w:t>
            </w:r>
            <w:r>
              <w:rPr>
                <w:color w:val="000000"/>
                <w:sz w:val="18"/>
                <w:szCs w:val="18"/>
              </w:rPr>
              <w:t>1</w:t>
            </w:r>
            <w:r>
              <w:rPr>
                <w:color w:val="000000"/>
              </w:rPr>
              <w:t>分。</w:t>
            </w:r>
          </w:p>
          <w:p>
            <w:pPr>
              <w:pStyle w:val="15"/>
              <w:numPr>
                <w:ilvl w:val="0"/>
                <w:numId w:val="3"/>
              </w:numPr>
              <w:tabs>
                <w:tab w:val="left" w:pos="187"/>
              </w:tabs>
              <w:spacing w:line="240" w:lineRule="auto"/>
            </w:pPr>
            <w:r>
              <w:rPr>
                <w:color w:val="000000"/>
              </w:rPr>
              <w:t>部分耕地坡度</w:t>
            </w:r>
            <w:r>
              <w:rPr>
                <w:color w:val="000000"/>
                <w:sz w:val="18"/>
                <w:szCs w:val="18"/>
              </w:rPr>
              <w:t>25</w:t>
            </w:r>
            <w:r>
              <w:rPr>
                <w:color w:val="000000"/>
              </w:rPr>
              <w:t>度以上，建议剔除，扣</w:t>
            </w:r>
            <w:r>
              <w:rPr>
                <w:color w:val="000000"/>
                <w:sz w:val="18"/>
                <w:szCs w:val="18"/>
              </w:rPr>
              <w:t>1</w:t>
            </w:r>
            <w:r>
              <w:rPr>
                <w:color w:val="000000"/>
              </w:rPr>
              <w:t>分。</w:t>
            </w:r>
          </w:p>
          <w:p>
            <w:pPr>
              <w:pStyle w:val="15"/>
              <w:numPr>
                <w:ilvl w:val="0"/>
                <w:numId w:val="3"/>
              </w:numPr>
              <w:tabs>
                <w:tab w:val="left" w:pos="211"/>
              </w:tabs>
              <w:spacing w:line="240" w:lineRule="auto"/>
            </w:pPr>
            <w:r>
              <w:rPr>
                <w:color w:val="000000"/>
              </w:rPr>
              <w:t>申报材料未说明是否属基本农田保护区及提供证明，各扣</w:t>
            </w:r>
            <w:r>
              <w:rPr>
                <w:color w:val="000000"/>
                <w:sz w:val="18"/>
                <w:szCs w:val="18"/>
                <w:lang w:val="en-US" w:eastAsia="zh-CN" w:bidi="en-US"/>
              </w:rPr>
              <w:t>0.</w:t>
            </w:r>
            <w:r>
              <w:rPr>
                <w:color w:val="000000"/>
                <w:sz w:val="18"/>
                <w:szCs w:val="18"/>
              </w:rPr>
              <w:t>5</w:t>
            </w:r>
            <w:r>
              <w:rPr>
                <w:color w:val="000000"/>
              </w:rPr>
              <w:t>分。</w:t>
            </w:r>
          </w:p>
          <w:p>
            <w:pPr>
              <w:pStyle w:val="15"/>
              <w:numPr>
                <w:ilvl w:val="0"/>
                <w:numId w:val="3"/>
              </w:numPr>
              <w:tabs>
                <w:tab w:val="left" w:pos="211"/>
              </w:tabs>
              <w:spacing w:line="240" w:lineRule="auto"/>
            </w:pPr>
            <w:r>
              <w:rPr>
                <w:rFonts w:hint="eastAsia"/>
                <w:color w:val="000000"/>
                <w:lang w:eastAsia="zh-CN"/>
              </w:rPr>
              <w:t>项目区全部位于粮食功能区范围内的，加</w:t>
            </w:r>
            <w:r>
              <w:rPr>
                <w:rFonts w:hint="eastAsia"/>
                <w:color w:val="000000"/>
                <w:lang w:val="en-US" w:eastAsia="zh-CN"/>
              </w:rPr>
              <w:t>0.5分。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pPr>
          </w:p>
        </w:tc>
        <w:tc>
          <w:tcPr>
            <w:tcW w:w="716" w:type="dxa"/>
            <w:gridSpan w:val="2"/>
            <w:shd w:val="clear" w:color="auto" w:fill="FFFFFF"/>
            <w:vAlign w:val="center"/>
          </w:tcPr>
          <w:p>
            <w:pPr>
              <w:pStyle w:val="15"/>
              <w:spacing w:line="240" w:lineRule="auto"/>
              <w:jc w:val="center"/>
            </w:pPr>
            <w:r>
              <w:rPr>
                <w:color w:val="000000"/>
              </w:rPr>
              <w:t>生态条件</w:t>
            </w:r>
          </w:p>
        </w:tc>
        <w:tc>
          <w:tcPr>
            <w:tcW w:w="428" w:type="dxa"/>
            <w:shd w:val="clear" w:color="auto" w:fill="FFFFFF"/>
            <w:vAlign w:val="center"/>
          </w:tcPr>
          <w:p>
            <w:pPr>
              <w:pStyle w:val="15"/>
              <w:spacing w:line="240" w:lineRule="auto"/>
              <w:jc w:val="center"/>
              <w:rPr>
                <w:sz w:val="18"/>
                <w:szCs w:val="18"/>
              </w:rPr>
            </w:pPr>
            <w:r>
              <w:rPr>
                <w:color w:val="000000"/>
                <w:sz w:val="18"/>
                <w:szCs w:val="18"/>
              </w:rPr>
              <w:t>3</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农业生态条件较好，土壤未受重金属严重污染</w:t>
            </w:r>
            <w:r>
              <w:rPr>
                <w:color w:val="000000"/>
                <w:sz w:val="18"/>
                <w:szCs w:val="18"/>
                <w:lang w:val="en-US" w:eastAsia="zh-CN" w:bidi="en-US"/>
              </w:rPr>
              <w:t>（1.</w:t>
            </w:r>
            <w:r>
              <w:rPr>
                <w:color w:val="000000"/>
                <w:sz w:val="18"/>
                <w:szCs w:val="18"/>
              </w:rPr>
              <w:t>5</w:t>
            </w:r>
            <w:r>
              <w:rPr>
                <w:color w:val="000000"/>
              </w:rPr>
              <w:t>分），耕地面源污染程度较轻</w:t>
            </w:r>
            <w:r>
              <w:rPr>
                <w:color w:val="000000"/>
                <w:sz w:val="18"/>
                <w:szCs w:val="18"/>
                <w:lang w:val="en-US" w:eastAsia="zh-CN" w:bidi="en-US"/>
              </w:rPr>
              <w:t>（1.5</w:t>
            </w:r>
            <w:r>
              <w:rPr>
                <w:color w:val="000000"/>
              </w:rPr>
              <w:t>分）。</w:t>
            </w:r>
          </w:p>
          <w:p>
            <w:pPr>
              <w:pStyle w:val="15"/>
              <w:spacing w:line="240" w:lineRule="auto"/>
            </w:pPr>
            <w:r>
              <w:rPr>
                <w:color w:val="000000"/>
              </w:rPr>
              <w:t>评分标准：</w:t>
            </w:r>
          </w:p>
          <w:p>
            <w:pPr>
              <w:pStyle w:val="15"/>
              <w:numPr>
                <w:ilvl w:val="0"/>
                <w:numId w:val="4"/>
              </w:numPr>
              <w:tabs>
                <w:tab w:val="left" w:pos="192"/>
              </w:tabs>
              <w:spacing w:line="240" w:lineRule="auto"/>
            </w:pPr>
            <w:r>
              <w:rPr>
                <w:color w:val="000000"/>
              </w:rPr>
              <w:t>部分土壤受到重金属污染，建议剔除，扣</w:t>
            </w:r>
            <w:r>
              <w:rPr>
                <w:color w:val="000000"/>
                <w:sz w:val="18"/>
                <w:szCs w:val="18"/>
              </w:rPr>
              <w:t>1</w:t>
            </w:r>
            <w:r>
              <w:rPr>
                <w:color w:val="000000"/>
              </w:rPr>
              <w:t>分。</w:t>
            </w:r>
          </w:p>
          <w:p>
            <w:pPr>
              <w:pStyle w:val="15"/>
              <w:numPr>
                <w:ilvl w:val="0"/>
                <w:numId w:val="4"/>
              </w:numPr>
              <w:tabs>
                <w:tab w:val="left" w:pos="187"/>
              </w:tabs>
              <w:spacing w:line="240" w:lineRule="auto"/>
            </w:pPr>
            <w:r>
              <w:rPr>
                <w:color w:val="000000"/>
              </w:rPr>
              <w:t>耕地受到一定程度面源污染，扣</w:t>
            </w:r>
            <w:r>
              <w:rPr>
                <w:color w:val="000000"/>
                <w:sz w:val="18"/>
                <w:szCs w:val="18"/>
              </w:rPr>
              <w:t>1</w:t>
            </w:r>
            <w:r>
              <w:rPr>
                <w:color w:val="000000"/>
              </w:rPr>
              <w:t>分。</w:t>
            </w:r>
          </w:p>
          <w:p>
            <w:pPr>
              <w:pStyle w:val="15"/>
              <w:numPr>
                <w:ilvl w:val="0"/>
                <w:numId w:val="4"/>
              </w:numPr>
              <w:tabs>
                <w:tab w:val="left" w:pos="211"/>
              </w:tabs>
              <w:spacing w:line="240" w:lineRule="auto"/>
            </w:pPr>
            <w:r>
              <w:rPr>
                <w:color w:val="000000"/>
              </w:rPr>
              <w:t>申报材料未说明相关情况，各扣</w:t>
            </w:r>
            <w:r>
              <w:rPr>
                <w:color w:val="000000"/>
                <w:sz w:val="18"/>
                <w:szCs w:val="18"/>
                <w:lang w:val="en-US" w:eastAsia="zh-CN" w:bidi="en-US"/>
              </w:rPr>
              <w:t>0.5</w:t>
            </w:r>
            <w:r>
              <w:rPr>
                <w:color w:val="000000"/>
              </w:rPr>
              <w:t>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rFonts w:eastAsia="PMingLiU"/>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pPr>
          </w:p>
        </w:tc>
        <w:tc>
          <w:tcPr>
            <w:tcW w:w="716" w:type="dxa"/>
            <w:gridSpan w:val="2"/>
            <w:shd w:val="clear" w:color="auto" w:fill="FFFFFF"/>
            <w:vAlign w:val="center"/>
          </w:tcPr>
          <w:p>
            <w:pPr>
              <w:pStyle w:val="15"/>
              <w:spacing w:line="240" w:lineRule="auto"/>
              <w:jc w:val="center"/>
            </w:pPr>
            <w:r>
              <w:rPr>
                <w:color w:val="000000"/>
              </w:rPr>
              <w:t>新型农业经营主体发展状况</w:t>
            </w:r>
          </w:p>
        </w:tc>
        <w:tc>
          <w:tcPr>
            <w:tcW w:w="428" w:type="dxa"/>
            <w:shd w:val="clear" w:color="auto" w:fill="FFFFFF"/>
            <w:vAlign w:val="center"/>
          </w:tcPr>
          <w:p>
            <w:pPr>
              <w:pStyle w:val="15"/>
              <w:spacing w:line="240" w:lineRule="auto"/>
              <w:jc w:val="center"/>
              <w:rPr>
                <w:sz w:val="18"/>
                <w:szCs w:val="18"/>
              </w:rPr>
            </w:pPr>
            <w:r>
              <w:rPr>
                <w:color w:val="000000"/>
                <w:sz w:val="18"/>
                <w:szCs w:val="18"/>
              </w:rPr>
              <w:t>4</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农民合作社</w:t>
            </w:r>
            <w:r>
              <w:rPr>
                <w:color w:val="000000"/>
                <w:sz w:val="18"/>
                <w:szCs w:val="18"/>
              </w:rPr>
              <w:t>（1</w:t>
            </w:r>
            <w:r>
              <w:rPr>
                <w:color w:val="000000"/>
              </w:rPr>
              <w:t>分）、龙头企业</w:t>
            </w:r>
            <w:r>
              <w:rPr>
                <w:color w:val="000000"/>
                <w:sz w:val="18"/>
                <w:szCs w:val="18"/>
              </w:rPr>
              <w:t>（1</w:t>
            </w:r>
            <w:r>
              <w:rPr>
                <w:color w:val="000000"/>
              </w:rPr>
              <w:t>分）、家庭农场</w:t>
            </w:r>
            <w:r>
              <w:rPr>
                <w:color w:val="000000"/>
                <w:sz w:val="18"/>
                <w:szCs w:val="18"/>
              </w:rPr>
              <w:t>（1</w:t>
            </w:r>
            <w:r>
              <w:rPr>
                <w:color w:val="000000"/>
              </w:rPr>
              <w:t>分）、专业大户</w:t>
            </w:r>
            <w:r>
              <w:rPr>
                <w:color w:val="000000"/>
                <w:sz w:val="18"/>
                <w:szCs w:val="18"/>
              </w:rPr>
              <w:t>（1</w:t>
            </w:r>
            <w:r>
              <w:rPr>
                <w:color w:val="000000"/>
              </w:rPr>
              <w:t>分）等新型农业经营主体发展具有一定的基础和潜力。</w:t>
            </w:r>
          </w:p>
          <w:p>
            <w:pPr>
              <w:pStyle w:val="15"/>
              <w:spacing w:line="240" w:lineRule="auto"/>
            </w:pPr>
            <w:r>
              <w:rPr>
                <w:color w:val="000000"/>
              </w:rPr>
              <w:t>评分标准：</w:t>
            </w:r>
          </w:p>
          <w:p>
            <w:pPr>
              <w:pStyle w:val="15"/>
              <w:numPr>
                <w:ilvl w:val="0"/>
                <w:numId w:val="5"/>
              </w:numPr>
              <w:tabs>
                <w:tab w:val="left" w:pos="187"/>
              </w:tabs>
              <w:spacing w:line="240" w:lineRule="auto"/>
            </w:pPr>
            <w:r>
              <w:rPr>
                <w:color w:val="000000"/>
              </w:rPr>
              <w:t>新型农业经营主体发展情况一般，各扣</w:t>
            </w:r>
            <w:r>
              <w:rPr>
                <w:color w:val="000000"/>
                <w:sz w:val="18"/>
                <w:szCs w:val="18"/>
                <w:lang w:val="en-US" w:eastAsia="zh-CN" w:bidi="en-US"/>
              </w:rPr>
              <w:t>0.5</w:t>
            </w:r>
            <w:r>
              <w:rPr>
                <w:color w:val="000000"/>
              </w:rPr>
              <w:t>分。</w:t>
            </w:r>
          </w:p>
          <w:p>
            <w:pPr>
              <w:pStyle w:val="15"/>
              <w:numPr>
                <w:ilvl w:val="0"/>
                <w:numId w:val="5"/>
              </w:numPr>
              <w:tabs>
                <w:tab w:val="left" w:pos="211"/>
              </w:tabs>
              <w:spacing w:line="240" w:lineRule="auto"/>
            </w:pPr>
            <w:r>
              <w:rPr>
                <w:color w:val="000000"/>
              </w:rPr>
              <w:t>申报材料未说明相关情况或提供证明材料，各扣</w:t>
            </w:r>
            <w:r>
              <w:rPr>
                <w:color w:val="000000"/>
                <w:sz w:val="18"/>
                <w:szCs w:val="18"/>
                <w:lang w:val="en-US" w:eastAsia="zh-CN" w:bidi="en-US"/>
              </w:rPr>
              <w:t>0.</w:t>
            </w:r>
            <w:r>
              <w:rPr>
                <w:color w:val="000000"/>
                <w:sz w:val="18"/>
                <w:szCs w:val="18"/>
              </w:rPr>
              <w:t>5</w:t>
            </w:r>
            <w:r>
              <w:rPr>
                <w:color w:val="000000"/>
              </w:rPr>
              <w:t>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pPr>
          </w:p>
        </w:tc>
        <w:tc>
          <w:tcPr>
            <w:tcW w:w="716" w:type="dxa"/>
            <w:gridSpan w:val="2"/>
            <w:shd w:val="clear" w:color="auto" w:fill="FFFFFF"/>
            <w:vAlign w:val="center"/>
          </w:tcPr>
          <w:p>
            <w:pPr>
              <w:pStyle w:val="15"/>
              <w:spacing w:line="240" w:lineRule="auto"/>
              <w:jc w:val="center"/>
            </w:pPr>
            <w:r>
              <w:rPr>
                <w:color w:val="000000"/>
              </w:rPr>
              <w:t>政府积极性</w:t>
            </w:r>
          </w:p>
        </w:tc>
        <w:tc>
          <w:tcPr>
            <w:tcW w:w="428" w:type="dxa"/>
            <w:shd w:val="clear" w:color="auto" w:fill="FFFFFF"/>
            <w:vAlign w:val="center"/>
          </w:tcPr>
          <w:p>
            <w:pPr>
              <w:pStyle w:val="15"/>
              <w:spacing w:line="240" w:lineRule="auto"/>
              <w:jc w:val="center"/>
              <w:rPr>
                <w:sz w:val="18"/>
                <w:szCs w:val="18"/>
              </w:rPr>
            </w:pPr>
            <w:r>
              <w:rPr>
                <w:color w:val="000000"/>
                <w:sz w:val="18"/>
                <w:szCs w:val="18"/>
              </w:rPr>
              <w:t>3</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地方财政投入有保障</w:t>
            </w:r>
            <w:r>
              <w:rPr>
                <w:color w:val="000000"/>
                <w:sz w:val="18"/>
                <w:szCs w:val="18"/>
              </w:rPr>
              <w:t>（1</w:t>
            </w:r>
            <w:r>
              <w:rPr>
                <w:color w:val="000000"/>
              </w:rPr>
              <w:t>分），配备适应工作需要的人员</w:t>
            </w:r>
            <w:r>
              <w:rPr>
                <w:color w:val="000000"/>
                <w:sz w:val="18"/>
                <w:szCs w:val="18"/>
              </w:rPr>
              <w:t>（1</w:t>
            </w:r>
            <w:r>
              <w:rPr>
                <w:color w:val="000000"/>
              </w:rPr>
              <w:t>分），安排一定的经费</w:t>
            </w:r>
            <w:r>
              <w:rPr>
                <w:color w:val="000000"/>
                <w:sz w:val="18"/>
                <w:szCs w:val="18"/>
              </w:rPr>
              <w:t>（1</w:t>
            </w:r>
            <w:r>
              <w:rPr>
                <w:color w:val="000000"/>
              </w:rPr>
              <w:t>分）。</w:t>
            </w:r>
          </w:p>
          <w:p>
            <w:pPr>
              <w:pStyle w:val="15"/>
              <w:spacing w:line="240" w:lineRule="auto"/>
            </w:pPr>
            <w:r>
              <w:rPr>
                <w:color w:val="000000"/>
              </w:rPr>
              <w:t>评分标准：</w:t>
            </w:r>
          </w:p>
          <w:p>
            <w:pPr>
              <w:pStyle w:val="15"/>
              <w:numPr>
                <w:ilvl w:val="0"/>
                <w:numId w:val="6"/>
              </w:numPr>
              <w:tabs>
                <w:tab w:val="left" w:pos="192"/>
              </w:tabs>
              <w:spacing w:line="240" w:lineRule="auto"/>
            </w:pPr>
            <w:r>
              <w:rPr>
                <w:color w:val="000000"/>
              </w:rPr>
              <w:t>财力、经费及人员安排偏少的，各扣</w:t>
            </w:r>
            <w:r>
              <w:rPr>
                <w:color w:val="000000"/>
                <w:sz w:val="18"/>
                <w:szCs w:val="18"/>
                <w:lang w:val="en-US" w:eastAsia="zh-CN" w:bidi="en-US"/>
              </w:rPr>
              <w:t>0.5</w:t>
            </w:r>
            <w:r>
              <w:rPr>
                <w:color w:val="000000"/>
              </w:rPr>
              <w:t>分。</w:t>
            </w:r>
          </w:p>
          <w:p>
            <w:pPr>
              <w:pStyle w:val="15"/>
              <w:numPr>
                <w:ilvl w:val="0"/>
                <w:numId w:val="6"/>
              </w:numPr>
              <w:tabs>
                <w:tab w:val="left" w:pos="211"/>
              </w:tabs>
              <w:spacing w:line="240" w:lineRule="auto"/>
            </w:pPr>
            <w:r>
              <w:rPr>
                <w:color w:val="000000"/>
              </w:rPr>
              <w:t>申报材料未说明相关情况及提供证明材料，各扣</w:t>
            </w:r>
            <w:r>
              <w:rPr>
                <w:color w:val="000000"/>
                <w:sz w:val="18"/>
                <w:szCs w:val="18"/>
                <w:lang w:val="en-US" w:eastAsia="zh-CN" w:bidi="en-US"/>
              </w:rPr>
              <w:t>0.</w:t>
            </w:r>
            <w:r>
              <w:rPr>
                <w:color w:val="000000"/>
                <w:sz w:val="18"/>
                <w:szCs w:val="18"/>
              </w:rPr>
              <w:t>5</w:t>
            </w:r>
            <w:r>
              <w:rPr>
                <w:color w:val="000000"/>
              </w:rPr>
              <w:t>分。</w:t>
            </w:r>
          </w:p>
        </w:tc>
        <w:tc>
          <w:tcPr>
            <w:tcW w:w="1559" w:type="dxa"/>
            <w:gridSpan w:val="2"/>
            <w:shd w:val="clear" w:color="auto" w:fill="FFFFFF"/>
            <w:vAlign w:val="center"/>
          </w:tcPr>
          <w:p>
            <w:pPr>
              <w:jc w:val="center"/>
              <w:rPr>
                <w:sz w:val="10"/>
                <w:szCs w:val="10"/>
              </w:rPr>
            </w:pPr>
          </w:p>
        </w:tc>
        <w:tc>
          <w:tcPr>
            <w:tcW w:w="560" w:type="dxa"/>
            <w:shd w:val="clear" w:color="auto" w:fill="FFFFFF"/>
            <w:vAlign w:val="center"/>
          </w:tcPr>
          <w:p>
            <w:pPr>
              <w:pStyle w:val="15"/>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15"/>
              <w:spacing w:line="240" w:lineRule="auto"/>
              <w:contextualSpacing/>
              <w:jc w:val="center"/>
              <w:rPr>
                <w:rFonts w:eastAsia="PMingLiU"/>
              </w:rPr>
            </w:pPr>
            <w:r>
              <w:rPr>
                <w:color w:val="000000"/>
              </w:rPr>
              <w:t>选项</w:t>
            </w:r>
          </w:p>
          <w:p>
            <w:pPr>
              <w:pStyle w:val="15"/>
              <w:spacing w:line="240" w:lineRule="auto"/>
              <w:contextualSpacing/>
              <w:jc w:val="center"/>
              <w:rPr>
                <w:sz w:val="18"/>
                <w:szCs w:val="18"/>
              </w:rPr>
            </w:pPr>
            <w:r>
              <w:rPr>
                <w:color w:val="000000"/>
              </w:rPr>
              <w:t>条件</w:t>
            </w:r>
            <w:r>
              <w:rPr>
                <w:color w:val="000000"/>
                <w:sz w:val="18"/>
                <w:szCs w:val="18"/>
              </w:rPr>
              <w:t>（30）</w:t>
            </w:r>
          </w:p>
        </w:tc>
        <w:tc>
          <w:tcPr>
            <w:tcW w:w="716" w:type="dxa"/>
            <w:gridSpan w:val="2"/>
            <w:shd w:val="clear" w:color="auto" w:fill="FFFFFF"/>
            <w:vAlign w:val="center"/>
          </w:tcPr>
          <w:p>
            <w:pPr>
              <w:pStyle w:val="15"/>
              <w:spacing w:line="240" w:lineRule="auto"/>
              <w:jc w:val="center"/>
              <w:rPr>
                <w:color w:val="000000"/>
              </w:rPr>
            </w:pPr>
            <w:r>
              <w:rPr>
                <w:color w:val="000000"/>
              </w:rPr>
              <w:t>群众积极性</w:t>
            </w:r>
          </w:p>
        </w:tc>
        <w:tc>
          <w:tcPr>
            <w:tcW w:w="428" w:type="dxa"/>
            <w:shd w:val="clear" w:color="auto" w:fill="FFFFFF"/>
            <w:vAlign w:val="center"/>
          </w:tcPr>
          <w:p>
            <w:pPr>
              <w:pStyle w:val="15"/>
              <w:spacing w:line="240" w:lineRule="auto"/>
              <w:jc w:val="center"/>
              <w:rPr>
                <w:color w:val="000000"/>
              </w:rPr>
            </w:pPr>
            <w:r>
              <w:rPr>
                <w:color w:val="000000"/>
              </w:rPr>
              <w:t>3</w:t>
            </w:r>
          </w:p>
        </w:tc>
        <w:tc>
          <w:tcPr>
            <w:tcW w:w="5954" w:type="dxa"/>
            <w:gridSpan w:val="4"/>
            <w:shd w:val="clear" w:color="auto" w:fill="FFFFFF"/>
            <w:vAlign w:val="center"/>
          </w:tcPr>
          <w:p>
            <w:pPr>
              <w:pStyle w:val="15"/>
              <w:spacing w:line="240" w:lineRule="auto"/>
              <w:rPr>
                <w:color w:val="000000"/>
                <w:sz w:val="18"/>
                <w:szCs w:val="18"/>
              </w:rPr>
            </w:pPr>
            <w:r>
              <w:rPr>
                <w:color w:val="000000"/>
                <w:sz w:val="18"/>
                <w:szCs w:val="18"/>
              </w:rPr>
              <w:t>政策要点：</w:t>
            </w:r>
          </w:p>
          <w:p>
            <w:pPr>
              <w:pStyle w:val="15"/>
              <w:spacing w:line="240" w:lineRule="auto"/>
              <w:rPr>
                <w:color w:val="000000"/>
                <w:sz w:val="18"/>
                <w:szCs w:val="18"/>
              </w:rPr>
            </w:pPr>
            <w:r>
              <w:rPr>
                <w:color w:val="000000"/>
                <w:sz w:val="18"/>
                <w:szCs w:val="18"/>
              </w:rPr>
              <w:t>农民群众自愿搞开发的积极性高，农民筹资投劳有保证（3分）。</w:t>
            </w:r>
          </w:p>
          <w:p>
            <w:pPr>
              <w:pStyle w:val="15"/>
              <w:spacing w:line="240" w:lineRule="auto"/>
              <w:rPr>
                <w:color w:val="000000"/>
                <w:sz w:val="18"/>
                <w:szCs w:val="18"/>
              </w:rPr>
            </w:pPr>
            <w:r>
              <w:rPr>
                <w:color w:val="000000"/>
                <w:sz w:val="18"/>
                <w:szCs w:val="18"/>
              </w:rPr>
              <w:t>评分标准：</w:t>
            </w:r>
          </w:p>
          <w:p>
            <w:pPr>
              <w:pStyle w:val="15"/>
              <w:numPr>
                <w:ilvl w:val="0"/>
                <w:numId w:val="7"/>
              </w:numPr>
              <w:tabs>
                <w:tab w:val="left" w:pos="211"/>
              </w:tabs>
              <w:spacing w:line="240" w:lineRule="auto"/>
              <w:contextualSpacing/>
              <w:rPr>
                <w:color w:val="000000"/>
                <w:sz w:val="18"/>
                <w:szCs w:val="18"/>
              </w:rPr>
            </w:pPr>
            <w:r>
              <w:rPr>
                <w:color w:val="000000"/>
                <w:sz w:val="18"/>
                <w:szCs w:val="18"/>
              </w:rPr>
              <w:t>申报材料未说明相关情况，扣1分。</w:t>
            </w:r>
          </w:p>
          <w:p>
            <w:pPr>
              <w:pStyle w:val="15"/>
              <w:numPr>
                <w:ilvl w:val="0"/>
                <w:numId w:val="7"/>
              </w:numPr>
              <w:tabs>
                <w:tab w:val="left" w:pos="206"/>
              </w:tabs>
              <w:spacing w:line="240" w:lineRule="auto"/>
              <w:contextualSpacing/>
              <w:rPr>
                <w:color w:val="000000"/>
                <w:sz w:val="18"/>
                <w:szCs w:val="18"/>
              </w:rPr>
            </w:pPr>
            <w:r>
              <w:rPr>
                <w:color w:val="000000"/>
                <w:sz w:val="18"/>
                <w:szCs w:val="18"/>
              </w:rPr>
              <w:t>申报材料未提供有关证明材料（指经2/3以上农民签字同意或村民代表大会通过的筹资投劳计划及自愿开发证明材料）或材料存在其他问题，扣1-2分。</w:t>
            </w:r>
          </w:p>
        </w:tc>
        <w:tc>
          <w:tcPr>
            <w:tcW w:w="1559" w:type="dxa"/>
            <w:gridSpan w:val="2"/>
            <w:shd w:val="clear" w:color="auto" w:fill="FFFFFF"/>
            <w:vAlign w:val="center"/>
          </w:tcPr>
          <w:p>
            <w:pPr>
              <w:pStyle w:val="15"/>
              <w:spacing w:line="240" w:lineRule="auto"/>
              <w:jc w:val="center"/>
              <w:rPr>
                <w:color w:val="000000"/>
                <w:lang w:eastAsia="zh-CN"/>
              </w:rPr>
            </w:pPr>
          </w:p>
        </w:tc>
        <w:tc>
          <w:tcPr>
            <w:tcW w:w="560" w:type="dxa"/>
            <w:shd w:val="clear" w:color="auto" w:fill="FFFFFF"/>
            <w:vAlign w:val="center"/>
          </w:tcPr>
          <w:p>
            <w:pPr>
              <w:pStyle w:val="15"/>
              <w:spacing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contextualSpacing/>
              <w:jc w:val="center"/>
            </w:pPr>
          </w:p>
        </w:tc>
        <w:tc>
          <w:tcPr>
            <w:tcW w:w="716" w:type="dxa"/>
            <w:gridSpan w:val="2"/>
            <w:shd w:val="clear" w:color="auto" w:fill="FFFFFF"/>
            <w:vAlign w:val="center"/>
          </w:tcPr>
          <w:p>
            <w:pPr>
              <w:pStyle w:val="15"/>
              <w:spacing w:line="240" w:lineRule="auto"/>
              <w:jc w:val="center"/>
              <w:rPr>
                <w:color w:val="000000"/>
              </w:rPr>
            </w:pPr>
            <w:r>
              <w:rPr>
                <w:color w:val="000000"/>
              </w:rPr>
              <w:t>项目绩效</w:t>
            </w:r>
          </w:p>
        </w:tc>
        <w:tc>
          <w:tcPr>
            <w:tcW w:w="428" w:type="dxa"/>
            <w:shd w:val="clear" w:color="auto" w:fill="FFFFFF"/>
            <w:vAlign w:val="center"/>
          </w:tcPr>
          <w:p>
            <w:pPr>
              <w:pStyle w:val="15"/>
              <w:spacing w:line="240" w:lineRule="auto"/>
              <w:jc w:val="center"/>
              <w:rPr>
                <w:color w:val="000000"/>
              </w:rPr>
            </w:pPr>
            <w:r>
              <w:rPr>
                <w:color w:val="000000"/>
              </w:rPr>
              <w:t>4</w:t>
            </w:r>
          </w:p>
        </w:tc>
        <w:tc>
          <w:tcPr>
            <w:tcW w:w="5954" w:type="dxa"/>
            <w:gridSpan w:val="4"/>
            <w:shd w:val="clear" w:color="auto" w:fill="FFFFFF"/>
            <w:vAlign w:val="center"/>
          </w:tcPr>
          <w:p>
            <w:pPr>
              <w:pStyle w:val="15"/>
              <w:spacing w:line="240" w:lineRule="auto"/>
              <w:rPr>
                <w:color w:val="000000"/>
                <w:sz w:val="18"/>
                <w:szCs w:val="18"/>
              </w:rPr>
            </w:pPr>
            <w:r>
              <w:rPr>
                <w:color w:val="000000"/>
                <w:sz w:val="18"/>
                <w:szCs w:val="18"/>
              </w:rPr>
              <w:t>政策要点：</w:t>
            </w:r>
          </w:p>
          <w:p>
            <w:pPr>
              <w:pStyle w:val="15"/>
              <w:spacing w:line="240" w:lineRule="auto"/>
              <w:rPr>
                <w:color w:val="000000"/>
                <w:sz w:val="18"/>
                <w:szCs w:val="18"/>
              </w:rPr>
            </w:pPr>
            <w:r>
              <w:rPr>
                <w:color w:val="000000"/>
                <w:sz w:val="18"/>
                <w:szCs w:val="18"/>
              </w:rPr>
              <w:t>项目开发后具有较好的经济效益（1分）、社会效益（2分）、生态效益（1分）。</w:t>
            </w:r>
          </w:p>
          <w:p>
            <w:pPr>
              <w:pStyle w:val="15"/>
              <w:spacing w:line="240" w:lineRule="auto"/>
              <w:rPr>
                <w:color w:val="000000"/>
                <w:sz w:val="18"/>
                <w:szCs w:val="18"/>
              </w:rPr>
            </w:pPr>
            <w:r>
              <w:rPr>
                <w:color w:val="000000"/>
                <w:sz w:val="18"/>
                <w:szCs w:val="18"/>
              </w:rPr>
              <w:t>评分标准：</w:t>
            </w:r>
          </w:p>
          <w:p>
            <w:pPr>
              <w:pStyle w:val="15"/>
              <w:spacing w:line="240" w:lineRule="auto"/>
              <w:rPr>
                <w:color w:val="000000"/>
                <w:sz w:val="18"/>
                <w:szCs w:val="18"/>
              </w:rPr>
            </w:pPr>
            <w:r>
              <w:rPr>
                <w:color w:val="000000"/>
                <w:sz w:val="18"/>
                <w:szCs w:val="18"/>
              </w:rPr>
              <w:t>①申报材料对项目预期经济、社会和生态效益方面分析不够合理、或缺少此项相关内容描述的，各扣1分。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15"/>
              <w:spacing w:line="240" w:lineRule="auto"/>
              <w:contextualSpacing/>
              <w:jc w:val="center"/>
              <w:rPr>
                <w:rFonts w:eastAsia="PMingLiU"/>
              </w:rPr>
            </w:pPr>
            <w:r>
              <w:rPr>
                <w:color w:val="000000"/>
              </w:rPr>
              <w:t>项目</w:t>
            </w:r>
          </w:p>
          <w:p>
            <w:pPr>
              <w:pStyle w:val="15"/>
              <w:spacing w:line="240" w:lineRule="auto"/>
              <w:contextualSpacing/>
              <w:jc w:val="center"/>
            </w:pPr>
            <w:r>
              <w:rPr>
                <w:color w:val="000000"/>
              </w:rPr>
              <w:t>方案</w:t>
            </w:r>
          </w:p>
          <w:p>
            <w:pPr>
              <w:pStyle w:val="15"/>
              <w:spacing w:line="240" w:lineRule="auto"/>
              <w:contextualSpacing/>
              <w:jc w:val="center"/>
              <w:rPr>
                <w:sz w:val="18"/>
                <w:szCs w:val="18"/>
              </w:rPr>
            </w:pPr>
            <w:r>
              <w:rPr>
                <w:color w:val="000000"/>
                <w:sz w:val="18"/>
                <w:szCs w:val="18"/>
              </w:rPr>
              <w:t>（20）</w:t>
            </w:r>
          </w:p>
        </w:tc>
        <w:tc>
          <w:tcPr>
            <w:tcW w:w="716" w:type="dxa"/>
            <w:gridSpan w:val="2"/>
            <w:shd w:val="clear" w:color="auto" w:fill="FFFFFF"/>
            <w:vAlign w:val="center"/>
          </w:tcPr>
          <w:p>
            <w:pPr>
              <w:pStyle w:val="15"/>
              <w:spacing w:line="240" w:lineRule="auto"/>
              <w:jc w:val="center"/>
              <w:rPr>
                <w:color w:val="000000"/>
              </w:rPr>
            </w:pPr>
            <w:r>
              <w:rPr>
                <w:color w:val="000000"/>
              </w:rPr>
              <w:t>总体规划</w:t>
            </w:r>
          </w:p>
        </w:tc>
        <w:tc>
          <w:tcPr>
            <w:tcW w:w="428" w:type="dxa"/>
            <w:shd w:val="clear" w:color="auto" w:fill="FFFFFF"/>
            <w:vAlign w:val="center"/>
          </w:tcPr>
          <w:p>
            <w:pPr>
              <w:pStyle w:val="15"/>
              <w:spacing w:line="240" w:lineRule="auto"/>
              <w:jc w:val="center"/>
              <w:rPr>
                <w:color w:val="000000"/>
              </w:rPr>
            </w:pPr>
            <w:r>
              <w:rPr>
                <w:color w:val="000000"/>
              </w:rPr>
              <w:t>6</w:t>
            </w:r>
          </w:p>
        </w:tc>
        <w:tc>
          <w:tcPr>
            <w:tcW w:w="5954" w:type="dxa"/>
            <w:gridSpan w:val="4"/>
            <w:shd w:val="clear" w:color="auto" w:fill="FFFFFF"/>
            <w:vAlign w:val="center"/>
          </w:tcPr>
          <w:p>
            <w:pPr>
              <w:pStyle w:val="15"/>
              <w:spacing w:line="240" w:lineRule="auto"/>
              <w:rPr>
                <w:color w:val="000000"/>
                <w:sz w:val="18"/>
                <w:szCs w:val="18"/>
              </w:rPr>
            </w:pPr>
            <w:r>
              <w:rPr>
                <w:color w:val="000000"/>
                <w:sz w:val="18"/>
                <w:szCs w:val="18"/>
              </w:rPr>
              <w:t>政策要点：</w:t>
            </w:r>
          </w:p>
          <w:p>
            <w:pPr>
              <w:pStyle w:val="15"/>
              <w:spacing w:line="240" w:lineRule="auto"/>
              <w:rPr>
                <w:color w:val="000000"/>
                <w:sz w:val="18"/>
                <w:szCs w:val="18"/>
              </w:rPr>
            </w:pPr>
            <w:r>
              <w:rPr>
                <w:color w:val="000000"/>
                <w:sz w:val="18"/>
                <w:szCs w:val="18"/>
              </w:rPr>
              <w:t>项目按流域或灌区统一规划（2分），总体布局科学合理（2分），各拟建水利工程及田间工程的平面布置合理（2分）。</w:t>
            </w:r>
          </w:p>
          <w:p>
            <w:pPr>
              <w:pStyle w:val="15"/>
              <w:spacing w:line="240" w:lineRule="auto"/>
              <w:rPr>
                <w:color w:val="000000"/>
                <w:sz w:val="18"/>
                <w:szCs w:val="18"/>
              </w:rPr>
            </w:pPr>
            <w:r>
              <w:rPr>
                <w:color w:val="000000"/>
                <w:sz w:val="18"/>
                <w:szCs w:val="18"/>
              </w:rPr>
              <w:t>评分标准：</w:t>
            </w:r>
          </w:p>
          <w:p>
            <w:pPr>
              <w:pStyle w:val="15"/>
              <w:numPr>
                <w:ilvl w:val="0"/>
                <w:numId w:val="8"/>
              </w:numPr>
              <w:tabs>
                <w:tab w:val="left" w:pos="192"/>
              </w:tabs>
              <w:spacing w:line="240" w:lineRule="auto"/>
              <w:contextualSpacing/>
              <w:rPr>
                <w:color w:val="000000"/>
                <w:sz w:val="18"/>
                <w:szCs w:val="18"/>
              </w:rPr>
            </w:pPr>
            <w:r>
              <w:rPr>
                <w:color w:val="000000"/>
                <w:sz w:val="18"/>
                <w:szCs w:val="18"/>
              </w:rPr>
              <w:t>在总体规划图中未明确标示项目区范围边界，扣1分。</w:t>
            </w:r>
          </w:p>
          <w:p>
            <w:pPr>
              <w:pStyle w:val="15"/>
              <w:numPr>
                <w:ilvl w:val="0"/>
                <w:numId w:val="8"/>
              </w:numPr>
              <w:tabs>
                <w:tab w:val="left" w:pos="187"/>
              </w:tabs>
              <w:spacing w:line="240" w:lineRule="auto"/>
              <w:contextualSpacing/>
              <w:rPr>
                <w:color w:val="000000"/>
                <w:sz w:val="18"/>
                <w:szCs w:val="18"/>
              </w:rPr>
            </w:pPr>
            <w:r>
              <w:rPr>
                <w:color w:val="000000"/>
                <w:sz w:val="18"/>
                <w:szCs w:val="18"/>
              </w:rPr>
              <w:t>未做到按流域或灌区统一规划，扣1分。</w:t>
            </w:r>
          </w:p>
          <w:p>
            <w:pPr>
              <w:pStyle w:val="15"/>
              <w:numPr>
                <w:ilvl w:val="0"/>
                <w:numId w:val="8"/>
              </w:numPr>
              <w:tabs>
                <w:tab w:val="left" w:pos="187"/>
              </w:tabs>
              <w:spacing w:line="240" w:lineRule="auto"/>
              <w:contextualSpacing/>
              <w:rPr>
                <w:color w:val="000000"/>
                <w:sz w:val="18"/>
                <w:szCs w:val="18"/>
              </w:rPr>
            </w:pPr>
            <w:r>
              <w:rPr>
                <w:color w:val="000000"/>
                <w:sz w:val="18"/>
                <w:szCs w:val="18"/>
              </w:rPr>
              <w:t>项目总体布局存在不合理情况，每处扣0.5分。</w:t>
            </w:r>
          </w:p>
          <w:p>
            <w:pPr>
              <w:pStyle w:val="15"/>
              <w:numPr>
                <w:ilvl w:val="0"/>
                <w:numId w:val="8"/>
              </w:numPr>
              <w:tabs>
                <w:tab w:val="left" w:pos="192"/>
              </w:tabs>
              <w:spacing w:line="240" w:lineRule="auto"/>
              <w:contextualSpacing/>
              <w:rPr>
                <w:color w:val="000000"/>
                <w:sz w:val="18"/>
                <w:szCs w:val="18"/>
              </w:rPr>
            </w:pPr>
            <w:r>
              <w:rPr>
                <w:color w:val="000000"/>
                <w:sz w:val="18"/>
                <w:szCs w:val="18"/>
              </w:rPr>
              <w:t>单项工程水利及田间工程的平面布局存在不合理情况，每项扣0.5分。</w:t>
            </w:r>
          </w:p>
        </w:tc>
        <w:tc>
          <w:tcPr>
            <w:tcW w:w="1559" w:type="dxa"/>
            <w:gridSpan w:val="2"/>
            <w:shd w:val="clear" w:color="auto" w:fill="FFFFFF"/>
            <w:vAlign w:val="center"/>
          </w:tcPr>
          <w:p>
            <w:pPr>
              <w:pStyle w:val="15"/>
              <w:spacing w:line="240" w:lineRule="auto"/>
              <w:jc w:val="center"/>
              <w:rPr>
                <w:rFonts w:eastAsia="PMingLiU"/>
                <w:color w:val="000000"/>
              </w:rPr>
            </w:pPr>
          </w:p>
        </w:tc>
        <w:tc>
          <w:tcPr>
            <w:tcW w:w="560" w:type="dxa"/>
            <w:shd w:val="clear" w:color="auto" w:fill="FFFFFF"/>
            <w:vAlign w:val="center"/>
          </w:tcPr>
          <w:p>
            <w:pPr>
              <w:pStyle w:val="15"/>
              <w:spacing w:line="240" w:lineRule="auto"/>
              <w:jc w:val="center"/>
              <w:rPr>
                <w:rFonts w:eastAsia="PMingLiU"/>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contextualSpacing/>
              <w:jc w:val="center"/>
            </w:pPr>
          </w:p>
        </w:tc>
        <w:tc>
          <w:tcPr>
            <w:tcW w:w="716" w:type="dxa"/>
            <w:gridSpan w:val="2"/>
            <w:shd w:val="clear" w:color="auto" w:fill="FFFFFF"/>
            <w:vAlign w:val="center"/>
          </w:tcPr>
          <w:p>
            <w:pPr>
              <w:pStyle w:val="15"/>
              <w:spacing w:line="240" w:lineRule="auto"/>
              <w:jc w:val="center"/>
              <w:rPr>
                <w:color w:val="000000"/>
              </w:rPr>
            </w:pPr>
            <w:r>
              <w:rPr>
                <w:color w:val="000000"/>
              </w:rPr>
              <w:t>建设内容</w:t>
            </w:r>
          </w:p>
        </w:tc>
        <w:tc>
          <w:tcPr>
            <w:tcW w:w="428" w:type="dxa"/>
            <w:shd w:val="clear" w:color="auto" w:fill="FFFFFF"/>
            <w:vAlign w:val="center"/>
          </w:tcPr>
          <w:p>
            <w:pPr>
              <w:pStyle w:val="15"/>
              <w:spacing w:line="240" w:lineRule="auto"/>
              <w:jc w:val="center"/>
              <w:rPr>
                <w:color w:val="000000"/>
              </w:rPr>
            </w:pPr>
            <w:r>
              <w:rPr>
                <w:color w:val="000000"/>
              </w:rPr>
              <w:t>6</w:t>
            </w:r>
          </w:p>
        </w:tc>
        <w:tc>
          <w:tcPr>
            <w:tcW w:w="5954" w:type="dxa"/>
            <w:gridSpan w:val="4"/>
            <w:shd w:val="clear" w:color="auto" w:fill="FFFFFF"/>
            <w:vAlign w:val="center"/>
          </w:tcPr>
          <w:p>
            <w:pPr>
              <w:pStyle w:val="15"/>
              <w:spacing w:line="240" w:lineRule="auto"/>
              <w:rPr>
                <w:color w:val="000000"/>
                <w:sz w:val="18"/>
                <w:szCs w:val="18"/>
              </w:rPr>
            </w:pPr>
            <w:r>
              <w:rPr>
                <w:color w:val="000000"/>
                <w:sz w:val="18"/>
                <w:szCs w:val="18"/>
              </w:rPr>
              <w:t>政策要点：</w:t>
            </w:r>
          </w:p>
          <w:p>
            <w:pPr>
              <w:pStyle w:val="15"/>
              <w:spacing w:line="240" w:lineRule="auto"/>
              <w:rPr>
                <w:color w:val="000000"/>
                <w:sz w:val="18"/>
                <w:szCs w:val="18"/>
              </w:rPr>
            </w:pPr>
            <w:r>
              <w:rPr>
                <w:color w:val="000000"/>
                <w:sz w:val="18"/>
                <w:szCs w:val="18"/>
              </w:rPr>
              <w:t>主要建设内容根据当前制约因素进行规划设计（2分），建设内容符合规定（2分），建设标准符合相关规定（2分）。</w:t>
            </w:r>
          </w:p>
          <w:p>
            <w:pPr>
              <w:pStyle w:val="15"/>
              <w:spacing w:line="240" w:lineRule="auto"/>
              <w:rPr>
                <w:color w:val="000000"/>
                <w:sz w:val="18"/>
                <w:szCs w:val="18"/>
              </w:rPr>
            </w:pPr>
            <w:r>
              <w:rPr>
                <w:color w:val="000000"/>
                <w:sz w:val="18"/>
                <w:szCs w:val="18"/>
              </w:rPr>
              <w:t>评分标准：</w:t>
            </w:r>
          </w:p>
          <w:p>
            <w:pPr>
              <w:pStyle w:val="15"/>
              <w:numPr>
                <w:ilvl w:val="0"/>
                <w:numId w:val="9"/>
              </w:numPr>
              <w:tabs>
                <w:tab w:val="left" w:pos="192"/>
              </w:tabs>
              <w:spacing w:line="240" w:lineRule="auto"/>
              <w:contextualSpacing/>
              <w:rPr>
                <w:color w:val="000000"/>
                <w:sz w:val="18"/>
                <w:szCs w:val="18"/>
              </w:rPr>
            </w:pPr>
            <w:r>
              <w:rPr>
                <w:color w:val="000000"/>
                <w:sz w:val="18"/>
                <w:szCs w:val="18"/>
              </w:rPr>
              <w:t>未针对当前制约因素进行规划设计或未说明当前制约因素，扣1-2分。</w:t>
            </w:r>
          </w:p>
          <w:p>
            <w:pPr>
              <w:pStyle w:val="15"/>
              <w:numPr>
                <w:ilvl w:val="0"/>
                <w:numId w:val="9"/>
              </w:numPr>
              <w:tabs>
                <w:tab w:val="left" w:pos="187"/>
              </w:tabs>
              <w:spacing w:line="240" w:lineRule="auto"/>
              <w:contextualSpacing/>
              <w:rPr>
                <w:color w:val="000000"/>
                <w:sz w:val="18"/>
                <w:szCs w:val="18"/>
              </w:rPr>
            </w:pPr>
            <w:r>
              <w:rPr>
                <w:color w:val="000000"/>
                <w:sz w:val="18"/>
                <w:szCs w:val="18"/>
              </w:rPr>
              <w:t>建设内容存在不合理情况，每处扣0.5分。</w:t>
            </w:r>
          </w:p>
          <w:p>
            <w:pPr>
              <w:pStyle w:val="15"/>
              <w:numPr>
                <w:ilvl w:val="0"/>
                <w:numId w:val="9"/>
              </w:numPr>
              <w:tabs>
                <w:tab w:val="left" w:pos="187"/>
              </w:tabs>
              <w:spacing w:line="240" w:lineRule="auto"/>
              <w:contextualSpacing/>
              <w:rPr>
                <w:color w:val="000000"/>
                <w:sz w:val="18"/>
                <w:szCs w:val="18"/>
              </w:rPr>
            </w:pPr>
            <w:r>
              <w:rPr>
                <w:color w:val="000000"/>
                <w:sz w:val="18"/>
                <w:szCs w:val="18"/>
              </w:rPr>
              <w:t>建设标准存在不符合规定情况，每处扣0.5分。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rFonts w:eastAsia="PMingLiU"/>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contextualSpacing/>
              <w:jc w:val="center"/>
            </w:pPr>
          </w:p>
        </w:tc>
        <w:tc>
          <w:tcPr>
            <w:tcW w:w="716" w:type="dxa"/>
            <w:gridSpan w:val="2"/>
            <w:shd w:val="clear" w:color="auto" w:fill="FFFFFF"/>
            <w:vAlign w:val="center"/>
          </w:tcPr>
          <w:p>
            <w:pPr>
              <w:pStyle w:val="15"/>
              <w:spacing w:line="240" w:lineRule="auto"/>
              <w:jc w:val="center"/>
              <w:rPr>
                <w:color w:val="000000"/>
              </w:rPr>
            </w:pPr>
            <w:r>
              <w:rPr>
                <w:color w:val="000000"/>
              </w:rPr>
              <w:t>工程设计</w:t>
            </w:r>
          </w:p>
        </w:tc>
        <w:tc>
          <w:tcPr>
            <w:tcW w:w="428" w:type="dxa"/>
            <w:shd w:val="clear" w:color="auto" w:fill="FFFFFF"/>
            <w:vAlign w:val="center"/>
          </w:tcPr>
          <w:p>
            <w:pPr>
              <w:pStyle w:val="15"/>
              <w:spacing w:line="240" w:lineRule="auto"/>
              <w:jc w:val="center"/>
              <w:rPr>
                <w:color w:val="000000"/>
              </w:rPr>
            </w:pPr>
            <w:r>
              <w:rPr>
                <w:color w:val="000000"/>
              </w:rPr>
              <w:t>8</w:t>
            </w:r>
          </w:p>
        </w:tc>
        <w:tc>
          <w:tcPr>
            <w:tcW w:w="5954" w:type="dxa"/>
            <w:gridSpan w:val="4"/>
            <w:shd w:val="clear" w:color="auto" w:fill="FFFFFF"/>
            <w:vAlign w:val="center"/>
          </w:tcPr>
          <w:p>
            <w:pPr>
              <w:pStyle w:val="15"/>
              <w:spacing w:line="240" w:lineRule="auto"/>
              <w:rPr>
                <w:color w:val="000000"/>
                <w:sz w:val="18"/>
                <w:szCs w:val="18"/>
              </w:rPr>
            </w:pPr>
            <w:r>
              <w:rPr>
                <w:color w:val="000000"/>
                <w:sz w:val="18"/>
                <w:szCs w:val="18"/>
              </w:rPr>
              <w:t>政策要点：</w:t>
            </w:r>
          </w:p>
          <w:p>
            <w:pPr>
              <w:pStyle w:val="15"/>
              <w:spacing w:line="240" w:lineRule="auto"/>
              <w:rPr>
                <w:color w:val="000000"/>
                <w:sz w:val="18"/>
                <w:szCs w:val="18"/>
              </w:rPr>
            </w:pPr>
            <w:r>
              <w:rPr>
                <w:color w:val="000000"/>
                <w:sz w:val="18"/>
                <w:szCs w:val="18"/>
              </w:rPr>
              <w:t>具体工程设计因地制宜（2分）、依据充分（2分），设计方案科学合理，各项治理措施与制约因素相互对应（4分）。</w:t>
            </w:r>
          </w:p>
          <w:p>
            <w:pPr>
              <w:pStyle w:val="15"/>
              <w:spacing w:line="240" w:lineRule="auto"/>
              <w:rPr>
                <w:color w:val="000000"/>
                <w:sz w:val="18"/>
                <w:szCs w:val="18"/>
              </w:rPr>
            </w:pPr>
            <w:r>
              <w:rPr>
                <w:color w:val="000000"/>
                <w:sz w:val="18"/>
                <w:szCs w:val="18"/>
              </w:rPr>
              <w:t>评分标准：</w:t>
            </w:r>
          </w:p>
          <w:p>
            <w:pPr>
              <w:pStyle w:val="15"/>
              <w:numPr>
                <w:ilvl w:val="0"/>
                <w:numId w:val="10"/>
              </w:numPr>
              <w:tabs>
                <w:tab w:val="left" w:pos="192"/>
              </w:tabs>
              <w:spacing w:line="240" w:lineRule="auto"/>
              <w:contextualSpacing/>
              <w:rPr>
                <w:color w:val="000000"/>
                <w:sz w:val="18"/>
                <w:szCs w:val="18"/>
              </w:rPr>
            </w:pPr>
            <w:r>
              <w:rPr>
                <w:color w:val="000000"/>
                <w:sz w:val="18"/>
                <w:szCs w:val="18"/>
              </w:rPr>
              <w:t>未体现因地制宜，每处扣0.5分。</w:t>
            </w:r>
          </w:p>
          <w:p>
            <w:pPr>
              <w:pStyle w:val="15"/>
              <w:numPr>
                <w:ilvl w:val="0"/>
                <w:numId w:val="10"/>
              </w:numPr>
              <w:tabs>
                <w:tab w:val="left" w:pos="187"/>
              </w:tabs>
              <w:spacing w:line="240" w:lineRule="auto"/>
              <w:contextualSpacing/>
              <w:rPr>
                <w:color w:val="000000"/>
                <w:sz w:val="18"/>
                <w:szCs w:val="18"/>
              </w:rPr>
            </w:pPr>
            <w:r>
              <w:rPr>
                <w:color w:val="000000"/>
                <w:sz w:val="18"/>
                <w:szCs w:val="18"/>
              </w:rPr>
              <w:t>设计依据不充分或缺少过程，每处扣0.5分。</w:t>
            </w:r>
          </w:p>
          <w:p>
            <w:pPr>
              <w:pStyle w:val="15"/>
              <w:numPr>
                <w:ilvl w:val="0"/>
                <w:numId w:val="10"/>
              </w:numPr>
              <w:tabs>
                <w:tab w:val="left" w:pos="187"/>
              </w:tabs>
              <w:spacing w:line="240" w:lineRule="auto"/>
              <w:contextualSpacing/>
              <w:rPr>
                <w:color w:val="000000"/>
                <w:sz w:val="18"/>
                <w:szCs w:val="18"/>
              </w:rPr>
            </w:pPr>
            <w:r>
              <w:rPr>
                <w:color w:val="000000"/>
                <w:sz w:val="18"/>
                <w:szCs w:val="18"/>
              </w:rPr>
              <w:t>设计方案存在不合理情况，每处扣0.5分。</w:t>
            </w:r>
          </w:p>
          <w:p>
            <w:pPr>
              <w:pStyle w:val="15"/>
              <w:numPr>
                <w:ilvl w:val="0"/>
                <w:numId w:val="10"/>
              </w:numPr>
              <w:tabs>
                <w:tab w:val="left" w:pos="187"/>
              </w:tabs>
              <w:spacing w:line="240" w:lineRule="auto"/>
              <w:contextualSpacing/>
              <w:rPr>
                <w:color w:val="000000"/>
                <w:sz w:val="18"/>
                <w:szCs w:val="18"/>
              </w:rPr>
            </w:pPr>
            <w:r>
              <w:rPr>
                <w:rFonts w:hint="eastAsia"/>
                <w:color w:val="000000"/>
                <w:sz w:val="18"/>
                <w:szCs w:val="18"/>
                <w:lang w:eastAsia="zh-CN"/>
              </w:rPr>
              <w:t>未按规定设计计量设施的，工程设计不得分。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rFonts w:eastAsia="PMingLiU"/>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造价及投资估算</w:t>
            </w:r>
          </w:p>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（25）</w:t>
            </w:r>
          </w:p>
        </w:tc>
        <w:tc>
          <w:tcPr>
            <w:tcW w:w="716"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资金</w:t>
            </w:r>
          </w:p>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筹集</w:t>
            </w:r>
          </w:p>
        </w:tc>
        <w:tc>
          <w:tcPr>
            <w:tcW w:w="428" w:type="dxa"/>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5954" w:type="dxa"/>
            <w:gridSpan w:val="4"/>
            <w:shd w:val="clear" w:color="auto" w:fill="FFFFFF"/>
            <w:vAlign w:val="center"/>
          </w:tcPr>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资金</w:t>
            </w:r>
            <w:r>
              <w:rPr>
                <w:rFonts w:hint="eastAsia" w:cs="宋体"/>
                <w:color w:val="000000"/>
                <w:sz w:val="18"/>
                <w:szCs w:val="18"/>
                <w:lang w:val="en-US" w:eastAsia="zh-CN"/>
              </w:rPr>
              <w:t>投入</w:t>
            </w:r>
            <w:r>
              <w:rPr>
                <w:rFonts w:hint="eastAsia" w:ascii="宋体" w:hAnsi="宋体" w:eastAsia="宋体" w:cs="宋体"/>
                <w:color w:val="000000"/>
                <w:sz w:val="18"/>
                <w:szCs w:val="18"/>
              </w:rPr>
              <w:t>符合有关规定：</w:t>
            </w:r>
            <w:r>
              <w:rPr>
                <w:rFonts w:hint="eastAsia" w:cs="宋体"/>
                <w:color w:val="000000"/>
                <w:sz w:val="18"/>
                <w:szCs w:val="18"/>
                <w:lang w:val="en-US" w:eastAsia="zh-CN"/>
              </w:rPr>
              <w:t>省</w:t>
            </w:r>
            <w:r>
              <w:rPr>
                <w:rFonts w:hint="eastAsia" w:ascii="宋体" w:hAnsi="宋体" w:eastAsia="宋体" w:cs="宋体"/>
                <w:color w:val="000000"/>
                <w:sz w:val="18"/>
                <w:szCs w:val="18"/>
              </w:rPr>
              <w:t>市县财政</w:t>
            </w:r>
            <w:r>
              <w:rPr>
                <w:rFonts w:hint="eastAsia" w:cs="宋体"/>
                <w:color w:val="000000"/>
                <w:sz w:val="18"/>
                <w:szCs w:val="18"/>
                <w:lang w:val="en-US" w:eastAsia="zh-CN"/>
              </w:rPr>
              <w:t>配套资金不低于2250元/亩</w:t>
            </w:r>
            <w:r>
              <w:rPr>
                <w:rFonts w:hint="eastAsia" w:ascii="宋体" w:hAnsi="宋体" w:eastAsia="宋体" w:cs="宋体"/>
                <w:color w:val="000000"/>
                <w:sz w:val="18"/>
                <w:szCs w:val="18"/>
              </w:rPr>
              <w:t>（1分）；合作社、种粮大户</w:t>
            </w:r>
            <w:r>
              <w:rPr>
                <w:rFonts w:hint="eastAsia" w:cs="宋体"/>
                <w:color w:val="000000"/>
                <w:sz w:val="18"/>
                <w:szCs w:val="18"/>
                <w:lang w:eastAsia="zh-CN"/>
              </w:rPr>
              <w:t>、</w:t>
            </w:r>
            <w:r>
              <w:rPr>
                <w:rFonts w:hint="eastAsia" w:ascii="宋体" w:hAnsi="宋体" w:eastAsia="宋体" w:cs="宋体"/>
                <w:color w:val="000000"/>
                <w:sz w:val="18"/>
                <w:szCs w:val="18"/>
              </w:rPr>
              <w:t>家庭农场</w:t>
            </w:r>
            <w:r>
              <w:rPr>
                <w:rFonts w:hint="eastAsia" w:cs="宋体"/>
                <w:color w:val="000000"/>
                <w:sz w:val="18"/>
                <w:szCs w:val="18"/>
                <w:lang w:eastAsia="zh-CN"/>
              </w:rPr>
              <w:t>、</w:t>
            </w:r>
            <w:r>
              <w:rPr>
                <w:rFonts w:hint="eastAsia" w:ascii="宋体" w:hAnsi="宋体" w:eastAsia="宋体" w:cs="宋体"/>
                <w:color w:val="000000"/>
                <w:sz w:val="18"/>
                <w:szCs w:val="18"/>
              </w:rPr>
              <w:t>龙头企业</w:t>
            </w:r>
            <w:r>
              <w:rPr>
                <w:rFonts w:hint="eastAsia" w:cs="宋体"/>
                <w:color w:val="000000"/>
                <w:sz w:val="18"/>
                <w:szCs w:val="18"/>
                <w:lang w:val="en-US" w:eastAsia="zh-CN"/>
              </w:rPr>
              <w:t>等配套资金不低于750元/亩</w:t>
            </w:r>
            <w:r>
              <w:rPr>
                <w:rFonts w:hint="eastAsia" w:ascii="宋体" w:hAnsi="宋体" w:eastAsia="宋体" w:cs="宋体"/>
                <w:color w:val="000000"/>
                <w:sz w:val="18"/>
                <w:szCs w:val="18"/>
              </w:rPr>
              <w:t>（1分）；资金来源可靠（2分）。</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评分标准：</w:t>
            </w:r>
          </w:p>
          <w:p>
            <w:pPr>
              <w:pStyle w:val="15"/>
              <w:numPr>
                <w:ilvl w:val="0"/>
                <w:numId w:val="11"/>
              </w:numPr>
              <w:tabs>
                <w:tab w:val="left" w:pos="187"/>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财政资金比例不符合规定，扣1分。</w:t>
            </w:r>
          </w:p>
          <w:p>
            <w:pPr>
              <w:pStyle w:val="15"/>
              <w:numPr>
                <w:ilvl w:val="0"/>
                <w:numId w:val="11"/>
              </w:numPr>
              <w:tabs>
                <w:tab w:val="left" w:pos="216"/>
              </w:tabs>
              <w:spacing w:line="240" w:lineRule="auto"/>
              <w:rPr>
                <w:rFonts w:hint="eastAsia" w:ascii="宋体" w:hAnsi="宋体" w:eastAsia="宋体" w:cs="宋体"/>
                <w:color w:val="000000"/>
                <w:sz w:val="18"/>
                <w:szCs w:val="18"/>
              </w:rPr>
            </w:pPr>
            <w:r>
              <w:rPr>
                <w:rFonts w:hint="eastAsia" w:cs="宋体"/>
                <w:color w:val="000000"/>
                <w:sz w:val="18"/>
                <w:szCs w:val="18"/>
                <w:lang w:val="en-US" w:eastAsia="zh-CN"/>
              </w:rPr>
              <w:t>配套</w:t>
            </w:r>
            <w:r>
              <w:rPr>
                <w:rFonts w:hint="eastAsia" w:ascii="宋体" w:hAnsi="宋体" w:eastAsia="宋体" w:cs="宋体"/>
                <w:color w:val="000000"/>
                <w:sz w:val="18"/>
                <w:szCs w:val="18"/>
              </w:rPr>
              <w:t>资金比例不符合规定，扣1分。</w:t>
            </w:r>
          </w:p>
          <w:p>
            <w:pPr>
              <w:pStyle w:val="15"/>
              <w:numPr>
                <w:ilvl w:val="0"/>
                <w:numId w:val="11"/>
              </w:numPr>
              <w:tabs>
                <w:tab w:val="left" w:pos="211"/>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申报材料缺少市县财政资金承诺函，扣1分。</w:t>
            </w:r>
          </w:p>
          <w:p>
            <w:pPr>
              <w:pStyle w:val="15"/>
              <w:numPr>
                <w:ilvl w:val="0"/>
                <w:numId w:val="11"/>
              </w:numPr>
              <w:tabs>
                <w:tab w:val="left" w:pos="211"/>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申报材料缺少</w:t>
            </w:r>
            <w:r>
              <w:rPr>
                <w:rFonts w:hint="eastAsia" w:cs="宋体"/>
                <w:color w:val="000000"/>
                <w:sz w:val="18"/>
                <w:szCs w:val="18"/>
                <w:lang w:val="en-US" w:eastAsia="zh-CN"/>
              </w:rPr>
              <w:t>配套</w:t>
            </w:r>
            <w:r>
              <w:rPr>
                <w:rFonts w:hint="eastAsia" w:ascii="宋体" w:hAnsi="宋体" w:eastAsia="宋体" w:cs="宋体"/>
                <w:color w:val="000000"/>
                <w:sz w:val="18"/>
                <w:szCs w:val="18"/>
              </w:rPr>
              <w:t>资金来源证明，扣1分。</w:t>
            </w:r>
          </w:p>
        </w:tc>
        <w:tc>
          <w:tcPr>
            <w:tcW w:w="1559"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宋体" w:hAnsi="宋体" w:eastAsia="宋体" w:cs="宋体"/>
                <w:sz w:val="18"/>
                <w:szCs w:val="18"/>
              </w:rPr>
            </w:pPr>
          </w:p>
        </w:tc>
        <w:tc>
          <w:tcPr>
            <w:tcW w:w="716"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每亩财政投资标准</w:t>
            </w:r>
          </w:p>
        </w:tc>
        <w:tc>
          <w:tcPr>
            <w:tcW w:w="428" w:type="dxa"/>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5954" w:type="dxa"/>
            <w:gridSpan w:val="4"/>
            <w:shd w:val="clear" w:color="auto" w:fill="FFFFFF"/>
            <w:vAlign w:val="center"/>
          </w:tcPr>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亩</w:t>
            </w:r>
            <w:r>
              <w:rPr>
                <w:rFonts w:hint="eastAsia" w:cs="宋体"/>
                <w:color w:val="000000"/>
                <w:sz w:val="18"/>
                <w:szCs w:val="18"/>
                <w:lang w:eastAsia="zh-CN"/>
              </w:rPr>
              <w:t>均</w:t>
            </w:r>
            <w:r>
              <w:rPr>
                <w:rFonts w:hint="eastAsia" w:ascii="宋体" w:hAnsi="宋体" w:eastAsia="宋体" w:cs="宋体"/>
                <w:color w:val="000000"/>
                <w:sz w:val="18"/>
                <w:szCs w:val="18"/>
              </w:rPr>
              <w:t>财政投资标准</w:t>
            </w:r>
            <w:r>
              <w:rPr>
                <w:rFonts w:hint="eastAsia" w:cs="宋体"/>
                <w:color w:val="000000"/>
                <w:sz w:val="18"/>
                <w:szCs w:val="18"/>
                <w:lang w:eastAsia="zh-CN"/>
              </w:rPr>
              <w:t>不低于</w:t>
            </w:r>
            <w:r>
              <w:rPr>
                <w:rFonts w:hint="eastAsia" w:cs="宋体"/>
                <w:color w:val="000000"/>
                <w:sz w:val="18"/>
                <w:szCs w:val="18"/>
                <w:lang w:val="en-US" w:eastAsia="zh-CN"/>
              </w:rPr>
              <w:t>3000</w:t>
            </w:r>
            <w:r>
              <w:rPr>
                <w:rFonts w:hint="eastAsia" w:ascii="宋体" w:hAnsi="宋体" w:eastAsia="宋体" w:cs="宋体"/>
                <w:color w:val="000000"/>
                <w:sz w:val="18"/>
                <w:szCs w:val="18"/>
              </w:rPr>
              <w:t>元</w:t>
            </w:r>
            <w:r>
              <w:rPr>
                <w:rFonts w:hint="eastAsia" w:cs="宋体"/>
                <w:color w:val="000000"/>
                <w:sz w:val="18"/>
                <w:szCs w:val="18"/>
                <w:lang w:eastAsia="zh-CN"/>
              </w:rPr>
              <w:t>。</w:t>
            </w:r>
            <w:r>
              <w:rPr>
                <w:rFonts w:hint="eastAsia" w:ascii="宋体" w:hAnsi="宋体" w:eastAsia="宋体" w:cs="宋体"/>
                <w:color w:val="000000"/>
                <w:sz w:val="18"/>
                <w:szCs w:val="18"/>
              </w:rPr>
              <w:t>（2分）。</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评分标准：</w:t>
            </w:r>
          </w:p>
          <w:p>
            <w:pPr>
              <w:pStyle w:val="15"/>
              <w:numPr>
                <w:ilvl w:val="0"/>
                <w:numId w:val="12"/>
              </w:num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亩</w:t>
            </w:r>
            <w:r>
              <w:rPr>
                <w:rFonts w:hint="eastAsia" w:cs="宋体"/>
                <w:color w:val="000000"/>
                <w:sz w:val="18"/>
                <w:szCs w:val="18"/>
                <w:lang w:eastAsia="zh-CN"/>
              </w:rPr>
              <w:t>均</w:t>
            </w:r>
            <w:r>
              <w:rPr>
                <w:rFonts w:hint="eastAsia" w:ascii="宋体" w:hAnsi="宋体" w:eastAsia="宋体" w:cs="宋体"/>
                <w:color w:val="000000"/>
                <w:sz w:val="18"/>
                <w:szCs w:val="18"/>
              </w:rPr>
              <w:t>财政投资标准</w:t>
            </w:r>
            <w:r>
              <w:rPr>
                <w:rFonts w:hint="eastAsia" w:cs="宋体"/>
                <w:color w:val="000000"/>
                <w:sz w:val="18"/>
                <w:szCs w:val="18"/>
                <w:lang w:val="en-US" w:eastAsia="zh-CN"/>
              </w:rPr>
              <w:t>低于2250</w:t>
            </w:r>
            <w:r>
              <w:rPr>
                <w:rFonts w:hint="eastAsia" w:ascii="宋体" w:hAnsi="宋体" w:eastAsia="宋体" w:cs="宋体"/>
                <w:color w:val="000000"/>
                <w:sz w:val="18"/>
                <w:szCs w:val="18"/>
              </w:rPr>
              <w:t>元，扣2分。</w:t>
            </w:r>
          </w:p>
          <w:p>
            <w:pPr>
              <w:pStyle w:val="15"/>
              <w:numPr>
                <w:ilvl w:val="0"/>
                <w:numId w:val="12"/>
              </w:num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亩</w:t>
            </w:r>
            <w:r>
              <w:rPr>
                <w:rFonts w:hint="eastAsia" w:cs="宋体"/>
                <w:color w:val="000000"/>
                <w:sz w:val="18"/>
                <w:szCs w:val="18"/>
                <w:lang w:eastAsia="zh-CN"/>
              </w:rPr>
              <w:t>均</w:t>
            </w:r>
            <w:r>
              <w:rPr>
                <w:rFonts w:hint="eastAsia" w:ascii="宋体" w:hAnsi="宋体" w:eastAsia="宋体" w:cs="宋体"/>
                <w:color w:val="000000"/>
                <w:sz w:val="18"/>
                <w:szCs w:val="18"/>
              </w:rPr>
              <w:t>财政投资标准</w:t>
            </w:r>
            <w:r>
              <w:rPr>
                <w:rFonts w:hint="eastAsia" w:cs="宋体"/>
                <w:color w:val="000000"/>
                <w:sz w:val="18"/>
                <w:szCs w:val="18"/>
                <w:lang w:val="en-US" w:eastAsia="zh-CN"/>
              </w:rPr>
              <w:t>为2250至3000元</w:t>
            </w:r>
            <w:r>
              <w:rPr>
                <w:rFonts w:hint="eastAsia" w:ascii="宋体" w:hAnsi="宋体" w:eastAsia="宋体" w:cs="宋体"/>
                <w:color w:val="000000"/>
                <w:sz w:val="18"/>
                <w:szCs w:val="18"/>
              </w:rPr>
              <w:t>，</w:t>
            </w:r>
            <w:r>
              <w:rPr>
                <w:rFonts w:hint="eastAsia" w:cs="宋体"/>
                <w:color w:val="000000"/>
                <w:sz w:val="18"/>
                <w:szCs w:val="18"/>
                <w:lang w:eastAsia="zh-CN"/>
              </w:rPr>
              <w:t>视情况减分</w:t>
            </w:r>
            <w:r>
              <w:rPr>
                <w:rFonts w:hint="eastAsia" w:ascii="宋体" w:hAnsi="宋体" w:eastAsia="宋体" w:cs="宋体"/>
                <w:color w:val="000000"/>
                <w:sz w:val="18"/>
                <w:szCs w:val="18"/>
              </w:rPr>
              <w:t>。</w:t>
            </w:r>
          </w:p>
          <w:p>
            <w:pPr>
              <w:pStyle w:val="15"/>
              <w:numPr>
                <w:ilvl w:val="0"/>
                <w:numId w:val="12"/>
              </w:num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亩</w:t>
            </w:r>
            <w:r>
              <w:rPr>
                <w:rFonts w:hint="eastAsia" w:cs="宋体"/>
                <w:color w:val="000000"/>
                <w:sz w:val="18"/>
                <w:szCs w:val="18"/>
                <w:lang w:eastAsia="zh-CN"/>
              </w:rPr>
              <w:t>均</w:t>
            </w:r>
            <w:r>
              <w:rPr>
                <w:rFonts w:hint="eastAsia" w:ascii="宋体" w:hAnsi="宋体" w:eastAsia="宋体" w:cs="宋体"/>
                <w:color w:val="000000"/>
                <w:sz w:val="18"/>
                <w:szCs w:val="18"/>
              </w:rPr>
              <w:t>财政投资标</w:t>
            </w:r>
            <w:r>
              <w:rPr>
                <w:rFonts w:hint="eastAsia" w:cs="宋体"/>
                <w:color w:val="000000"/>
                <w:sz w:val="18"/>
                <w:szCs w:val="18"/>
                <w:lang w:eastAsia="zh-CN"/>
              </w:rPr>
              <w:t>准超</w:t>
            </w:r>
            <w:r>
              <w:rPr>
                <w:rFonts w:hint="eastAsia" w:cs="宋体"/>
                <w:color w:val="000000"/>
                <w:sz w:val="18"/>
                <w:szCs w:val="18"/>
                <w:lang w:val="en-US" w:eastAsia="zh-CN"/>
              </w:rPr>
              <w:t>3000元的，视情况奖励分，奖励分不超过1分。</w:t>
            </w:r>
          </w:p>
        </w:tc>
        <w:tc>
          <w:tcPr>
            <w:tcW w:w="1559"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lang w:eastAsia="zh-CN"/>
              </w:rPr>
            </w:pPr>
          </w:p>
        </w:tc>
        <w:tc>
          <w:tcPr>
            <w:tcW w:w="560" w:type="dxa"/>
            <w:shd w:val="clear" w:color="auto" w:fill="FFFFFF"/>
            <w:vAlign w:val="center"/>
          </w:tcPr>
          <w:p>
            <w:pPr>
              <w:pStyle w:val="15"/>
              <w:spacing w:line="240" w:lineRule="auto"/>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宋体" w:hAnsi="宋体" w:eastAsia="宋体" w:cs="宋体"/>
                <w:sz w:val="18"/>
                <w:szCs w:val="18"/>
              </w:rPr>
            </w:pPr>
          </w:p>
        </w:tc>
        <w:tc>
          <w:tcPr>
            <w:tcW w:w="716"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资金投向</w:t>
            </w:r>
          </w:p>
        </w:tc>
        <w:tc>
          <w:tcPr>
            <w:tcW w:w="428" w:type="dxa"/>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5954" w:type="dxa"/>
            <w:gridSpan w:val="4"/>
            <w:shd w:val="clear" w:color="auto" w:fill="FFFFFF"/>
            <w:vAlign w:val="center"/>
          </w:tcPr>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资金投向坚持以农田水利为重点，合理确定具体工程措施和投入比重（2分），资金投向和比例合理（2分）。</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评分标准：</w:t>
            </w:r>
          </w:p>
          <w:p>
            <w:pPr>
              <w:pStyle w:val="15"/>
              <w:numPr>
                <w:ilvl w:val="0"/>
                <w:numId w:val="13"/>
              </w:numPr>
              <w:tabs>
                <w:tab w:val="left" w:pos="192"/>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未体现以水利为重点，扣1分；具体措施投入比例不合理，扣1分。</w:t>
            </w:r>
          </w:p>
          <w:p>
            <w:pPr>
              <w:pStyle w:val="15"/>
              <w:numPr>
                <w:ilvl w:val="0"/>
                <w:numId w:val="13"/>
              </w:numPr>
              <w:tabs>
                <w:tab w:val="left" w:pos="182"/>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机耕路建设投入比例超过总投资40%,扣1分。</w:t>
            </w:r>
          </w:p>
          <w:p>
            <w:pPr>
              <w:pStyle w:val="15"/>
              <w:numPr>
                <w:ilvl w:val="0"/>
                <w:numId w:val="13"/>
              </w:numPr>
              <w:tabs>
                <w:tab w:val="left" w:pos="192"/>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安排农机具购置补助资金，扣1分。</w:t>
            </w:r>
          </w:p>
        </w:tc>
        <w:tc>
          <w:tcPr>
            <w:tcW w:w="1559" w:type="dxa"/>
            <w:gridSpan w:val="2"/>
            <w:shd w:val="clear" w:color="auto" w:fill="FFFFFF"/>
            <w:vAlign w:val="center"/>
          </w:tcPr>
          <w:p>
            <w:pPr>
              <w:pStyle w:val="15"/>
              <w:spacing w:line="240" w:lineRule="auto"/>
              <w:rPr>
                <w:rFonts w:hint="eastAsia" w:ascii="宋体" w:hAnsi="宋体" w:eastAsia="宋体" w:cs="宋体"/>
                <w:color w:val="000000"/>
                <w:sz w:val="18"/>
                <w:szCs w:val="18"/>
                <w:lang w:eastAsia="zh-CN"/>
              </w:rPr>
            </w:pPr>
          </w:p>
        </w:tc>
        <w:tc>
          <w:tcPr>
            <w:tcW w:w="560" w:type="dxa"/>
            <w:shd w:val="clear" w:color="auto" w:fill="FFFFFF"/>
            <w:vAlign w:val="center"/>
          </w:tcPr>
          <w:p>
            <w:pPr>
              <w:pStyle w:val="15"/>
              <w:spacing w:line="240" w:lineRule="auto"/>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宋体" w:hAnsi="宋体" w:eastAsia="宋体" w:cs="宋体"/>
                <w:sz w:val="18"/>
                <w:szCs w:val="18"/>
              </w:rPr>
            </w:pPr>
          </w:p>
        </w:tc>
        <w:tc>
          <w:tcPr>
            <w:tcW w:w="716"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造价估算</w:t>
            </w:r>
          </w:p>
        </w:tc>
        <w:tc>
          <w:tcPr>
            <w:tcW w:w="428" w:type="dxa"/>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5954" w:type="dxa"/>
            <w:gridSpan w:val="4"/>
            <w:shd w:val="clear" w:color="auto" w:fill="FFFFFF"/>
            <w:vAlign w:val="center"/>
          </w:tcPr>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总造价合理（2分），各单项工程量明晰、造价合理（3分），投资估算编制依据充分、合理（3分）。评分标准：</w:t>
            </w:r>
          </w:p>
          <w:p>
            <w:pPr>
              <w:pStyle w:val="15"/>
              <w:numPr>
                <w:ilvl w:val="0"/>
                <w:numId w:val="14"/>
              </w:numPr>
              <w:tabs>
                <w:tab w:val="left" w:pos="187"/>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总造价存在部分不合理情况，扣1分。</w:t>
            </w:r>
          </w:p>
          <w:p>
            <w:pPr>
              <w:pStyle w:val="15"/>
              <w:numPr>
                <w:ilvl w:val="0"/>
                <w:numId w:val="14"/>
              </w:numPr>
              <w:tabs>
                <w:tab w:val="left" w:pos="192"/>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单项工程存在工程量不清晰及造价不合理情况，每项扣0.5分。</w:t>
            </w:r>
          </w:p>
          <w:p>
            <w:pPr>
              <w:pStyle w:val="15"/>
              <w:numPr>
                <w:ilvl w:val="0"/>
                <w:numId w:val="14"/>
              </w:numPr>
              <w:tabs>
                <w:tab w:val="left" w:pos="192"/>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单项工程投资估算依据不充分、不合理或无计算过程，每项扣0.5分。</w:t>
            </w:r>
          </w:p>
        </w:tc>
        <w:tc>
          <w:tcPr>
            <w:tcW w:w="1559"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宋体" w:hAnsi="宋体" w:eastAsia="宋体" w:cs="宋体"/>
                <w:sz w:val="18"/>
                <w:szCs w:val="18"/>
              </w:rPr>
            </w:pPr>
          </w:p>
        </w:tc>
        <w:tc>
          <w:tcPr>
            <w:tcW w:w="716"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取费标准</w:t>
            </w:r>
          </w:p>
        </w:tc>
        <w:tc>
          <w:tcPr>
            <w:tcW w:w="428" w:type="dxa"/>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5954" w:type="dxa"/>
            <w:gridSpan w:val="4"/>
            <w:shd w:val="clear" w:color="auto" w:fill="FFFFFF"/>
            <w:vAlign w:val="center"/>
          </w:tcPr>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科技推广费（</w:t>
            </w:r>
            <w:r>
              <w:rPr>
                <w:rFonts w:hint="eastAsia" w:cs="宋体"/>
                <w:color w:val="000000"/>
                <w:sz w:val="18"/>
                <w:szCs w:val="18"/>
                <w:lang w:val="en-US" w:eastAsia="zh-CN"/>
              </w:rPr>
              <w:t>1</w:t>
            </w:r>
            <w:r>
              <w:rPr>
                <w:rFonts w:hint="eastAsia" w:ascii="宋体" w:hAnsi="宋体" w:eastAsia="宋体" w:cs="宋体"/>
                <w:color w:val="000000"/>
                <w:sz w:val="18"/>
                <w:szCs w:val="18"/>
              </w:rPr>
              <w:t>分）：按项目财政投资的5%控制使用；使用范围包括生产资料费、培训费、检测化验费、差旅费和劳务费，不得用于购买办公用品和补充机构事业费等非科技推广用途。</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项目管理费（2分）：项目财政投资500万元以下的按3.5%提取；1000万元以下超过500万元的部分按1.5%提取，超过1000万元以上的部分按0.5%提取，主要用于一般工程初步设计、实地勘测、检查验收、业务培训、招标、公示等支出，不得用于人员工资、补贴、车辆购置等行政经费支出。</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工程管护费（1分）：财政投资的1%列支。</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建设监理费（1分）：项目财政投资额的2%控制使用，据实列支并纳入工程成本。</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勘察设计费（1分）：在项目财政投资额的5%范围内计提，据实列支并纳入工程成本。</w:t>
            </w:r>
          </w:p>
          <w:p>
            <w:pPr>
              <w:pStyle w:val="15"/>
              <w:spacing w:line="240" w:lineRule="auto"/>
              <w:rPr>
                <w:rFonts w:hint="default" w:ascii="宋体" w:hAnsi="宋体" w:eastAsia="宋体" w:cs="宋体"/>
                <w:color w:val="000000"/>
                <w:sz w:val="18"/>
                <w:szCs w:val="18"/>
                <w:lang w:val="en-US" w:eastAsia="zh-CN"/>
              </w:rPr>
            </w:pPr>
            <w:r>
              <w:rPr>
                <w:rFonts w:hint="eastAsia" w:cs="宋体"/>
                <w:color w:val="000000"/>
                <w:sz w:val="18"/>
                <w:szCs w:val="18"/>
                <w:lang w:val="en-US" w:eastAsia="zh-CN"/>
              </w:rPr>
              <w:t>耕地质量监测费（1分）：</w:t>
            </w:r>
            <w:r>
              <w:rPr>
                <w:rFonts w:hint="eastAsia" w:ascii="宋体" w:hAnsi="宋体" w:eastAsia="宋体" w:cs="宋体"/>
                <w:color w:val="000000"/>
                <w:sz w:val="18"/>
                <w:szCs w:val="18"/>
              </w:rPr>
              <w:t>在项目财政投资额的</w:t>
            </w:r>
            <w:r>
              <w:rPr>
                <w:rFonts w:hint="eastAsia" w:cs="宋体"/>
                <w:color w:val="000000"/>
                <w:sz w:val="18"/>
                <w:szCs w:val="18"/>
                <w:lang w:val="en-US" w:eastAsia="zh-CN"/>
              </w:rPr>
              <w:t>2</w:t>
            </w:r>
            <w:r>
              <w:rPr>
                <w:rFonts w:hint="eastAsia" w:ascii="宋体" w:hAnsi="宋体" w:eastAsia="宋体" w:cs="宋体"/>
                <w:color w:val="000000"/>
                <w:sz w:val="18"/>
                <w:szCs w:val="18"/>
              </w:rPr>
              <w:t>%范围内计提，据实列支并纳入工程成本。</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评分标准：</w:t>
            </w:r>
          </w:p>
          <w:p>
            <w:pPr>
              <w:pStyle w:val="15"/>
              <w:numPr>
                <w:ilvl w:val="0"/>
                <w:numId w:val="15"/>
              </w:numPr>
              <w:spacing w:line="240" w:lineRule="auto"/>
              <w:ind w:left="0" w:firstLine="0"/>
              <w:rPr>
                <w:rFonts w:hint="eastAsia" w:ascii="宋体" w:hAnsi="宋体" w:eastAsia="宋体" w:cs="宋体"/>
                <w:color w:val="000000"/>
                <w:sz w:val="18"/>
                <w:szCs w:val="18"/>
              </w:rPr>
            </w:pPr>
            <w:r>
              <w:rPr>
                <w:rFonts w:hint="eastAsia" w:ascii="宋体" w:hAnsi="宋体" w:eastAsia="宋体" w:cs="宋体"/>
                <w:color w:val="000000"/>
                <w:sz w:val="18"/>
                <w:szCs w:val="18"/>
              </w:rPr>
              <w:t>取费标准及使用范围不符合规定，酌情扣分。</w:t>
            </w:r>
          </w:p>
        </w:tc>
        <w:tc>
          <w:tcPr>
            <w:tcW w:w="1559"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lang w:eastAsia="zh-CN"/>
              </w:rPr>
            </w:pPr>
          </w:p>
        </w:tc>
        <w:tc>
          <w:tcPr>
            <w:tcW w:w="560" w:type="dxa"/>
            <w:shd w:val="clear" w:color="auto" w:fill="FFFFFF"/>
            <w:vAlign w:val="center"/>
          </w:tcPr>
          <w:p>
            <w:pPr>
              <w:pStyle w:val="15"/>
              <w:spacing w:line="240" w:lineRule="auto"/>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restart"/>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申报材料（25）</w:t>
            </w:r>
          </w:p>
        </w:tc>
        <w:tc>
          <w:tcPr>
            <w:tcW w:w="70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完整性和规范性</w:t>
            </w:r>
          </w:p>
        </w:tc>
        <w:tc>
          <w:tcPr>
            <w:tcW w:w="42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6</w:t>
            </w:r>
          </w:p>
        </w:tc>
        <w:tc>
          <w:tcPr>
            <w:tcW w:w="5954" w:type="dxa"/>
            <w:gridSpan w:val="4"/>
            <w:shd w:val="clear" w:color="auto" w:fill="FFFFFF"/>
          </w:tcPr>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格式符合《农田建设项目管理实施办法》中的编写要求（3分），内容完整、思路清晰、逻辑关系严密（3分）。</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评分标准：</w:t>
            </w:r>
          </w:p>
          <w:p>
            <w:pPr>
              <w:pStyle w:val="15"/>
              <w:numPr>
                <w:ilvl w:val="0"/>
                <w:numId w:val="16"/>
              </w:numPr>
              <w:tabs>
                <w:tab w:val="left" w:pos="182"/>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缺少章节或关键内容的每处扣1分。</w:t>
            </w:r>
          </w:p>
          <w:p>
            <w:pPr>
              <w:pStyle w:val="15"/>
              <w:numPr>
                <w:ilvl w:val="0"/>
                <w:numId w:val="16"/>
              </w:numPr>
              <w:tabs>
                <w:tab w:val="left" w:pos="187"/>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存在其他问题的每处扣</w:t>
            </w:r>
            <w:r>
              <w:rPr>
                <w:rFonts w:hint="eastAsia" w:ascii="宋体" w:hAnsi="宋体" w:eastAsia="宋体" w:cs="宋体"/>
                <w:color w:val="000000"/>
                <w:sz w:val="18"/>
                <w:szCs w:val="18"/>
                <w:lang w:val="en-US" w:eastAsia="zh-CN" w:bidi="en-US"/>
              </w:rPr>
              <w:t>0.</w:t>
            </w:r>
            <w:r>
              <w:rPr>
                <w:rFonts w:hint="eastAsia" w:ascii="宋体" w:hAnsi="宋体" w:eastAsia="宋体" w:cs="宋体"/>
                <w:color w:val="000000"/>
                <w:sz w:val="18"/>
                <w:szCs w:val="18"/>
              </w:rPr>
              <w:t>5分。</w:t>
            </w:r>
          </w:p>
        </w:tc>
        <w:tc>
          <w:tcPr>
            <w:tcW w:w="1559"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continue"/>
            <w:shd w:val="clear" w:color="auto" w:fill="FFFFFF"/>
            <w:vAlign w:val="center"/>
          </w:tcPr>
          <w:p>
            <w:pPr>
              <w:jc w:val="center"/>
              <w:rPr>
                <w:rFonts w:hint="eastAsia" w:ascii="宋体" w:hAnsi="宋体" w:eastAsia="宋体" w:cs="宋体"/>
                <w:sz w:val="18"/>
                <w:szCs w:val="18"/>
              </w:rPr>
            </w:pPr>
          </w:p>
        </w:tc>
        <w:tc>
          <w:tcPr>
            <w:tcW w:w="70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客观相符性</w:t>
            </w:r>
          </w:p>
        </w:tc>
        <w:tc>
          <w:tcPr>
            <w:tcW w:w="42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5</w:t>
            </w:r>
          </w:p>
        </w:tc>
        <w:tc>
          <w:tcPr>
            <w:tcW w:w="5954" w:type="dxa"/>
            <w:gridSpan w:val="4"/>
            <w:shd w:val="clear" w:color="auto" w:fill="FFFFFF"/>
            <w:vAlign w:val="center"/>
          </w:tcPr>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申报材料描述内容与客观实际一致（2分），现有工程及设施情况与现状图一致（3分）。</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评分标准：</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①存在个别不一致情况，每处扣1分。</w:t>
            </w:r>
          </w:p>
        </w:tc>
        <w:tc>
          <w:tcPr>
            <w:tcW w:w="1559" w:type="dxa"/>
            <w:gridSpan w:val="2"/>
            <w:shd w:val="clear" w:color="auto" w:fill="FFFFFF"/>
          </w:tcPr>
          <w:p>
            <w:pPr>
              <w:jc w:val="center"/>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continue"/>
            <w:shd w:val="clear" w:color="auto" w:fill="FFFFFF"/>
            <w:vAlign w:val="center"/>
          </w:tcPr>
          <w:p>
            <w:pPr>
              <w:jc w:val="center"/>
              <w:rPr>
                <w:rFonts w:hint="eastAsia" w:ascii="宋体" w:hAnsi="宋体" w:eastAsia="宋体" w:cs="宋体"/>
                <w:sz w:val="18"/>
                <w:szCs w:val="18"/>
              </w:rPr>
            </w:pPr>
          </w:p>
        </w:tc>
        <w:tc>
          <w:tcPr>
            <w:tcW w:w="70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图纸完整性和规范性</w:t>
            </w:r>
          </w:p>
        </w:tc>
        <w:tc>
          <w:tcPr>
            <w:tcW w:w="42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8</w:t>
            </w:r>
          </w:p>
        </w:tc>
        <w:tc>
          <w:tcPr>
            <w:tcW w:w="5954" w:type="dxa"/>
            <w:gridSpan w:val="4"/>
            <w:shd w:val="clear" w:color="auto" w:fill="FFFFFF"/>
          </w:tcPr>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附图完</w:t>
            </w:r>
            <w:r>
              <w:rPr>
                <w:rFonts w:hint="eastAsia" w:cs="宋体"/>
                <w:color w:val="000000"/>
                <w:sz w:val="18"/>
                <w:szCs w:val="18"/>
                <w:lang w:val="en-US" w:eastAsia="zh-CN"/>
              </w:rPr>
              <w:t>整</w:t>
            </w:r>
            <w:r>
              <w:rPr>
                <w:rFonts w:hint="eastAsia" w:ascii="宋体" w:hAnsi="宋体" w:eastAsia="宋体" w:cs="宋体"/>
                <w:color w:val="000000"/>
                <w:sz w:val="18"/>
                <w:szCs w:val="18"/>
              </w:rPr>
              <w:t>，符合《农田建设项目管理实施办法》有关要求（4分），图纸规范，信息详实完整（4分）。</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评分标准：</w:t>
            </w:r>
          </w:p>
          <w:p>
            <w:pPr>
              <w:pStyle w:val="15"/>
              <w:numPr>
                <w:ilvl w:val="0"/>
                <w:numId w:val="17"/>
              </w:numPr>
              <w:tabs>
                <w:tab w:val="left" w:pos="187"/>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缺少现状图、规划布局图，以及未按1:2000比例绘制图纸的，每张扣1分。</w:t>
            </w:r>
          </w:p>
          <w:p>
            <w:pPr>
              <w:pStyle w:val="15"/>
              <w:numPr>
                <w:ilvl w:val="0"/>
                <w:numId w:val="17"/>
              </w:numPr>
              <w:tabs>
                <w:tab w:val="left" w:pos="187"/>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缺少单项工程设计图等，每张扣1分。</w:t>
            </w:r>
          </w:p>
          <w:p>
            <w:pPr>
              <w:pStyle w:val="15"/>
              <w:numPr>
                <w:ilvl w:val="0"/>
                <w:numId w:val="17"/>
              </w:numPr>
              <w:tabs>
                <w:tab w:val="left" w:pos="202"/>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图纸存在其他问题，每处扣</w:t>
            </w:r>
            <w:r>
              <w:rPr>
                <w:rFonts w:hint="eastAsia" w:ascii="宋体" w:hAnsi="宋体" w:eastAsia="宋体" w:cs="宋体"/>
                <w:color w:val="000000"/>
                <w:sz w:val="18"/>
                <w:szCs w:val="18"/>
                <w:lang w:val="en-US" w:eastAsia="zh-CN" w:bidi="en-US"/>
              </w:rPr>
              <w:t>0.5</w:t>
            </w:r>
            <w:r>
              <w:rPr>
                <w:rFonts w:hint="eastAsia" w:ascii="宋体" w:hAnsi="宋体" w:eastAsia="宋体" w:cs="宋体"/>
                <w:color w:val="000000"/>
                <w:sz w:val="18"/>
                <w:szCs w:val="18"/>
              </w:rPr>
              <w:t>分。</w:t>
            </w:r>
          </w:p>
        </w:tc>
        <w:tc>
          <w:tcPr>
            <w:tcW w:w="1559"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continue"/>
            <w:shd w:val="clear" w:color="auto" w:fill="FFFFFF"/>
            <w:vAlign w:val="center"/>
          </w:tcPr>
          <w:p>
            <w:pPr>
              <w:jc w:val="center"/>
              <w:rPr>
                <w:rFonts w:hint="eastAsia" w:ascii="宋体" w:hAnsi="宋体" w:eastAsia="宋体" w:cs="宋体"/>
                <w:sz w:val="18"/>
                <w:szCs w:val="18"/>
              </w:rPr>
            </w:pPr>
          </w:p>
        </w:tc>
        <w:tc>
          <w:tcPr>
            <w:tcW w:w="70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附件及附表完整性</w:t>
            </w:r>
          </w:p>
        </w:tc>
        <w:tc>
          <w:tcPr>
            <w:tcW w:w="42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6</w:t>
            </w:r>
          </w:p>
        </w:tc>
        <w:tc>
          <w:tcPr>
            <w:tcW w:w="5954" w:type="dxa"/>
            <w:gridSpan w:val="4"/>
            <w:shd w:val="clear" w:color="auto" w:fill="FFFFFF"/>
            <w:vAlign w:val="bottom"/>
          </w:tcPr>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附件及附表齐全，符合《广东省农业综合开发土地治理项目规划设计指南（试行）》有关要求（4分）， 与申报材料关联性强，内容完整、合理（2分）。评分标准：</w:t>
            </w:r>
          </w:p>
          <w:p>
            <w:pPr>
              <w:pStyle w:val="15"/>
              <w:numPr>
                <w:ilvl w:val="0"/>
                <w:numId w:val="18"/>
              </w:numPr>
              <w:tabs>
                <w:tab w:val="left" w:pos="187"/>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缺少重要附件及附表等，每张扣1分。</w:t>
            </w:r>
          </w:p>
          <w:p>
            <w:pPr>
              <w:pStyle w:val="15"/>
              <w:numPr>
                <w:ilvl w:val="0"/>
                <w:numId w:val="18"/>
              </w:numPr>
              <w:tabs>
                <w:tab w:val="left" w:pos="197"/>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附件及附表存在其他问题，每处扣</w:t>
            </w:r>
            <w:r>
              <w:rPr>
                <w:rFonts w:hint="eastAsia" w:ascii="宋体" w:hAnsi="宋体" w:eastAsia="宋体" w:cs="宋体"/>
                <w:color w:val="000000"/>
                <w:sz w:val="18"/>
                <w:szCs w:val="18"/>
                <w:lang w:val="en-US" w:eastAsia="zh-CN" w:bidi="en-US"/>
              </w:rPr>
              <w:t>0.5</w:t>
            </w:r>
            <w:r>
              <w:rPr>
                <w:rFonts w:hint="eastAsia" w:ascii="宋体" w:hAnsi="宋体" w:eastAsia="宋体" w:cs="宋体"/>
                <w:color w:val="000000"/>
                <w:sz w:val="18"/>
                <w:szCs w:val="18"/>
              </w:rPr>
              <w:t>分。</w:t>
            </w:r>
          </w:p>
        </w:tc>
        <w:tc>
          <w:tcPr>
            <w:tcW w:w="1559"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410" w:type="dxa"/>
            <w:gridSpan w:val="4"/>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其他情况</w:t>
            </w:r>
          </w:p>
        </w:tc>
        <w:tc>
          <w:tcPr>
            <w:tcW w:w="42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0</w:t>
            </w:r>
          </w:p>
        </w:tc>
        <w:tc>
          <w:tcPr>
            <w:tcW w:w="5954" w:type="dxa"/>
            <w:gridSpan w:val="4"/>
            <w:shd w:val="clear" w:color="auto" w:fill="FFFFFF"/>
            <w:vAlign w:val="center"/>
          </w:tcPr>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存在本表中未包括的其他问题。</w:t>
            </w:r>
          </w:p>
        </w:tc>
        <w:tc>
          <w:tcPr>
            <w:tcW w:w="1559" w:type="dxa"/>
            <w:gridSpan w:val="2"/>
            <w:shd w:val="clear" w:color="auto" w:fill="FFFFFF"/>
          </w:tcPr>
          <w:p>
            <w:pPr>
              <w:jc w:val="center"/>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8" w:hRule="atLeast"/>
          <w:jc w:val="center"/>
        </w:trPr>
        <w:tc>
          <w:tcPr>
            <w:tcW w:w="1410" w:type="dxa"/>
            <w:gridSpan w:val="4"/>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总分</w:t>
            </w:r>
          </w:p>
        </w:tc>
        <w:tc>
          <w:tcPr>
            <w:tcW w:w="7941" w:type="dxa"/>
            <w:gridSpan w:val="7"/>
            <w:shd w:val="clear" w:color="auto" w:fill="FFFFFF"/>
            <w:vAlign w:val="center"/>
          </w:tcPr>
          <w:p>
            <w:pPr>
              <w:pStyle w:val="15"/>
              <w:spacing w:line="240" w:lineRule="auto"/>
              <w:ind w:firstLine="720" w:firstLineChars="400"/>
              <w:jc w:val="both"/>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1" w:type="dxa"/>
            <w:vMerge w:val="restart"/>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评审</w:t>
            </w:r>
          </w:p>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专家</w:t>
            </w: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姓名</w:t>
            </w: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工作单位</w:t>
            </w: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专业</w:t>
            </w: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职称</w:t>
            </w: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联系电话</w:t>
            </w:r>
          </w:p>
        </w:tc>
        <w:tc>
          <w:tcPr>
            <w:tcW w:w="1836" w:type="dxa"/>
            <w:gridSpan w:val="2"/>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2" w:hRule="exact"/>
          <w:jc w:val="center"/>
        </w:trPr>
        <w:tc>
          <w:tcPr>
            <w:tcW w:w="421" w:type="dxa"/>
            <w:vMerge w:val="continue"/>
            <w:shd w:val="clear" w:color="auto" w:fill="FFFFFF"/>
            <w:vAlign w:val="center"/>
          </w:tcPr>
          <w:p>
            <w:pPr>
              <w:jc w:val="center"/>
              <w:rPr>
                <w:rFonts w:hint="eastAsia" w:ascii="宋体" w:hAnsi="宋体" w:eastAsia="宋体" w:cs="宋体"/>
                <w:sz w:val="18"/>
                <w:szCs w:val="18"/>
              </w:rPr>
            </w:pP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1836" w:type="dxa"/>
            <w:gridSpan w:val="2"/>
            <w:shd w:val="clear" w:color="auto" w:fill="FFFFFF"/>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5" w:hRule="exact"/>
          <w:jc w:val="center"/>
        </w:trPr>
        <w:tc>
          <w:tcPr>
            <w:tcW w:w="421" w:type="dxa"/>
            <w:vMerge w:val="continue"/>
            <w:shd w:val="clear" w:color="auto" w:fill="FFFFFF"/>
            <w:vAlign w:val="center"/>
          </w:tcPr>
          <w:p>
            <w:pPr>
              <w:jc w:val="center"/>
              <w:rPr>
                <w:rFonts w:hint="eastAsia" w:ascii="宋体" w:hAnsi="宋体" w:eastAsia="宋体" w:cs="宋体"/>
                <w:sz w:val="18"/>
                <w:szCs w:val="18"/>
              </w:rPr>
            </w:pP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1836"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1" w:hRule="exact"/>
          <w:jc w:val="center"/>
        </w:trPr>
        <w:tc>
          <w:tcPr>
            <w:tcW w:w="421" w:type="dxa"/>
            <w:vMerge w:val="continue"/>
            <w:shd w:val="clear" w:color="auto" w:fill="FFFFFF"/>
            <w:vAlign w:val="center"/>
          </w:tcPr>
          <w:p>
            <w:pPr>
              <w:jc w:val="center"/>
              <w:rPr>
                <w:rFonts w:hint="eastAsia" w:ascii="宋体" w:hAnsi="宋体" w:eastAsia="宋体" w:cs="宋体"/>
                <w:sz w:val="18"/>
                <w:szCs w:val="18"/>
              </w:rPr>
            </w:pP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1836" w:type="dxa"/>
            <w:gridSpan w:val="2"/>
            <w:shd w:val="clear" w:color="auto" w:fill="FFFFFF"/>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1" w:hRule="exact"/>
          <w:jc w:val="center"/>
        </w:trPr>
        <w:tc>
          <w:tcPr>
            <w:tcW w:w="421" w:type="dxa"/>
            <w:vMerge w:val="continue"/>
            <w:shd w:val="clear" w:color="auto" w:fill="FFFFFF"/>
            <w:vAlign w:val="center"/>
          </w:tcPr>
          <w:p>
            <w:pPr>
              <w:jc w:val="center"/>
              <w:rPr>
                <w:rFonts w:hint="eastAsia" w:ascii="宋体" w:hAnsi="宋体" w:eastAsia="宋体" w:cs="宋体"/>
                <w:sz w:val="18"/>
                <w:szCs w:val="18"/>
              </w:rPr>
            </w:pP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1836" w:type="dxa"/>
            <w:gridSpan w:val="2"/>
            <w:shd w:val="clear" w:color="auto" w:fill="FFFFFF"/>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9" w:hRule="exact"/>
          <w:jc w:val="center"/>
        </w:trPr>
        <w:tc>
          <w:tcPr>
            <w:tcW w:w="421" w:type="dxa"/>
            <w:vMerge w:val="continue"/>
            <w:shd w:val="clear" w:color="auto" w:fill="FFFFFF"/>
            <w:vAlign w:val="center"/>
          </w:tcPr>
          <w:p>
            <w:pPr>
              <w:jc w:val="center"/>
              <w:rPr>
                <w:rFonts w:hint="eastAsia" w:ascii="宋体" w:hAnsi="宋体" w:eastAsia="宋体" w:cs="宋体"/>
                <w:sz w:val="18"/>
                <w:szCs w:val="18"/>
              </w:rPr>
            </w:pP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1836" w:type="dxa"/>
            <w:gridSpan w:val="2"/>
            <w:shd w:val="clear" w:color="auto" w:fill="FFFFFF"/>
            <w:vAlign w:val="center"/>
          </w:tcPr>
          <w:p>
            <w:pPr>
              <w:jc w:val="center"/>
              <w:rPr>
                <w:rFonts w:hint="eastAsia" w:ascii="宋体" w:hAnsi="宋体" w:eastAsia="宋体" w:cs="宋体"/>
                <w:sz w:val="18"/>
                <w:szCs w:val="18"/>
              </w:rPr>
            </w:pPr>
          </w:p>
        </w:tc>
      </w:tr>
    </w:tbl>
    <w:p>
      <w:pPr>
        <w:rPr>
          <w:rFonts w:eastAsia="PMingLiU"/>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
    <w:nsid w:val="B5E306ED"/>
    <w:multiLevelType w:val="singleLevel"/>
    <w:tmpl w:val="B5E306ED"/>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2">
    <w:nsid w:val="BF205925"/>
    <w:multiLevelType w:val="singleLevel"/>
    <w:tmpl w:val="BF20592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3">
    <w:nsid w:val="C8879AEF"/>
    <w:multiLevelType w:val="singleLevel"/>
    <w:tmpl w:val="C8879AEF"/>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4">
    <w:nsid w:val="CF092B84"/>
    <w:multiLevelType w:val="singleLevel"/>
    <w:tmpl w:val="CF092B8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5">
    <w:nsid w:val="F4B5D9F5"/>
    <w:multiLevelType w:val="singleLevel"/>
    <w:tmpl w:val="F4B5D9F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6">
    <w:nsid w:val="0053208E"/>
    <w:multiLevelType w:val="singleLevel"/>
    <w:tmpl w:val="0053208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7">
    <w:nsid w:val="0248C179"/>
    <w:multiLevelType w:val="singleLevel"/>
    <w:tmpl w:val="0248C17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8">
    <w:nsid w:val="03D62ECE"/>
    <w:multiLevelType w:val="singleLevel"/>
    <w:tmpl w:val="03D62EC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9">
    <w:nsid w:val="06360191"/>
    <w:multiLevelType w:val="multilevel"/>
    <w:tmpl w:val="06360191"/>
    <w:lvl w:ilvl="0" w:tentative="0">
      <w:start w:val="1"/>
      <w:numFmt w:val="decimalEnclosedCircle"/>
      <w:lvlText w:val="%1"/>
      <w:lvlJc w:val="left"/>
      <w:pPr>
        <w:ind w:left="360" w:hanging="360"/>
      </w:pPr>
      <w:rPr>
        <w:rFonts w:hint="default"/>
        <w:sz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A04A9C"/>
    <w:multiLevelType w:val="multilevel"/>
    <w:tmpl w:val="0AA04A9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70EC97"/>
    <w:multiLevelType w:val="singleLevel"/>
    <w:tmpl w:val="2470EC97"/>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2">
    <w:nsid w:val="25B654F3"/>
    <w:multiLevelType w:val="singleLevel"/>
    <w:tmpl w:val="25B654F3"/>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3">
    <w:nsid w:val="2A8F537B"/>
    <w:multiLevelType w:val="singleLevel"/>
    <w:tmpl w:val="2A8F537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4">
    <w:nsid w:val="4D4DC07F"/>
    <w:multiLevelType w:val="singleLevel"/>
    <w:tmpl w:val="4D4DC07F"/>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5">
    <w:nsid w:val="59ADCABA"/>
    <w:multiLevelType w:val="singleLevel"/>
    <w:tmpl w:val="59ADCAB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6">
    <w:nsid w:val="5A241D34"/>
    <w:multiLevelType w:val="singleLevel"/>
    <w:tmpl w:val="5A241D3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7">
    <w:nsid w:val="72183CF9"/>
    <w:multiLevelType w:val="singleLevel"/>
    <w:tmpl w:val="72183CF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num w:numId="1">
    <w:abstractNumId w:val="6"/>
  </w:num>
  <w:num w:numId="2">
    <w:abstractNumId w:val="4"/>
  </w:num>
  <w:num w:numId="3">
    <w:abstractNumId w:val="15"/>
  </w:num>
  <w:num w:numId="4">
    <w:abstractNumId w:val="2"/>
  </w:num>
  <w:num w:numId="5">
    <w:abstractNumId w:val="1"/>
  </w:num>
  <w:num w:numId="6">
    <w:abstractNumId w:val="8"/>
  </w:num>
  <w:num w:numId="7">
    <w:abstractNumId w:val="12"/>
  </w:num>
  <w:num w:numId="8">
    <w:abstractNumId w:val="17"/>
  </w:num>
  <w:num w:numId="9">
    <w:abstractNumId w:val="7"/>
  </w:num>
  <w:num w:numId="10">
    <w:abstractNumId w:val="0"/>
  </w:num>
  <w:num w:numId="11">
    <w:abstractNumId w:val="13"/>
  </w:num>
  <w:num w:numId="12">
    <w:abstractNumId w:val="10"/>
  </w:num>
  <w:num w:numId="13">
    <w:abstractNumId w:val="16"/>
  </w:num>
  <w:num w:numId="14">
    <w:abstractNumId w:val="3"/>
  </w:num>
  <w:num w:numId="15">
    <w:abstractNumId w:val="9"/>
  </w:num>
  <w:num w:numId="16">
    <w:abstractNumId w:val="1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8E"/>
    <w:rsid w:val="00082907"/>
    <w:rsid w:val="000B180D"/>
    <w:rsid w:val="00136B0C"/>
    <w:rsid w:val="00180186"/>
    <w:rsid w:val="00203CE2"/>
    <w:rsid w:val="0029620F"/>
    <w:rsid w:val="003B5969"/>
    <w:rsid w:val="003E6408"/>
    <w:rsid w:val="004069DF"/>
    <w:rsid w:val="004671A6"/>
    <w:rsid w:val="00510EB1"/>
    <w:rsid w:val="00520C81"/>
    <w:rsid w:val="005229AC"/>
    <w:rsid w:val="00524408"/>
    <w:rsid w:val="0070358D"/>
    <w:rsid w:val="0078408F"/>
    <w:rsid w:val="00793FD6"/>
    <w:rsid w:val="00885C4A"/>
    <w:rsid w:val="0091346E"/>
    <w:rsid w:val="009B5C0F"/>
    <w:rsid w:val="00A67B95"/>
    <w:rsid w:val="00B03F0E"/>
    <w:rsid w:val="00BC1BA4"/>
    <w:rsid w:val="00BF6D66"/>
    <w:rsid w:val="00C11E8E"/>
    <w:rsid w:val="00E81209"/>
    <w:rsid w:val="00E83B4A"/>
    <w:rsid w:val="00ED0450"/>
    <w:rsid w:val="00F93158"/>
    <w:rsid w:val="00FB6384"/>
    <w:rsid w:val="00FD5107"/>
    <w:rsid w:val="0A094E46"/>
    <w:rsid w:val="0FF50122"/>
    <w:rsid w:val="177D21EE"/>
    <w:rsid w:val="47376B3B"/>
    <w:rsid w:val="5DE4127A"/>
    <w:rsid w:val="65E379B0"/>
    <w:rsid w:val="6CDA3AB4"/>
    <w:rsid w:val="7BE1075C"/>
    <w:rsid w:val="7DBA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Heading #1|1_"/>
    <w:basedOn w:val="8"/>
    <w:link w:val="11"/>
    <w:qFormat/>
    <w:uiPriority w:val="0"/>
    <w:rPr>
      <w:rFonts w:ascii="宋体" w:hAnsi="宋体" w:eastAsia="宋体" w:cs="宋体"/>
      <w:sz w:val="28"/>
      <w:szCs w:val="28"/>
      <w:lang w:val="zh-TW" w:eastAsia="zh-TW" w:bidi="zh-TW"/>
    </w:rPr>
  </w:style>
  <w:style w:type="paragraph" w:customStyle="1" w:styleId="11">
    <w:name w:val="Heading #1|1"/>
    <w:basedOn w:val="1"/>
    <w:link w:val="10"/>
    <w:qFormat/>
    <w:uiPriority w:val="0"/>
    <w:pPr>
      <w:spacing w:before="140" w:after="40"/>
      <w:jc w:val="center"/>
      <w:outlineLvl w:val="0"/>
    </w:pPr>
    <w:rPr>
      <w:rFonts w:ascii="宋体" w:hAnsi="宋体" w:eastAsia="宋体" w:cs="宋体"/>
      <w:sz w:val="28"/>
      <w:szCs w:val="28"/>
      <w:lang w:val="zh-TW" w:eastAsia="zh-TW" w:bidi="zh-TW"/>
    </w:rPr>
  </w:style>
  <w:style w:type="character" w:customStyle="1" w:styleId="12">
    <w:name w:val="Body text|1_"/>
    <w:basedOn w:val="8"/>
    <w:link w:val="13"/>
    <w:qFormat/>
    <w:uiPriority w:val="0"/>
    <w:rPr>
      <w:rFonts w:ascii="宋体" w:hAnsi="宋体" w:eastAsia="宋体" w:cs="宋体"/>
      <w:sz w:val="16"/>
      <w:szCs w:val="16"/>
      <w:lang w:val="zh-TW" w:eastAsia="zh-TW" w:bidi="zh-TW"/>
    </w:rPr>
  </w:style>
  <w:style w:type="paragraph" w:customStyle="1" w:styleId="13">
    <w:name w:val="Body text|1"/>
    <w:basedOn w:val="1"/>
    <w:link w:val="12"/>
    <w:qFormat/>
    <w:uiPriority w:val="0"/>
    <w:pPr>
      <w:spacing w:after="70"/>
      <w:ind w:firstLine="280"/>
      <w:jc w:val="left"/>
    </w:pPr>
    <w:rPr>
      <w:rFonts w:ascii="宋体" w:hAnsi="宋体" w:eastAsia="宋体" w:cs="宋体"/>
      <w:sz w:val="16"/>
      <w:szCs w:val="16"/>
      <w:lang w:val="zh-TW" w:eastAsia="zh-TW" w:bidi="zh-TW"/>
    </w:rPr>
  </w:style>
  <w:style w:type="character" w:customStyle="1" w:styleId="14">
    <w:name w:val="Other|1_"/>
    <w:basedOn w:val="8"/>
    <w:link w:val="15"/>
    <w:qFormat/>
    <w:uiPriority w:val="0"/>
    <w:rPr>
      <w:rFonts w:ascii="宋体" w:hAnsi="宋体" w:eastAsia="宋体" w:cs="宋体"/>
      <w:sz w:val="16"/>
      <w:szCs w:val="16"/>
      <w:lang w:val="zh-TW" w:eastAsia="zh-TW" w:bidi="zh-TW"/>
    </w:rPr>
  </w:style>
  <w:style w:type="paragraph" w:customStyle="1" w:styleId="15">
    <w:name w:val="Other|1"/>
    <w:basedOn w:val="1"/>
    <w:link w:val="14"/>
    <w:qFormat/>
    <w:uiPriority w:val="0"/>
    <w:pPr>
      <w:spacing w:line="233" w:lineRule="exact"/>
      <w:jc w:val="left"/>
    </w:pPr>
    <w:rPr>
      <w:rFonts w:ascii="宋体" w:hAnsi="宋体" w:eastAsia="宋体" w:cs="宋体"/>
      <w:sz w:val="16"/>
      <w:szCs w:val="16"/>
      <w:lang w:val="zh-TW" w:eastAsia="zh-TW" w:bidi="zh-TW"/>
    </w:rPr>
  </w:style>
  <w:style w:type="character" w:customStyle="1" w:styleId="16">
    <w:name w:val="批注文字 字符"/>
    <w:basedOn w:val="8"/>
    <w:link w:val="2"/>
    <w:semiHidden/>
    <w:qFormat/>
    <w:uiPriority w:val="99"/>
  </w:style>
  <w:style w:type="character" w:customStyle="1" w:styleId="17">
    <w:name w:val="批注主题 字符"/>
    <w:basedOn w:val="16"/>
    <w:link w:val="6"/>
    <w:semiHidden/>
    <w:qFormat/>
    <w:uiPriority w:val="99"/>
    <w:rPr>
      <w:b/>
      <w:bCs/>
    </w:rPr>
  </w:style>
  <w:style w:type="character" w:customStyle="1" w:styleId="18">
    <w:name w:val="批注框文本 字符"/>
    <w:basedOn w:val="8"/>
    <w:link w:val="3"/>
    <w:semiHidden/>
    <w:qFormat/>
    <w:uiPriority w:val="99"/>
    <w:rPr>
      <w:sz w:val="18"/>
      <w:szCs w:val="18"/>
    </w:rPr>
  </w:style>
  <w:style w:type="character" w:customStyle="1" w:styleId="19">
    <w:name w:val="页眉 字符"/>
    <w:basedOn w:val="8"/>
    <w:link w:val="5"/>
    <w:qFormat/>
    <w:uiPriority w:val="99"/>
    <w:rPr>
      <w:sz w:val="18"/>
      <w:szCs w:val="18"/>
    </w:rPr>
  </w:style>
  <w:style w:type="character" w:customStyle="1" w:styleId="2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2838</Words>
  <Characters>2958</Characters>
  <Lines>25</Lines>
  <Paragraphs>7</Paragraphs>
  <TotalTime>23</TotalTime>
  <ScaleCrop>false</ScaleCrop>
  <LinksUpToDate>false</LinksUpToDate>
  <CharactersWithSpaces>2967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2020-07-22T05:19:00Z</dcterms:created>
  <dc:creator>叶 连桥</dc:creator>
  <cp:lastModifiedBy>Qi</cp:lastModifiedBy>
  <cp:lastPrinted>2022-04-06T09:25:24Z</cp:lastPrinted>
  <dcterms:modified xsi:type="dcterms:W3CDTF">2022-04-06T09:35:59Z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BB9636F368BE4E7DAA19F872F6B13E8F</vt:lpwstr>
  </property>
</Properties>
</file>