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52"/>
          <w:lang w:eastAsia="zh-CN"/>
        </w:rPr>
      </w:pPr>
    </w:p>
    <w:p>
      <w:pPr>
        <w:jc w:val="center"/>
        <w:rPr>
          <w:rFonts w:hint="eastAsia" w:ascii="方正小标宋简体" w:hAnsi="方正小标宋简体" w:eastAsia="方正小标宋简体" w:cs="方正小标宋简体"/>
          <w:sz w:val="44"/>
          <w:szCs w:val="52"/>
          <w:lang w:eastAsia="zh-CN"/>
        </w:rPr>
      </w:pPr>
    </w:p>
    <w:p>
      <w:pPr>
        <w:jc w:val="center"/>
        <w:rPr>
          <w:rFonts w:hint="eastAsia" w:ascii="方正小标宋简体" w:hAnsi="方正小标宋简体" w:eastAsia="方正小标宋简体" w:cs="方正小标宋简体"/>
          <w:sz w:val="44"/>
          <w:szCs w:val="52"/>
          <w:lang w:eastAsia="zh-CN"/>
        </w:rPr>
      </w:pPr>
    </w:p>
    <w:p>
      <w:pPr>
        <w:jc w:val="center"/>
        <w:rPr>
          <w:rFonts w:hint="eastAsia" w:ascii="方正小标宋简体" w:hAnsi="方正小标宋简体" w:eastAsia="方正小标宋简体" w:cs="方正小标宋简体"/>
          <w:sz w:val="44"/>
          <w:szCs w:val="52"/>
          <w:lang w:eastAsia="zh-CN"/>
        </w:rPr>
      </w:pPr>
    </w:p>
    <w:p>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汕尾市中医药发展“十四五”规划</w:t>
      </w:r>
    </w:p>
    <w:p>
      <w:pPr>
        <w:jc w:val="center"/>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(征求意见稿）</w:t>
      </w:r>
    </w:p>
    <w:p>
      <w:pPr>
        <w:jc w:val="center"/>
        <w:rPr>
          <w:rFonts w:hint="eastAsia" w:ascii="方正小标宋简体" w:hAnsi="方正小标宋简体" w:eastAsia="方正小标宋简体" w:cs="方正小标宋简体"/>
          <w:sz w:val="44"/>
          <w:szCs w:val="52"/>
          <w:lang w:eastAsia="zh-CN"/>
        </w:rPr>
      </w:pPr>
    </w:p>
    <w:p>
      <w:pPr>
        <w:jc w:val="center"/>
        <w:rPr>
          <w:rFonts w:hint="eastAsia" w:ascii="方正小标宋简体" w:hAnsi="方正小标宋简体" w:eastAsia="方正小标宋简体" w:cs="方正小标宋简体"/>
          <w:sz w:val="44"/>
          <w:szCs w:val="52"/>
          <w:lang w:eastAsia="zh-CN"/>
        </w:rPr>
      </w:pPr>
    </w:p>
    <w:p>
      <w:pPr>
        <w:jc w:val="center"/>
        <w:rPr>
          <w:rFonts w:hint="eastAsia" w:ascii="方正小标宋简体" w:hAnsi="方正小标宋简体" w:eastAsia="方正小标宋简体" w:cs="方正小标宋简体"/>
          <w:sz w:val="44"/>
          <w:szCs w:val="52"/>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jc w:val="center"/>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2022年 3月</w:t>
      </w:r>
    </w:p>
    <w:p>
      <w:pPr>
        <w:jc w:val="both"/>
        <w:rPr>
          <w:rFonts w:hint="eastAsia" w:ascii="楷体" w:hAnsi="楷体" w:eastAsia="楷体" w:cs="楷体"/>
          <w:sz w:val="32"/>
          <w:szCs w:val="40"/>
          <w:lang w:val="en-US" w:eastAsia="zh-CN"/>
        </w:rPr>
      </w:pPr>
      <w:bookmarkStart w:id="7" w:name="_GoBack"/>
      <w:bookmarkEnd w:id="7"/>
    </w:p>
    <w:p>
      <w:pPr>
        <w:jc w:val="center"/>
        <w:rPr>
          <w:rFonts w:hint="eastAsia" w:ascii="方正小标宋简体" w:hAnsi="方正小标宋简体" w:eastAsia="方正小标宋简体" w:cs="方正小标宋简体"/>
          <w:sz w:val="32"/>
          <w:szCs w:val="40"/>
          <w:lang w:val="en-US" w:eastAsia="zh-CN"/>
        </w:rPr>
        <w:sectPr>
          <w:pgSz w:w="11906" w:h="16838"/>
          <w:pgMar w:top="1440" w:right="1633" w:bottom="1440" w:left="1633"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方正小标宋简体" w:hAnsi="方正小标宋简体" w:eastAsia="方正小标宋简体" w:cs="方正小标宋简体"/>
          <w:sz w:val="32"/>
          <w:szCs w:val="40"/>
          <w:lang w:val="en-US" w:eastAsia="zh-CN"/>
        </w:rPr>
      </w:pPr>
      <w:r>
        <w:rPr>
          <w:rFonts w:hint="eastAsia" w:ascii="方正小标宋简体" w:hAnsi="方正小标宋简体" w:eastAsia="方正小标宋简体" w:cs="方正小标宋简体"/>
          <w:sz w:val="44"/>
          <w:szCs w:val="52"/>
          <w:lang w:val="en-US" w:eastAsia="zh-CN"/>
        </w:rPr>
        <w:t>目  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第一章  规划背景和总体要求……………………………1</w:t>
      </w:r>
    </w:p>
    <w:p>
      <w:pPr>
        <w:keepNext w:val="0"/>
        <w:keepLines w:val="0"/>
        <w:pageBreakBefore w:val="0"/>
        <w:widowControl w:val="0"/>
        <w:kinsoku/>
        <w:wordWrap/>
        <w:overflowPunct/>
        <w:topLinePunct w:val="0"/>
        <w:autoSpaceDE/>
        <w:autoSpaceDN/>
        <w:bidi w:val="0"/>
        <w:adjustRightInd/>
        <w:snapToGrid/>
        <w:ind w:firstLine="1280" w:firstLineChars="400"/>
        <w:jc w:val="both"/>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第一节  发展基础</w:t>
      </w:r>
      <w:r>
        <w:rPr>
          <w:rFonts w:hint="eastAsia" w:ascii="黑体" w:hAnsi="黑体" w:eastAsia="黑体" w:cs="黑体"/>
          <w:sz w:val="32"/>
          <w:szCs w:val="40"/>
          <w:lang w:val="en-US" w:eastAsia="zh-CN"/>
        </w:rPr>
        <w:t>……………………………………</w:t>
      </w:r>
      <w:r>
        <w:rPr>
          <w:rFonts w:hint="eastAsia" w:ascii="楷体" w:hAnsi="楷体" w:eastAsia="楷体" w:cs="楷体"/>
          <w:sz w:val="32"/>
          <w:szCs w:val="40"/>
          <w:lang w:val="en-US" w:eastAsia="zh-CN"/>
        </w:rPr>
        <w:t>1</w:t>
      </w:r>
    </w:p>
    <w:p>
      <w:pPr>
        <w:keepNext w:val="0"/>
        <w:keepLines w:val="0"/>
        <w:pageBreakBefore w:val="0"/>
        <w:widowControl w:val="0"/>
        <w:kinsoku/>
        <w:wordWrap/>
        <w:overflowPunct/>
        <w:topLinePunct w:val="0"/>
        <w:autoSpaceDE/>
        <w:autoSpaceDN/>
        <w:bidi w:val="0"/>
        <w:adjustRightInd/>
        <w:snapToGrid/>
        <w:ind w:firstLine="1280" w:firstLineChars="400"/>
        <w:jc w:val="both"/>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第二节  发展形势…………………</w:t>
      </w:r>
      <w:r>
        <w:rPr>
          <w:rFonts w:hint="eastAsia" w:ascii="黑体" w:hAnsi="黑体" w:eastAsia="黑体" w:cs="黑体"/>
          <w:sz w:val="32"/>
          <w:szCs w:val="40"/>
          <w:lang w:val="en-US" w:eastAsia="zh-CN"/>
        </w:rPr>
        <w:t>…</w:t>
      </w:r>
      <w:r>
        <w:rPr>
          <w:rFonts w:hint="eastAsia" w:ascii="楷体" w:hAnsi="楷体" w:eastAsia="楷体" w:cs="楷体"/>
          <w:sz w:val="32"/>
          <w:szCs w:val="40"/>
          <w:lang w:val="en-US" w:eastAsia="zh-CN"/>
        </w:rPr>
        <w:t>………………3</w:t>
      </w:r>
    </w:p>
    <w:p>
      <w:pPr>
        <w:keepNext w:val="0"/>
        <w:keepLines w:val="0"/>
        <w:pageBreakBefore w:val="0"/>
        <w:widowControl w:val="0"/>
        <w:kinsoku/>
        <w:wordWrap/>
        <w:overflowPunct/>
        <w:topLinePunct w:val="0"/>
        <w:autoSpaceDE/>
        <w:autoSpaceDN/>
        <w:bidi w:val="0"/>
        <w:adjustRightInd/>
        <w:snapToGrid/>
        <w:ind w:firstLine="1280" w:firstLineChars="400"/>
        <w:jc w:val="both"/>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第三节  指导思想………………</w:t>
      </w:r>
      <w:r>
        <w:rPr>
          <w:rFonts w:hint="eastAsia" w:ascii="黑体" w:hAnsi="黑体" w:eastAsia="黑体" w:cs="黑体"/>
          <w:sz w:val="32"/>
          <w:szCs w:val="40"/>
          <w:lang w:val="en-US" w:eastAsia="zh-CN"/>
        </w:rPr>
        <w:t>…</w:t>
      </w:r>
      <w:r>
        <w:rPr>
          <w:rFonts w:hint="eastAsia" w:ascii="楷体" w:hAnsi="楷体" w:eastAsia="楷体" w:cs="楷体"/>
          <w:sz w:val="32"/>
          <w:szCs w:val="40"/>
          <w:lang w:val="en-US" w:eastAsia="zh-CN"/>
        </w:rPr>
        <w:t>…………………4</w:t>
      </w:r>
    </w:p>
    <w:p>
      <w:pPr>
        <w:keepNext w:val="0"/>
        <w:keepLines w:val="0"/>
        <w:pageBreakBefore w:val="0"/>
        <w:widowControl w:val="0"/>
        <w:kinsoku/>
        <w:wordWrap/>
        <w:overflowPunct/>
        <w:topLinePunct w:val="0"/>
        <w:autoSpaceDE/>
        <w:autoSpaceDN/>
        <w:bidi w:val="0"/>
        <w:adjustRightInd/>
        <w:snapToGrid/>
        <w:ind w:firstLine="1280" w:firstLineChars="400"/>
        <w:jc w:val="both"/>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第四节  基本原则………………</w:t>
      </w:r>
      <w:r>
        <w:rPr>
          <w:rFonts w:hint="eastAsia" w:ascii="黑体" w:hAnsi="黑体" w:eastAsia="黑体" w:cs="黑体"/>
          <w:sz w:val="32"/>
          <w:szCs w:val="40"/>
          <w:lang w:val="en-US" w:eastAsia="zh-CN"/>
        </w:rPr>
        <w:t>…</w:t>
      </w:r>
      <w:r>
        <w:rPr>
          <w:rFonts w:hint="eastAsia" w:ascii="楷体" w:hAnsi="楷体" w:eastAsia="楷体" w:cs="楷体"/>
          <w:sz w:val="32"/>
          <w:szCs w:val="40"/>
          <w:lang w:val="en-US" w:eastAsia="zh-CN"/>
        </w:rPr>
        <w:t>…………………4</w:t>
      </w:r>
    </w:p>
    <w:p>
      <w:pPr>
        <w:keepNext w:val="0"/>
        <w:keepLines w:val="0"/>
        <w:pageBreakBefore w:val="0"/>
        <w:widowControl w:val="0"/>
        <w:kinsoku/>
        <w:wordWrap/>
        <w:overflowPunct/>
        <w:topLinePunct w:val="0"/>
        <w:autoSpaceDE/>
        <w:autoSpaceDN/>
        <w:bidi w:val="0"/>
        <w:adjustRightInd/>
        <w:snapToGrid/>
        <w:ind w:firstLine="1280" w:firstLineChars="400"/>
        <w:jc w:val="both"/>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第五节  发展目标………………</w:t>
      </w:r>
      <w:r>
        <w:rPr>
          <w:rFonts w:hint="eastAsia" w:ascii="黑体" w:hAnsi="黑体" w:eastAsia="黑体" w:cs="黑体"/>
          <w:sz w:val="32"/>
          <w:szCs w:val="40"/>
          <w:lang w:val="en-US" w:eastAsia="zh-CN"/>
        </w:rPr>
        <w:t>…</w:t>
      </w:r>
      <w:r>
        <w:rPr>
          <w:rFonts w:hint="eastAsia" w:ascii="楷体" w:hAnsi="楷体" w:eastAsia="楷体" w:cs="楷体"/>
          <w:sz w:val="32"/>
          <w:szCs w:val="40"/>
          <w:lang w:val="en-US" w:eastAsia="zh-CN"/>
        </w:rPr>
        <w:t>…………………5</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第二章  构建优质高效中医药服务体系</w:t>
      </w:r>
      <w:r>
        <w:rPr>
          <w:rFonts w:hint="eastAsia" w:ascii="楷体" w:hAnsi="楷体" w:eastAsia="楷体" w:cs="楷体"/>
          <w:sz w:val="32"/>
          <w:szCs w:val="40"/>
          <w:lang w:val="en-US" w:eastAsia="zh-CN"/>
        </w:rPr>
        <w:t>…………………</w:t>
      </w:r>
      <w:r>
        <w:rPr>
          <w:rFonts w:hint="eastAsia" w:ascii="黑体" w:hAnsi="黑体" w:eastAsia="黑体" w:cs="黑体"/>
          <w:sz w:val="32"/>
          <w:szCs w:val="40"/>
          <w:lang w:val="en-US" w:eastAsia="zh-CN"/>
        </w:rPr>
        <w:t>8</w:t>
      </w:r>
    </w:p>
    <w:p>
      <w:pPr>
        <w:keepNext w:val="0"/>
        <w:keepLines w:val="0"/>
        <w:pageBreakBefore w:val="0"/>
        <w:widowControl w:val="0"/>
        <w:kinsoku/>
        <w:wordWrap/>
        <w:overflowPunct/>
        <w:topLinePunct w:val="0"/>
        <w:autoSpaceDE/>
        <w:autoSpaceDN/>
        <w:bidi w:val="0"/>
        <w:adjustRightInd/>
        <w:snapToGrid/>
        <w:ind w:firstLine="1280" w:firstLineChars="400"/>
        <w:jc w:val="left"/>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第一节  打造中医药服务高地</w:t>
      </w:r>
      <w:r>
        <w:rPr>
          <w:rFonts w:hint="eastAsia" w:ascii="楷体" w:hAnsi="楷体" w:eastAsia="楷体" w:cs="楷体"/>
          <w:sz w:val="32"/>
          <w:szCs w:val="40"/>
          <w:lang w:val="en-US" w:eastAsia="zh-CN"/>
        </w:rPr>
        <w:tab/>
      </w:r>
      <w:r>
        <w:rPr>
          <w:rFonts w:hint="eastAsia" w:ascii="楷体" w:hAnsi="楷体" w:eastAsia="楷体" w:cs="楷体"/>
          <w:sz w:val="32"/>
          <w:szCs w:val="40"/>
          <w:lang w:val="en-US" w:eastAsia="zh-CN"/>
        </w:rPr>
        <w:t>………………………8</w:t>
      </w:r>
    </w:p>
    <w:p>
      <w:pPr>
        <w:keepNext w:val="0"/>
        <w:keepLines w:val="0"/>
        <w:pageBreakBefore w:val="0"/>
        <w:widowControl w:val="0"/>
        <w:kinsoku/>
        <w:wordWrap/>
        <w:overflowPunct/>
        <w:topLinePunct w:val="0"/>
        <w:autoSpaceDE/>
        <w:autoSpaceDN/>
        <w:bidi w:val="0"/>
        <w:adjustRightInd/>
        <w:snapToGrid/>
        <w:ind w:firstLine="1280" w:firstLineChars="400"/>
        <w:jc w:val="left"/>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第二节  筑牢基层中医药服务阵地…………………8</w:t>
      </w:r>
    </w:p>
    <w:p>
      <w:pPr>
        <w:keepNext w:val="0"/>
        <w:keepLines w:val="0"/>
        <w:pageBreakBefore w:val="0"/>
        <w:widowControl w:val="0"/>
        <w:kinsoku/>
        <w:wordWrap/>
        <w:overflowPunct/>
        <w:topLinePunct w:val="0"/>
        <w:autoSpaceDE/>
        <w:autoSpaceDN/>
        <w:bidi w:val="0"/>
        <w:adjustRightInd/>
        <w:snapToGrid/>
        <w:ind w:firstLine="1280" w:firstLineChars="400"/>
        <w:jc w:val="left"/>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第三节  拓展中医药服务领域项目服务建设………9</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第三章  加强全生命周期的中医药健康服务</w:t>
      </w:r>
      <w:r>
        <w:rPr>
          <w:rFonts w:hint="eastAsia" w:ascii="楷体" w:hAnsi="楷体" w:eastAsia="楷体" w:cs="楷体"/>
          <w:sz w:val="32"/>
          <w:szCs w:val="40"/>
          <w:lang w:val="en-US" w:eastAsia="zh-CN"/>
        </w:rPr>
        <w:t>……………</w:t>
      </w:r>
      <w:r>
        <w:rPr>
          <w:rFonts w:hint="eastAsia" w:ascii="黑体" w:hAnsi="黑体" w:eastAsia="黑体" w:cs="黑体"/>
          <w:sz w:val="32"/>
          <w:szCs w:val="40"/>
          <w:lang w:val="en-US" w:eastAsia="zh-CN"/>
        </w:rPr>
        <w:t>10</w:t>
      </w:r>
    </w:p>
    <w:p>
      <w:pPr>
        <w:keepNext w:val="0"/>
        <w:keepLines w:val="0"/>
        <w:pageBreakBefore w:val="0"/>
        <w:widowControl w:val="0"/>
        <w:kinsoku/>
        <w:wordWrap/>
        <w:overflowPunct/>
        <w:topLinePunct w:val="0"/>
        <w:autoSpaceDE/>
        <w:autoSpaceDN/>
        <w:bidi w:val="0"/>
        <w:adjustRightInd/>
        <w:snapToGrid/>
        <w:ind w:firstLine="1280" w:firstLineChars="400"/>
        <w:jc w:val="left"/>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第一节  强化中医药在健康服务中的特色优势……10</w:t>
      </w:r>
    </w:p>
    <w:p>
      <w:pPr>
        <w:keepNext w:val="0"/>
        <w:keepLines w:val="0"/>
        <w:pageBreakBefore w:val="0"/>
        <w:widowControl w:val="0"/>
        <w:kinsoku/>
        <w:wordWrap/>
        <w:overflowPunct/>
        <w:topLinePunct w:val="0"/>
        <w:autoSpaceDE/>
        <w:autoSpaceDN/>
        <w:bidi w:val="0"/>
        <w:adjustRightInd/>
        <w:snapToGrid/>
        <w:ind w:firstLine="1280" w:firstLineChars="400"/>
        <w:jc w:val="left"/>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第二节  提升中医药公共卫生应急能力……………11</w:t>
      </w:r>
    </w:p>
    <w:p>
      <w:pPr>
        <w:keepNext w:val="0"/>
        <w:keepLines w:val="0"/>
        <w:pageBreakBefore w:val="0"/>
        <w:widowControl w:val="0"/>
        <w:kinsoku/>
        <w:wordWrap/>
        <w:overflowPunct/>
        <w:topLinePunct w:val="0"/>
        <w:autoSpaceDE/>
        <w:autoSpaceDN/>
        <w:bidi w:val="0"/>
        <w:adjustRightInd/>
        <w:snapToGrid/>
        <w:ind w:firstLine="1280" w:firstLineChars="400"/>
        <w:jc w:val="left"/>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第三节  提高中西医结合水平………………………12</w:t>
      </w:r>
    </w:p>
    <w:p>
      <w:pPr>
        <w:keepNext w:val="0"/>
        <w:keepLines w:val="0"/>
        <w:pageBreakBefore w:val="0"/>
        <w:widowControl w:val="0"/>
        <w:kinsoku/>
        <w:wordWrap/>
        <w:overflowPunct/>
        <w:topLinePunct w:val="0"/>
        <w:autoSpaceDE/>
        <w:autoSpaceDN/>
        <w:bidi w:val="0"/>
        <w:adjustRightInd/>
        <w:snapToGrid/>
        <w:ind w:firstLine="1280" w:firstLineChars="400"/>
        <w:jc w:val="left"/>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第四节  发展中医药健康养老能力…………………13</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第四章  加强中医药传承保护与科技创新</w:t>
      </w:r>
      <w:r>
        <w:rPr>
          <w:rFonts w:hint="eastAsia" w:ascii="楷体" w:hAnsi="楷体" w:eastAsia="楷体" w:cs="楷体"/>
          <w:sz w:val="32"/>
          <w:szCs w:val="40"/>
          <w:lang w:val="en-US" w:eastAsia="zh-CN"/>
        </w:rPr>
        <w:t>………………</w:t>
      </w:r>
      <w:r>
        <w:rPr>
          <w:rFonts w:hint="eastAsia" w:ascii="黑体" w:hAnsi="黑体" w:eastAsia="黑体" w:cs="黑体"/>
          <w:sz w:val="32"/>
          <w:szCs w:val="40"/>
          <w:lang w:val="en-US" w:eastAsia="zh-CN"/>
        </w:rPr>
        <w:t>14</w:t>
      </w:r>
    </w:p>
    <w:p>
      <w:pPr>
        <w:keepNext w:val="0"/>
        <w:keepLines w:val="0"/>
        <w:pageBreakBefore w:val="0"/>
        <w:widowControl w:val="0"/>
        <w:kinsoku/>
        <w:wordWrap/>
        <w:overflowPunct/>
        <w:topLinePunct w:val="0"/>
        <w:autoSpaceDE/>
        <w:autoSpaceDN/>
        <w:bidi w:val="0"/>
        <w:adjustRightInd/>
        <w:snapToGrid/>
        <w:ind w:firstLine="1280" w:firstLineChars="400"/>
        <w:jc w:val="left"/>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第一节  加强中医药传承保护………………………14</w:t>
      </w:r>
    </w:p>
    <w:p>
      <w:pPr>
        <w:keepNext w:val="0"/>
        <w:keepLines w:val="0"/>
        <w:pageBreakBefore w:val="0"/>
        <w:widowControl w:val="0"/>
        <w:kinsoku/>
        <w:wordWrap/>
        <w:overflowPunct/>
        <w:topLinePunct w:val="0"/>
        <w:autoSpaceDE/>
        <w:autoSpaceDN/>
        <w:bidi w:val="0"/>
        <w:adjustRightInd/>
        <w:snapToGrid/>
        <w:ind w:firstLine="1280" w:firstLineChars="400"/>
        <w:jc w:val="left"/>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第二节  提升中医药科技创新能力…………………14</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第五章</w:t>
      </w:r>
      <w:r>
        <w:rPr>
          <w:rFonts w:hint="eastAsia" w:ascii="楷体" w:hAnsi="楷体" w:eastAsia="楷体" w:cs="楷体"/>
          <w:sz w:val="32"/>
          <w:szCs w:val="40"/>
          <w:lang w:val="en-US" w:eastAsia="zh-CN"/>
        </w:rPr>
        <w:t xml:space="preserve">  </w:t>
      </w:r>
      <w:r>
        <w:rPr>
          <w:rFonts w:hint="eastAsia" w:ascii="黑体" w:hAnsi="黑体" w:eastAsia="黑体" w:cs="黑体"/>
          <w:sz w:val="32"/>
          <w:szCs w:val="40"/>
          <w:lang w:val="en-US" w:eastAsia="zh-CN"/>
        </w:rPr>
        <w:t>推动中医药特色人才队伍建设</w:t>
      </w:r>
      <w:r>
        <w:rPr>
          <w:rFonts w:hint="eastAsia" w:ascii="楷体" w:hAnsi="楷体" w:eastAsia="楷体" w:cs="楷体"/>
          <w:sz w:val="32"/>
          <w:szCs w:val="40"/>
          <w:lang w:val="en-US" w:eastAsia="zh-CN"/>
        </w:rPr>
        <w:t>…………………</w:t>
      </w:r>
      <w:r>
        <w:rPr>
          <w:rFonts w:hint="eastAsia" w:ascii="黑体" w:hAnsi="黑体" w:eastAsia="黑体" w:cs="黑体"/>
          <w:sz w:val="32"/>
          <w:szCs w:val="40"/>
          <w:lang w:val="en-US" w:eastAsia="zh-CN"/>
        </w:rPr>
        <w:t>15</w:t>
      </w:r>
    </w:p>
    <w:p>
      <w:pPr>
        <w:keepNext w:val="0"/>
        <w:keepLines w:val="0"/>
        <w:pageBreakBefore w:val="0"/>
        <w:widowControl w:val="0"/>
        <w:kinsoku/>
        <w:wordWrap/>
        <w:overflowPunct/>
        <w:topLinePunct w:val="0"/>
        <w:autoSpaceDE/>
        <w:autoSpaceDN/>
        <w:bidi w:val="0"/>
        <w:adjustRightInd/>
        <w:snapToGrid/>
        <w:ind w:firstLine="1280" w:firstLineChars="400"/>
        <w:jc w:val="left"/>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第一节  改革中医药人才培养模式…………………15</w:t>
      </w:r>
    </w:p>
    <w:p>
      <w:pPr>
        <w:keepNext w:val="0"/>
        <w:keepLines w:val="0"/>
        <w:pageBreakBefore w:val="0"/>
        <w:widowControl w:val="0"/>
        <w:kinsoku/>
        <w:wordWrap/>
        <w:overflowPunct/>
        <w:topLinePunct w:val="0"/>
        <w:autoSpaceDE/>
        <w:autoSpaceDN/>
        <w:bidi w:val="0"/>
        <w:adjustRightInd/>
        <w:snapToGrid/>
        <w:ind w:firstLine="1280" w:firstLineChars="400"/>
        <w:jc w:val="left"/>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第二节  夯实基层中医药人才队伍…………………16</w:t>
      </w:r>
    </w:p>
    <w:p>
      <w:pPr>
        <w:keepNext w:val="0"/>
        <w:keepLines w:val="0"/>
        <w:pageBreakBefore w:val="0"/>
        <w:widowControl w:val="0"/>
        <w:kinsoku/>
        <w:wordWrap/>
        <w:overflowPunct/>
        <w:topLinePunct w:val="0"/>
        <w:autoSpaceDE/>
        <w:autoSpaceDN/>
        <w:bidi w:val="0"/>
        <w:adjustRightInd/>
        <w:snapToGrid/>
        <w:ind w:firstLine="1280" w:firstLineChars="400"/>
        <w:jc w:val="left"/>
        <w:textAlignment w:val="auto"/>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第三节  推进高层次中医药人才培养………………16</w:t>
      </w:r>
    </w:p>
    <w:p>
      <w:pPr>
        <w:keepNext w:val="0"/>
        <w:keepLines w:val="0"/>
        <w:pageBreakBefore w:val="0"/>
        <w:widowControl w:val="0"/>
        <w:kinsoku/>
        <w:wordWrap/>
        <w:overflowPunct/>
        <w:topLinePunct w:val="0"/>
        <w:autoSpaceDE/>
        <w:autoSpaceDN/>
        <w:bidi w:val="0"/>
        <w:adjustRightInd/>
        <w:snapToGrid/>
        <w:ind w:firstLine="1280" w:firstLineChars="400"/>
        <w:jc w:val="left"/>
        <w:textAlignment w:val="auto"/>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第四节  健全中医药人才评价和激励机制…………17</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第六章</w:t>
      </w:r>
      <w:r>
        <w:rPr>
          <w:rFonts w:hint="eastAsia" w:ascii="楷体" w:hAnsi="楷体" w:eastAsia="楷体" w:cs="楷体"/>
          <w:sz w:val="32"/>
          <w:szCs w:val="40"/>
          <w:lang w:val="en-US" w:eastAsia="zh-CN"/>
        </w:rPr>
        <w:t xml:space="preserve">  </w:t>
      </w:r>
      <w:r>
        <w:rPr>
          <w:rFonts w:hint="eastAsia" w:ascii="黑体" w:hAnsi="黑体" w:eastAsia="黑体" w:cs="黑体"/>
          <w:sz w:val="32"/>
          <w:szCs w:val="40"/>
          <w:lang w:val="en-US" w:eastAsia="zh-CN"/>
        </w:rPr>
        <w:t>大力发展中医药健康产业</w:t>
      </w:r>
      <w:r>
        <w:rPr>
          <w:rFonts w:hint="eastAsia" w:ascii="楷体" w:hAnsi="楷体" w:eastAsia="楷体" w:cs="楷体"/>
          <w:sz w:val="32"/>
          <w:szCs w:val="40"/>
          <w:lang w:val="en-US" w:eastAsia="zh-CN"/>
        </w:rPr>
        <w:t>………………………</w:t>
      </w:r>
      <w:r>
        <w:rPr>
          <w:rFonts w:hint="eastAsia" w:ascii="黑体" w:hAnsi="黑体" w:eastAsia="黑体" w:cs="黑体"/>
          <w:sz w:val="32"/>
          <w:szCs w:val="40"/>
          <w:lang w:val="en-US" w:eastAsia="zh-CN"/>
        </w:rPr>
        <w:t>17</w:t>
      </w:r>
    </w:p>
    <w:p>
      <w:pPr>
        <w:keepNext w:val="0"/>
        <w:keepLines w:val="0"/>
        <w:pageBreakBefore w:val="0"/>
        <w:widowControl w:val="0"/>
        <w:kinsoku/>
        <w:wordWrap/>
        <w:overflowPunct/>
        <w:topLinePunct w:val="0"/>
        <w:autoSpaceDE/>
        <w:autoSpaceDN/>
        <w:bidi w:val="0"/>
        <w:adjustRightInd/>
        <w:snapToGrid/>
        <w:ind w:firstLine="1280" w:firstLineChars="400"/>
        <w:jc w:val="left"/>
        <w:textAlignment w:val="auto"/>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第一节  健全中药质量保障体系……………………18</w:t>
      </w:r>
    </w:p>
    <w:p>
      <w:pPr>
        <w:keepNext w:val="0"/>
        <w:keepLines w:val="0"/>
        <w:pageBreakBefore w:val="0"/>
        <w:widowControl w:val="0"/>
        <w:kinsoku/>
        <w:wordWrap/>
        <w:overflowPunct/>
        <w:topLinePunct w:val="0"/>
        <w:autoSpaceDE/>
        <w:autoSpaceDN/>
        <w:bidi w:val="0"/>
        <w:adjustRightInd/>
        <w:snapToGrid/>
        <w:ind w:firstLine="1280" w:firstLineChars="400"/>
        <w:jc w:val="left"/>
        <w:textAlignment w:val="auto"/>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第二节  推动中医药健康服务产业高质量发展……18</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第七章</w:t>
      </w:r>
      <w:r>
        <w:rPr>
          <w:rFonts w:hint="eastAsia" w:ascii="楷体" w:hAnsi="楷体" w:eastAsia="楷体" w:cs="楷体"/>
          <w:sz w:val="32"/>
          <w:szCs w:val="40"/>
          <w:lang w:val="en-US" w:eastAsia="zh-CN"/>
        </w:rPr>
        <w:t xml:space="preserve">  </w:t>
      </w:r>
      <w:r>
        <w:rPr>
          <w:rFonts w:hint="eastAsia" w:ascii="黑体" w:hAnsi="黑体" w:eastAsia="黑体" w:cs="黑体"/>
          <w:sz w:val="32"/>
          <w:szCs w:val="40"/>
          <w:lang w:val="en-US" w:eastAsia="zh-CN"/>
        </w:rPr>
        <w:t>推进中医药文化繁荣发展</w:t>
      </w:r>
      <w:r>
        <w:rPr>
          <w:rFonts w:hint="eastAsia" w:ascii="楷体" w:hAnsi="楷体" w:eastAsia="楷体" w:cs="楷体"/>
          <w:sz w:val="32"/>
          <w:szCs w:val="40"/>
          <w:lang w:val="en-US" w:eastAsia="zh-CN"/>
        </w:rPr>
        <w:t>………………………</w:t>
      </w:r>
      <w:r>
        <w:rPr>
          <w:rFonts w:hint="eastAsia" w:ascii="黑体" w:hAnsi="黑体" w:eastAsia="黑体" w:cs="黑体"/>
          <w:sz w:val="32"/>
          <w:szCs w:val="40"/>
          <w:lang w:val="en-US" w:eastAsia="zh-CN"/>
        </w:rPr>
        <w:t>19</w:t>
      </w:r>
    </w:p>
    <w:p>
      <w:pPr>
        <w:keepNext w:val="0"/>
        <w:keepLines w:val="0"/>
        <w:pageBreakBefore w:val="0"/>
        <w:widowControl w:val="0"/>
        <w:kinsoku/>
        <w:wordWrap/>
        <w:overflowPunct/>
        <w:topLinePunct w:val="0"/>
        <w:autoSpaceDE/>
        <w:autoSpaceDN/>
        <w:bidi w:val="0"/>
        <w:adjustRightInd/>
        <w:snapToGrid/>
        <w:ind w:firstLine="1280" w:firstLineChars="400"/>
        <w:jc w:val="left"/>
        <w:textAlignment w:val="auto"/>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第一节  挖掘传承中医药文化精髓…………………19</w:t>
      </w:r>
    </w:p>
    <w:p>
      <w:pPr>
        <w:keepNext w:val="0"/>
        <w:keepLines w:val="0"/>
        <w:pageBreakBefore w:val="0"/>
        <w:widowControl w:val="0"/>
        <w:kinsoku/>
        <w:wordWrap/>
        <w:overflowPunct/>
        <w:topLinePunct w:val="0"/>
        <w:autoSpaceDE/>
        <w:autoSpaceDN/>
        <w:bidi w:val="0"/>
        <w:adjustRightInd/>
        <w:snapToGrid/>
        <w:ind w:firstLine="1280" w:firstLineChars="400"/>
        <w:jc w:val="left"/>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第二节  推动中医药文化弘扬传播…………………20</w:t>
      </w:r>
    </w:p>
    <w:p>
      <w:pPr>
        <w:keepNext w:val="0"/>
        <w:keepLines w:val="0"/>
        <w:pageBreakBefore w:val="0"/>
        <w:widowControl w:val="0"/>
        <w:kinsoku/>
        <w:wordWrap/>
        <w:overflowPunct/>
        <w:topLinePunct w:val="0"/>
        <w:autoSpaceDE/>
        <w:autoSpaceDN/>
        <w:bidi w:val="0"/>
        <w:adjustRightInd/>
        <w:snapToGrid/>
        <w:ind w:firstLine="1280" w:firstLineChars="400"/>
        <w:jc w:val="left"/>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第三节  推进中医药文化发展………………………20</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第八章</w:t>
      </w:r>
      <w:r>
        <w:rPr>
          <w:rFonts w:hint="eastAsia" w:ascii="楷体" w:hAnsi="楷体" w:eastAsia="楷体" w:cs="楷体"/>
          <w:sz w:val="32"/>
          <w:szCs w:val="40"/>
          <w:lang w:val="en-US" w:eastAsia="zh-CN"/>
        </w:rPr>
        <w:t xml:space="preserve">  </w:t>
      </w:r>
      <w:r>
        <w:rPr>
          <w:rFonts w:hint="eastAsia" w:ascii="黑体" w:hAnsi="黑体" w:eastAsia="黑体" w:cs="黑体"/>
          <w:sz w:val="32"/>
          <w:szCs w:val="40"/>
          <w:lang w:val="en-US" w:eastAsia="zh-CN"/>
        </w:rPr>
        <w:t>推进中医药改革创新</w:t>
      </w:r>
      <w:r>
        <w:rPr>
          <w:rFonts w:hint="eastAsia" w:ascii="楷体" w:hAnsi="楷体" w:eastAsia="楷体" w:cs="楷体"/>
          <w:sz w:val="32"/>
          <w:szCs w:val="40"/>
          <w:lang w:val="en-US" w:eastAsia="zh-CN"/>
        </w:rPr>
        <w:t>……………………………</w:t>
      </w:r>
      <w:r>
        <w:rPr>
          <w:rFonts w:hint="eastAsia" w:ascii="黑体" w:hAnsi="黑体" w:eastAsia="黑体" w:cs="黑体"/>
          <w:sz w:val="32"/>
          <w:szCs w:val="40"/>
          <w:lang w:val="en-US" w:eastAsia="zh-CN"/>
        </w:rPr>
        <w:t>21</w:t>
      </w:r>
    </w:p>
    <w:p>
      <w:pPr>
        <w:keepNext w:val="0"/>
        <w:keepLines w:val="0"/>
        <w:pageBreakBefore w:val="0"/>
        <w:widowControl w:val="0"/>
        <w:kinsoku/>
        <w:wordWrap/>
        <w:overflowPunct/>
        <w:topLinePunct w:val="0"/>
        <w:autoSpaceDE/>
        <w:autoSpaceDN/>
        <w:bidi w:val="0"/>
        <w:adjustRightInd/>
        <w:snapToGrid/>
        <w:ind w:firstLine="1280" w:firstLineChars="400"/>
        <w:jc w:val="left"/>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第一节  完善中医药价格和医保政策………………21</w:t>
      </w:r>
    </w:p>
    <w:p>
      <w:pPr>
        <w:keepNext w:val="0"/>
        <w:keepLines w:val="0"/>
        <w:pageBreakBefore w:val="0"/>
        <w:widowControl w:val="0"/>
        <w:kinsoku/>
        <w:wordWrap/>
        <w:overflowPunct/>
        <w:topLinePunct w:val="0"/>
        <w:autoSpaceDE/>
        <w:autoSpaceDN/>
        <w:bidi w:val="0"/>
        <w:adjustRightInd/>
        <w:snapToGrid/>
        <w:ind w:firstLine="1280" w:firstLineChars="400"/>
        <w:jc w:val="left"/>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第二节  建设国家中医药综合改革示范区…………22</w:t>
      </w:r>
    </w:p>
    <w:p>
      <w:pPr>
        <w:keepNext w:val="0"/>
        <w:keepLines w:val="0"/>
        <w:pageBreakBefore w:val="0"/>
        <w:widowControl w:val="0"/>
        <w:kinsoku/>
        <w:wordWrap/>
        <w:overflowPunct/>
        <w:topLinePunct w:val="0"/>
        <w:autoSpaceDE/>
        <w:autoSpaceDN/>
        <w:bidi w:val="0"/>
        <w:adjustRightInd/>
        <w:snapToGrid/>
        <w:ind w:firstLine="1232" w:firstLineChars="400"/>
        <w:jc w:val="left"/>
        <w:textAlignment w:val="auto"/>
        <w:rPr>
          <w:rFonts w:hint="default" w:ascii="楷体" w:hAnsi="楷体" w:eastAsia="楷体" w:cs="楷体"/>
          <w:spacing w:val="-6"/>
          <w:sz w:val="32"/>
          <w:szCs w:val="40"/>
          <w:lang w:val="en-US" w:eastAsia="zh-CN"/>
        </w:rPr>
      </w:pPr>
      <w:r>
        <w:rPr>
          <w:rFonts w:hint="eastAsia" w:ascii="楷体" w:hAnsi="楷体" w:eastAsia="楷体" w:cs="楷体"/>
          <w:spacing w:val="-6"/>
          <w:sz w:val="32"/>
          <w:szCs w:val="40"/>
          <w:lang w:val="en-US" w:eastAsia="zh-CN"/>
        </w:rPr>
        <w:t>第三节  构建适合中医药传承创新发展的评价体系…22</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楷体" w:hAnsi="楷体" w:eastAsia="楷体" w:cs="楷体"/>
          <w:sz w:val="32"/>
          <w:szCs w:val="40"/>
          <w:lang w:val="en-US" w:eastAsia="zh-CN"/>
        </w:rPr>
      </w:pPr>
      <w:r>
        <w:rPr>
          <w:rFonts w:hint="eastAsia" w:ascii="黑体" w:hAnsi="黑体" w:eastAsia="黑体" w:cs="黑体"/>
          <w:sz w:val="32"/>
          <w:szCs w:val="40"/>
          <w:lang w:val="en-US" w:eastAsia="zh-CN"/>
        </w:rPr>
        <w:t>第九章</w:t>
      </w:r>
      <w:r>
        <w:rPr>
          <w:rFonts w:hint="eastAsia" w:ascii="楷体" w:hAnsi="楷体" w:eastAsia="楷体" w:cs="楷体"/>
          <w:sz w:val="32"/>
          <w:szCs w:val="40"/>
          <w:lang w:val="en-US" w:eastAsia="zh-CN"/>
        </w:rPr>
        <w:t xml:space="preserve">  </w:t>
      </w:r>
      <w:r>
        <w:rPr>
          <w:rFonts w:hint="eastAsia" w:ascii="黑体" w:hAnsi="黑体" w:eastAsia="黑体" w:cs="黑体"/>
          <w:sz w:val="32"/>
          <w:szCs w:val="40"/>
          <w:lang w:val="en-US" w:eastAsia="zh-CN"/>
        </w:rPr>
        <w:t>强化中医药发展的支撑保障</w:t>
      </w:r>
      <w:r>
        <w:rPr>
          <w:rFonts w:hint="eastAsia" w:ascii="楷体" w:hAnsi="楷体" w:eastAsia="楷体" w:cs="楷体"/>
          <w:sz w:val="32"/>
          <w:szCs w:val="40"/>
          <w:lang w:val="en-US" w:eastAsia="zh-CN"/>
        </w:rPr>
        <w:t>……………………</w:t>
      </w:r>
      <w:r>
        <w:rPr>
          <w:rFonts w:hint="eastAsia" w:ascii="黑体" w:hAnsi="黑体" w:eastAsia="黑体" w:cs="黑体"/>
          <w:sz w:val="32"/>
          <w:szCs w:val="40"/>
          <w:lang w:val="en-US" w:eastAsia="zh-CN"/>
        </w:rPr>
        <w:t>22</w:t>
      </w:r>
    </w:p>
    <w:p>
      <w:pPr>
        <w:keepNext w:val="0"/>
        <w:keepLines w:val="0"/>
        <w:pageBreakBefore w:val="0"/>
        <w:widowControl w:val="0"/>
        <w:kinsoku/>
        <w:wordWrap/>
        <w:overflowPunct/>
        <w:topLinePunct w:val="0"/>
        <w:autoSpaceDE/>
        <w:autoSpaceDN/>
        <w:bidi w:val="0"/>
        <w:adjustRightInd/>
        <w:snapToGrid/>
        <w:ind w:firstLine="1280" w:firstLineChars="400"/>
        <w:jc w:val="left"/>
        <w:textAlignment w:val="auto"/>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第一节  提升中医药信息化水平……………………23</w:t>
      </w:r>
    </w:p>
    <w:p>
      <w:pPr>
        <w:keepNext w:val="0"/>
        <w:keepLines w:val="0"/>
        <w:pageBreakBefore w:val="0"/>
        <w:widowControl w:val="0"/>
        <w:kinsoku/>
        <w:wordWrap/>
        <w:overflowPunct/>
        <w:topLinePunct w:val="0"/>
        <w:autoSpaceDE/>
        <w:autoSpaceDN/>
        <w:bidi w:val="0"/>
        <w:adjustRightInd/>
        <w:snapToGrid/>
        <w:ind w:firstLine="1280" w:firstLineChars="400"/>
        <w:jc w:val="left"/>
        <w:textAlignment w:val="auto"/>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第二节  健全中医药法规体系………………………24</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第十章</w:t>
      </w:r>
      <w:r>
        <w:rPr>
          <w:rFonts w:hint="eastAsia" w:ascii="楷体" w:hAnsi="楷体" w:eastAsia="楷体" w:cs="楷体"/>
          <w:sz w:val="32"/>
          <w:szCs w:val="40"/>
          <w:lang w:val="en-US" w:eastAsia="zh-CN"/>
        </w:rPr>
        <w:t xml:space="preserve">  </w:t>
      </w:r>
      <w:r>
        <w:rPr>
          <w:rFonts w:hint="eastAsia" w:ascii="黑体" w:hAnsi="黑体" w:eastAsia="黑体" w:cs="黑体"/>
          <w:sz w:val="32"/>
          <w:szCs w:val="40"/>
          <w:lang w:val="en-US" w:eastAsia="zh-CN"/>
        </w:rPr>
        <w:t>强化组织实施</w:t>
      </w:r>
      <w:r>
        <w:rPr>
          <w:rFonts w:hint="eastAsia" w:ascii="楷体" w:hAnsi="楷体" w:eastAsia="楷体" w:cs="楷体"/>
          <w:sz w:val="32"/>
          <w:szCs w:val="40"/>
          <w:lang w:val="en-US" w:eastAsia="zh-CN"/>
        </w:rPr>
        <w:t>……………………………………</w:t>
      </w:r>
      <w:r>
        <w:rPr>
          <w:rFonts w:hint="eastAsia" w:ascii="黑体" w:hAnsi="黑体" w:eastAsia="黑体" w:cs="黑体"/>
          <w:sz w:val="32"/>
          <w:szCs w:val="40"/>
          <w:lang w:val="en-US" w:eastAsia="zh-CN"/>
        </w:rPr>
        <w:t>24</w:t>
      </w:r>
    </w:p>
    <w:p>
      <w:pPr>
        <w:keepNext w:val="0"/>
        <w:keepLines w:val="0"/>
        <w:pageBreakBefore w:val="0"/>
        <w:widowControl w:val="0"/>
        <w:kinsoku/>
        <w:wordWrap/>
        <w:overflowPunct/>
        <w:topLinePunct w:val="0"/>
        <w:autoSpaceDE/>
        <w:autoSpaceDN/>
        <w:bidi w:val="0"/>
        <w:adjustRightInd/>
        <w:snapToGrid/>
        <w:ind w:firstLine="1280" w:firstLineChars="400"/>
        <w:jc w:val="left"/>
        <w:textAlignment w:val="auto"/>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第一节  加强组织领导………………………………24</w:t>
      </w:r>
    </w:p>
    <w:p>
      <w:pPr>
        <w:keepNext w:val="0"/>
        <w:keepLines w:val="0"/>
        <w:pageBreakBefore w:val="0"/>
        <w:widowControl w:val="0"/>
        <w:kinsoku/>
        <w:wordWrap/>
        <w:overflowPunct/>
        <w:topLinePunct w:val="0"/>
        <w:autoSpaceDE/>
        <w:autoSpaceDN/>
        <w:bidi w:val="0"/>
        <w:adjustRightInd/>
        <w:snapToGrid/>
        <w:ind w:firstLine="1280" w:firstLineChars="400"/>
        <w:jc w:val="left"/>
        <w:textAlignment w:val="auto"/>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第二节  加强投入保障………………………………25</w:t>
      </w:r>
    </w:p>
    <w:p>
      <w:pPr>
        <w:keepNext w:val="0"/>
        <w:keepLines w:val="0"/>
        <w:pageBreakBefore w:val="0"/>
        <w:widowControl w:val="0"/>
        <w:kinsoku/>
        <w:wordWrap/>
        <w:overflowPunct/>
        <w:topLinePunct w:val="0"/>
        <w:autoSpaceDE/>
        <w:autoSpaceDN/>
        <w:bidi w:val="0"/>
        <w:adjustRightInd/>
        <w:snapToGrid/>
        <w:ind w:firstLine="1280" w:firstLineChars="400"/>
        <w:jc w:val="left"/>
        <w:textAlignment w:val="auto"/>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第三节  加强宣传引导………………………………25</w:t>
      </w:r>
    </w:p>
    <w:p>
      <w:pPr>
        <w:keepNext w:val="0"/>
        <w:keepLines w:val="0"/>
        <w:pageBreakBefore w:val="0"/>
        <w:widowControl w:val="0"/>
        <w:kinsoku/>
        <w:wordWrap/>
        <w:overflowPunct/>
        <w:topLinePunct w:val="0"/>
        <w:autoSpaceDE/>
        <w:autoSpaceDN/>
        <w:bidi w:val="0"/>
        <w:adjustRightInd/>
        <w:snapToGrid/>
        <w:ind w:firstLine="1280" w:firstLineChars="400"/>
        <w:jc w:val="left"/>
        <w:textAlignment w:val="auto"/>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第四节  健全实施机制………………………………25</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640" w:firstLineChars="200"/>
        <w:jc w:val="left"/>
        <w:textAlignment w:val="auto"/>
        <w:rPr>
          <w:rFonts w:hint="eastAsia" w:ascii="Times New Roman" w:hAnsi="Times New Roman" w:eastAsia="仿宋_GB2312" w:cs="Times New Roman"/>
          <w:bCs/>
          <w:kern w:val="2"/>
          <w:sz w:val="32"/>
          <w:szCs w:val="32"/>
        </w:rPr>
        <w:sectPr>
          <w:footerReference r:id="rId3" w:type="default"/>
          <w:pgSz w:w="11906" w:h="16838"/>
          <w:pgMar w:top="1440" w:right="1633" w:bottom="1440" w:left="1633" w:header="851" w:footer="992" w:gutter="0"/>
          <w:pgNumType w:fmt="decimal" w:start="1"/>
          <w:cols w:space="425" w:num="1"/>
          <w:docGrid w:type="lines" w:linePitch="312" w:charSpace="0"/>
        </w:sect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640" w:firstLineChars="200"/>
        <w:jc w:val="left"/>
        <w:textAlignment w:val="auto"/>
        <w:rPr>
          <w:rFonts w:hint="eastAsia" w:ascii="仿宋_GB2312" w:hAnsi="仿宋_GB2312" w:eastAsia="仿宋_GB2312" w:cs="仿宋_GB2312"/>
          <w:sz w:val="32"/>
          <w:szCs w:val="40"/>
          <w:lang w:val="en-US" w:eastAsia="zh-CN"/>
        </w:rPr>
      </w:pPr>
      <w:r>
        <w:rPr>
          <w:rFonts w:hint="eastAsia" w:ascii="Times New Roman" w:hAnsi="Times New Roman" w:eastAsia="仿宋_GB2312" w:cs="Times New Roman"/>
          <w:bCs/>
          <w:kern w:val="2"/>
          <w:sz w:val="32"/>
          <w:szCs w:val="32"/>
        </w:rPr>
        <w:t>“十四五”发展规划是全面建成小康社会，开启全面建设社会主义现代化国家新征程的第一个五年规划。</w:t>
      </w:r>
      <w:r>
        <w:rPr>
          <w:rFonts w:hint="eastAsia" w:ascii="仿宋_GB2312" w:hAnsi="仿宋_GB2312" w:eastAsia="仿宋_GB2312" w:cs="仿宋_GB2312"/>
          <w:sz w:val="32"/>
          <w:szCs w:val="40"/>
          <w:lang w:val="en-US" w:eastAsia="zh-CN"/>
        </w:rPr>
        <w:t>为全面贯彻党的十九大和十九届二中、三中、四中、五中、六中全会精神以及习近平总书记关于中医药工作系列重要论述和重要指示批示精神，充分发挥我市中医药特色和优势，建设优质高效中医药服务体系，促进中医药传承创新发展，根据《广东省中医药条例》《广东省中医药发展“十四五”规划》《汕尾市卫生健康事业发展“十四五”规划》，制定本规划。</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2"/>
          <w:szCs w:val="40"/>
          <w:lang w:val="en-US" w:eastAsia="zh-CN"/>
        </w:rPr>
      </w:pPr>
      <w:r>
        <w:rPr>
          <w:rFonts w:hint="eastAsia" w:ascii="方正小标宋简体" w:hAnsi="方正小标宋简体" w:eastAsia="方正小标宋简体" w:cs="方正小标宋简体"/>
          <w:sz w:val="32"/>
          <w:szCs w:val="40"/>
          <w:lang w:val="en-US" w:eastAsia="zh-CN"/>
        </w:rPr>
        <w:t>第一章  规划背景和总体要求</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第一节  发展基础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十三五”时期，汕尾市委、市政府高度重视中医药发展，全面贯彻《广东省中医药条例》，全面落实省委、省政府《关于促进中医药传承创新发展的若干措施》和全省中医药大会精神，把中医药工作摆在更加突出位置，制定出台了《汕尾市中医药传承创新发展行动方案（2021—2023年）》，中医药传承创新发展取得一定成果，制度体系建设更加健全，发展基础更加牢固，服务水平不断提升，中医药全面参与新冠肺炎疫情防控，在建设健康汕尾中发挥了重要作用。</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b/>
          <w:bCs/>
          <w:sz w:val="32"/>
          <w:szCs w:val="40"/>
          <w:lang w:val="en-US" w:eastAsia="zh-CN"/>
        </w:rPr>
        <w:t>覆盖城乡的中医药服务体系不断健全。</w:t>
      </w:r>
      <w:r>
        <w:rPr>
          <w:rFonts w:hint="eastAsia" w:ascii="仿宋_GB2312" w:hAnsi="仿宋_GB2312" w:eastAsia="仿宋_GB2312" w:cs="仿宋_GB2312"/>
          <w:sz w:val="32"/>
          <w:szCs w:val="40"/>
          <w:lang w:val="en-US" w:eastAsia="zh-CN"/>
        </w:rPr>
        <w:t>截</w:t>
      </w:r>
      <w:r>
        <w:rPr>
          <w:rFonts w:hint="eastAsia" w:ascii="仿宋_GB2312" w:hAnsi="仿宋_GB2312" w:eastAsia="仿宋_GB2312" w:cs="仿宋_GB2312"/>
          <w:sz w:val="32"/>
          <w:szCs w:val="40"/>
          <w:highlight w:val="none"/>
          <w:lang w:val="en-US" w:eastAsia="zh-CN"/>
        </w:rPr>
        <w:t>至2020年</w:t>
      </w:r>
      <w:r>
        <w:rPr>
          <w:rFonts w:hint="eastAsia" w:ascii="仿宋_GB2312" w:hAnsi="仿宋_GB2312" w:eastAsia="仿宋_GB2312" w:cs="仿宋_GB2312"/>
          <w:sz w:val="32"/>
          <w:szCs w:val="40"/>
          <w:lang w:val="en-US" w:eastAsia="zh-CN"/>
        </w:rPr>
        <w:t>底，全市中医</w:t>
      </w:r>
      <w:r>
        <w:rPr>
          <w:rFonts w:hint="eastAsia" w:ascii="仿宋_GB2312" w:hAnsi="仿宋_GB2312" w:eastAsia="仿宋_GB2312" w:cs="仿宋_GB2312"/>
          <w:sz w:val="32"/>
          <w:szCs w:val="40"/>
          <w:highlight w:val="none"/>
          <w:lang w:val="en-US" w:eastAsia="zh-CN"/>
        </w:rPr>
        <w:t>类医院达到5家，其中二级甲等1家；中医床位增加到561张，每千人口中医床位数达到0.21张；中医类别执业（助理）医师达到816人，每万人口中医类别执业（助理）医师数达到3.06人；全市中医类诊所和村卫生室达到1118个，基层医疗卫生机构中医馆实现全市100%覆盖，100%的乡镇卫生院和社区卫生服务中心、83.13%的村卫生室能提供中医药服务；65岁及以上老年人和0-36个月儿童的中医药健康管理服务数分别为55.7%和73.6%,中医药服务的可及性进一步提升。</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中医药全程深度介入新冠肺炎疫情防控，公共卫生应急能力显著提升。</w:t>
      </w:r>
      <w:r>
        <w:rPr>
          <w:rFonts w:hint="eastAsia" w:ascii="仿宋_GB2312" w:hAnsi="仿宋_GB2312" w:eastAsia="仿宋_GB2312" w:cs="仿宋_GB2312"/>
          <w:b w:val="0"/>
          <w:bCs w:val="0"/>
          <w:sz w:val="32"/>
          <w:szCs w:val="40"/>
          <w:lang w:val="en-US" w:eastAsia="zh-CN"/>
        </w:rPr>
        <w:t>我市及时</w:t>
      </w:r>
      <w:r>
        <w:rPr>
          <w:rFonts w:hint="eastAsia" w:ascii="仿宋_GB2312" w:hAnsi="仿宋_GB2312" w:eastAsia="仿宋_GB2312" w:cs="仿宋_GB2312"/>
          <w:sz w:val="32"/>
          <w:szCs w:val="40"/>
          <w:lang w:val="en-US" w:eastAsia="zh-CN"/>
        </w:rPr>
        <w:t>成立由中医药分管领导任组长的市级新冠肺炎医疗救治领导小组，组建了由中医药专家任组长的市级新冠肺炎医疗救治专家组，制定发布市级中医药防控工作方案，深度介入预防、治疗和康复全过程，中医药参与治疗确诊病例的比例100%。</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val="0"/>
          <w:bCs w:val="0"/>
          <w:sz w:val="32"/>
          <w:szCs w:val="40"/>
          <w:highlight w:val="yellow"/>
          <w:lang w:val="en-US" w:eastAsia="zh-CN"/>
        </w:rPr>
      </w:pPr>
      <w:r>
        <w:rPr>
          <w:rFonts w:hint="eastAsia" w:ascii="仿宋_GB2312" w:hAnsi="仿宋_GB2312" w:eastAsia="仿宋_GB2312" w:cs="仿宋_GB2312"/>
          <w:b/>
          <w:bCs/>
          <w:sz w:val="32"/>
          <w:szCs w:val="40"/>
          <w:highlight w:val="none"/>
          <w:lang w:val="en-US" w:eastAsia="zh-CN"/>
        </w:rPr>
        <w:t>中医药继承与创新能力有效提升。</w:t>
      </w:r>
      <w:r>
        <w:rPr>
          <w:rFonts w:hint="eastAsia" w:ascii="仿宋_GB2312" w:hAnsi="仿宋_GB2312" w:eastAsia="仿宋_GB2312" w:cs="仿宋_GB2312"/>
          <w:b w:val="0"/>
          <w:bCs w:val="0"/>
          <w:color w:val="auto"/>
          <w:sz w:val="32"/>
          <w:szCs w:val="40"/>
          <w:highlight w:val="none"/>
          <w:lang w:val="en-US" w:eastAsia="zh-CN"/>
        </w:rPr>
        <w:t>建立柯青</w:t>
      </w:r>
      <w:r>
        <w:rPr>
          <w:rFonts w:hint="eastAsia" w:ascii="仿宋_GB2312" w:hAnsi="仿宋_GB2312" w:eastAsia="仿宋_GB2312" w:cs="仿宋_GB2312"/>
          <w:b w:val="0"/>
          <w:bCs w:val="0"/>
          <w:sz w:val="32"/>
          <w:szCs w:val="40"/>
          <w:highlight w:val="none"/>
          <w:lang w:val="en-US" w:eastAsia="zh-CN"/>
        </w:rPr>
        <w:t>省级名中医工作室，</w:t>
      </w:r>
      <w:r>
        <w:rPr>
          <w:rFonts w:hint="eastAsia" w:ascii="仿宋_GB2312" w:hAnsi="仿宋_GB2312" w:eastAsia="仿宋_GB2312" w:cs="仿宋_GB2312"/>
          <w:sz w:val="32"/>
          <w:szCs w:val="32"/>
          <w:highlight w:val="none"/>
          <w:lang w:val="en-US" w:eastAsia="zh-CN"/>
        </w:rPr>
        <w:t>整理了一批</w:t>
      </w:r>
      <w:r>
        <w:rPr>
          <w:rFonts w:hint="eastAsia" w:ascii="仿宋_GB2312" w:hAnsi="仿宋_GB2312" w:eastAsia="仿宋_GB2312" w:cs="仿宋_GB2312"/>
          <w:b w:val="0"/>
          <w:bCs/>
          <w:sz w:val="32"/>
          <w:szCs w:val="32"/>
          <w:highlight w:val="none"/>
          <w:lang w:val="en-US" w:eastAsia="zh-CN"/>
        </w:rPr>
        <w:t>名老中医医案及处方等原始资料，</w:t>
      </w:r>
      <w:r>
        <w:rPr>
          <w:rFonts w:hint="eastAsia" w:ascii="仿宋_GB2312" w:hAnsi="仿宋_GB2312" w:eastAsia="仿宋_GB2312" w:cs="仿宋_GB2312"/>
          <w:sz w:val="32"/>
          <w:szCs w:val="32"/>
          <w:lang w:val="en-US" w:eastAsia="zh-CN"/>
        </w:rPr>
        <w:t>整理形成了单纯性胸腰椎骨折诊疗方案、股骨粗隆间骨折诊疗方案、桡骨远端骨折诊疗方案3个优势病种诊疗方案，</w:t>
      </w:r>
      <w:r>
        <w:rPr>
          <w:rFonts w:hint="eastAsia" w:ascii="仿宋_GB2312" w:hAnsi="仿宋_GB2312" w:eastAsia="仿宋_GB2312" w:cs="仿宋_GB2312"/>
          <w:b w:val="0"/>
          <w:bCs/>
          <w:sz w:val="32"/>
          <w:szCs w:val="32"/>
          <w:highlight w:val="none"/>
          <w:lang w:val="en-US" w:eastAsia="zh-CN"/>
        </w:rPr>
        <w:t>持续</w:t>
      </w:r>
      <w:r>
        <w:rPr>
          <w:rFonts w:hint="eastAsia" w:ascii="仿宋_GB2312" w:hAnsi="仿宋_GB2312" w:eastAsia="仿宋_GB2312" w:cs="仿宋_GB2312"/>
          <w:sz w:val="32"/>
          <w:szCs w:val="32"/>
          <w:highlight w:val="none"/>
          <w:lang w:val="en-US" w:eastAsia="zh-CN"/>
        </w:rPr>
        <w:t>推广省名中医的学术思想及临床经验</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sz w:val="32"/>
          <w:szCs w:val="32"/>
          <w:lang w:val="en-US" w:eastAsia="zh-CN"/>
        </w:rPr>
        <w:t>加强中医药继承与创新，</w:t>
      </w:r>
      <w:r>
        <w:rPr>
          <w:rFonts w:hint="eastAsia" w:ascii="仿宋_GB2312" w:hAnsi="仿宋_GB2312" w:eastAsia="仿宋_GB2312" w:cs="仿宋_GB2312"/>
          <w:sz w:val="32"/>
          <w:szCs w:val="32"/>
        </w:rPr>
        <w:t>提升</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中医临床诊疗水平和科研能力，</w:t>
      </w:r>
      <w:r>
        <w:rPr>
          <w:rFonts w:hint="eastAsia" w:ascii="仿宋_GB2312" w:hAnsi="仿宋_GB2312" w:eastAsia="仿宋_GB2312" w:cs="仿宋_GB2312"/>
          <w:b w:val="0"/>
          <w:bCs/>
          <w:sz w:val="32"/>
          <w:szCs w:val="32"/>
          <w:lang w:val="en-US" w:eastAsia="zh-CN"/>
        </w:rPr>
        <w:t>人才队伍得到更好的培养传承</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中医药人才队伍建设扎实推进。</w:t>
      </w:r>
      <w:r>
        <w:rPr>
          <w:rFonts w:hint="eastAsia" w:ascii="仿宋_GB2312" w:hAnsi="仿宋_GB2312" w:eastAsia="仿宋_GB2312" w:cs="仿宋_GB2312"/>
          <w:sz w:val="32"/>
          <w:szCs w:val="40"/>
          <w:lang w:val="en-US" w:eastAsia="zh-CN"/>
        </w:rPr>
        <w:t>院校教育、毕业后教育、继续教育有机衔接，师承教育贯穿始终的中医药人才培养体系更加完善。人才培养持续推进，截止到2020年，中医类别执业</w:t>
      </w:r>
      <w:r>
        <w:rPr>
          <w:rFonts w:hint="eastAsia" w:ascii="仿宋_GB2312" w:hAnsi="仿宋_GB2312" w:eastAsia="仿宋_GB2312" w:cs="仿宋_GB2312"/>
          <w:sz w:val="32"/>
          <w:szCs w:val="40"/>
          <w:highlight w:val="none"/>
          <w:lang w:val="en-US" w:eastAsia="zh-CN"/>
        </w:rPr>
        <w:t>医师816名，其中高级职称33名、中级职称79名</w:t>
      </w:r>
      <w:r>
        <w:rPr>
          <w:rFonts w:hint="default" w:ascii="仿宋_GB2312" w:hAnsi="仿宋_GB2312" w:eastAsia="仿宋_GB2312" w:cs="仿宋_GB2312"/>
          <w:sz w:val="32"/>
          <w:szCs w:val="40"/>
          <w:lang w:val="en-US" w:eastAsia="zh-CN"/>
        </w:rPr>
        <w:t>。建设省</w:t>
      </w:r>
      <w:r>
        <w:rPr>
          <w:rFonts w:hint="eastAsia" w:ascii="仿宋_GB2312" w:hAnsi="仿宋_GB2312" w:eastAsia="仿宋_GB2312" w:cs="仿宋_GB2312"/>
          <w:sz w:val="32"/>
          <w:szCs w:val="40"/>
          <w:lang w:val="en-US" w:eastAsia="zh-CN"/>
        </w:rPr>
        <w:t>级</w:t>
      </w:r>
      <w:r>
        <w:rPr>
          <w:rFonts w:hint="default" w:ascii="仿宋_GB2312" w:hAnsi="仿宋_GB2312" w:eastAsia="仿宋_GB2312" w:cs="仿宋_GB2312"/>
          <w:sz w:val="32"/>
          <w:szCs w:val="40"/>
          <w:lang w:val="en-US" w:eastAsia="zh-CN"/>
        </w:rPr>
        <w:t>名中医传承工作室</w:t>
      </w:r>
      <w:r>
        <w:rPr>
          <w:rFonts w:hint="eastAsia" w:ascii="仿宋_GB2312" w:hAnsi="仿宋_GB2312" w:eastAsia="仿宋_GB2312" w:cs="仿宋_GB2312"/>
          <w:sz w:val="32"/>
          <w:szCs w:val="40"/>
          <w:lang w:val="en-US" w:eastAsia="zh-CN"/>
        </w:rPr>
        <w:t>1</w:t>
      </w:r>
      <w:r>
        <w:rPr>
          <w:rFonts w:hint="default" w:ascii="仿宋_GB2312" w:hAnsi="仿宋_GB2312" w:eastAsia="仿宋_GB2312" w:cs="仿宋_GB2312"/>
          <w:sz w:val="32"/>
          <w:szCs w:val="40"/>
          <w:lang w:val="en-US" w:eastAsia="zh-CN"/>
        </w:rPr>
        <w:t>个，各层次中医药人才队伍发展不断壮大。</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b/>
          <w:bCs/>
          <w:sz w:val="32"/>
          <w:szCs w:val="40"/>
          <w:highlight w:val="none"/>
          <w:lang w:val="en-US" w:eastAsia="zh-CN"/>
        </w:rPr>
        <w:t>中医药文化建设步伐加快。</w:t>
      </w:r>
      <w:r>
        <w:rPr>
          <w:rFonts w:hint="default" w:ascii="仿宋_GB2312" w:hAnsi="仿宋_GB2312" w:eastAsia="仿宋_GB2312" w:cs="仿宋_GB2312"/>
          <w:sz w:val="32"/>
          <w:szCs w:val="40"/>
          <w:lang w:val="en-US" w:eastAsia="zh-CN"/>
        </w:rPr>
        <w:t>开展弘扬大医精诚主题活动，塑造中医药行业新风貌。持续开展中医药文化科普宣传系列活动，实现进乡村、进社区、进学校、进机关、进企业、进家庭</w:t>
      </w:r>
      <w:r>
        <w:rPr>
          <w:rFonts w:hint="eastAsia" w:ascii="仿宋_GB2312" w:hAnsi="仿宋_GB2312" w:eastAsia="仿宋_GB2312" w:cs="仿宋_GB2312"/>
          <w:sz w:val="32"/>
          <w:szCs w:val="40"/>
          <w:lang w:val="en-US" w:eastAsia="zh-CN"/>
        </w:rPr>
        <w:t>，提升了全市居民中医药健康文化素养，弘扬了中医药传统文化</w:t>
      </w:r>
      <w:r>
        <w:rPr>
          <w:rFonts w:hint="default"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lang w:val="en-US" w:eastAsia="zh-CN"/>
        </w:rPr>
        <w:t>定期组织中医药医务人员开展义医义诊活动，传播科学准确的中医理念。</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default" w:ascii="仿宋_GB2312" w:hAnsi="仿宋_GB2312" w:eastAsia="仿宋_GB2312" w:cs="仿宋_GB2312"/>
          <w:sz w:val="32"/>
          <w:szCs w:val="40"/>
          <w:highlight w:val="yellow"/>
          <w:lang w:val="en-US" w:eastAsia="zh-CN"/>
        </w:rPr>
      </w:pPr>
      <w:r>
        <w:rPr>
          <w:rFonts w:hint="default" w:ascii="仿宋_GB2312" w:hAnsi="仿宋_GB2312" w:eastAsia="仿宋_GB2312" w:cs="仿宋_GB2312"/>
          <w:b/>
          <w:bCs/>
          <w:sz w:val="32"/>
          <w:szCs w:val="40"/>
          <w:highlight w:val="none"/>
          <w:lang w:val="en-US" w:eastAsia="zh-CN"/>
        </w:rPr>
        <w:t>中医药健康产业支撑保障进一步加强，发展质量不断提高。</w:t>
      </w:r>
      <w:r>
        <w:rPr>
          <w:rFonts w:hint="default" w:ascii="仿宋_GB2312" w:hAnsi="仿宋_GB2312" w:eastAsia="仿宋_GB2312" w:cs="仿宋_GB2312"/>
          <w:sz w:val="32"/>
          <w:szCs w:val="40"/>
          <w:highlight w:val="none"/>
          <w:lang w:val="en-US" w:eastAsia="zh-CN"/>
        </w:rPr>
        <w:t>加强中药资源保护和利用</w:t>
      </w:r>
      <w:r>
        <w:rPr>
          <w:rFonts w:hint="eastAsia" w:ascii="仿宋_GB2312" w:hAnsi="仿宋_GB2312" w:eastAsia="仿宋_GB2312" w:cs="仿宋_GB2312"/>
          <w:sz w:val="32"/>
          <w:szCs w:val="40"/>
          <w:highlight w:val="none"/>
          <w:lang w:val="en-US" w:eastAsia="zh-CN"/>
        </w:rPr>
        <w:t>，落实</w:t>
      </w:r>
      <w:r>
        <w:rPr>
          <w:rFonts w:hint="default" w:ascii="仿宋_GB2312" w:hAnsi="仿宋_GB2312" w:eastAsia="仿宋_GB2312" w:cs="仿宋_GB2312"/>
          <w:sz w:val="32"/>
          <w:szCs w:val="40"/>
          <w:highlight w:val="none"/>
          <w:lang w:val="en-US" w:eastAsia="zh-CN"/>
        </w:rPr>
        <w:t>《广东省岭南中药材保护条例》，对广东道地特征的岭南中药材的种源、产地、种植、品牌进行保护。</w:t>
      </w:r>
      <w:r>
        <w:rPr>
          <w:rFonts w:hint="eastAsia" w:ascii="仿宋_GB2312" w:hAnsi="仿宋_GB2312" w:eastAsia="仿宋_GB2312" w:cs="仿宋_GB2312"/>
          <w:sz w:val="32"/>
          <w:szCs w:val="40"/>
          <w:highlight w:val="none"/>
          <w:lang w:val="en-US" w:eastAsia="zh-CN"/>
        </w:rPr>
        <w:t>鼓励中医药项目建设，加强“中医药+产业”融合发展，</w:t>
      </w:r>
      <w:r>
        <w:rPr>
          <w:rFonts w:hint="default" w:ascii="仿宋_GB2312" w:hAnsi="仿宋_GB2312" w:eastAsia="仿宋_GB2312" w:cs="仿宋_GB2312"/>
          <w:sz w:val="32"/>
          <w:szCs w:val="40"/>
          <w:highlight w:val="none"/>
          <w:lang w:val="en-US" w:eastAsia="zh-CN"/>
        </w:rPr>
        <w:t>积极推动中</w:t>
      </w:r>
      <w:r>
        <w:rPr>
          <w:rFonts w:hint="eastAsia" w:ascii="仿宋_GB2312" w:hAnsi="仿宋_GB2312" w:eastAsia="仿宋_GB2312" w:cs="仿宋_GB2312"/>
          <w:sz w:val="32"/>
          <w:szCs w:val="40"/>
          <w:highlight w:val="none"/>
          <w:lang w:val="en-US" w:eastAsia="zh-CN"/>
        </w:rPr>
        <w:t>医药产业</w:t>
      </w:r>
      <w:r>
        <w:rPr>
          <w:rFonts w:hint="default" w:ascii="仿宋_GB2312" w:hAnsi="仿宋_GB2312" w:eastAsia="仿宋_GB2312" w:cs="仿宋_GB2312"/>
          <w:sz w:val="32"/>
          <w:szCs w:val="40"/>
          <w:highlight w:val="none"/>
          <w:lang w:val="en-US" w:eastAsia="zh-CN"/>
        </w:rPr>
        <w:t>高质量发展。</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第二节  发展形势</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当前，中医药发展正处于重要的战略机遇期。</w:t>
      </w:r>
      <w:r>
        <w:rPr>
          <w:rFonts w:hint="eastAsia" w:ascii="仿宋_GB2312" w:hAnsi="仿宋_GB2312" w:eastAsia="仿宋_GB2312" w:cs="仿宋_GB2312"/>
          <w:sz w:val="32"/>
          <w:szCs w:val="40"/>
          <w:lang w:val="en-US" w:eastAsia="zh-CN"/>
        </w:rPr>
        <w:t>汕尾市</w:t>
      </w:r>
      <w:r>
        <w:rPr>
          <w:rFonts w:hint="default" w:ascii="仿宋_GB2312" w:hAnsi="仿宋_GB2312" w:eastAsia="仿宋_GB2312" w:cs="仿宋_GB2312"/>
          <w:sz w:val="32"/>
          <w:szCs w:val="40"/>
          <w:lang w:val="en-US" w:eastAsia="zh-CN"/>
        </w:rPr>
        <w:t>全体中医药同仁紧密地团结在以习近平同志为核心的党中央周围，深入贯彻落实总书记关于中医药发展的重要论述精神，坚定不移推动我</w:t>
      </w:r>
      <w:r>
        <w:rPr>
          <w:rFonts w:hint="eastAsia" w:ascii="仿宋_GB2312" w:hAnsi="仿宋_GB2312" w:eastAsia="仿宋_GB2312" w:cs="仿宋_GB2312"/>
          <w:sz w:val="32"/>
          <w:szCs w:val="40"/>
          <w:lang w:val="en-US" w:eastAsia="zh-CN"/>
        </w:rPr>
        <w:t>市</w:t>
      </w:r>
      <w:r>
        <w:rPr>
          <w:rFonts w:hint="default" w:ascii="仿宋_GB2312" w:hAnsi="仿宋_GB2312" w:eastAsia="仿宋_GB2312" w:cs="仿宋_GB2312"/>
          <w:sz w:val="32"/>
          <w:szCs w:val="40"/>
          <w:lang w:val="en-US" w:eastAsia="zh-CN"/>
        </w:rPr>
        <w:t>中医药事业和产业高质量发展。</w:t>
      </w:r>
      <w:r>
        <w:rPr>
          <w:rFonts w:hint="eastAsia" w:ascii="仿宋_GB2312" w:hAnsi="仿宋_GB2312" w:eastAsia="仿宋_GB2312" w:cs="仿宋_GB2312"/>
          <w:sz w:val="32"/>
          <w:szCs w:val="40"/>
          <w:lang w:val="en-US" w:eastAsia="zh-CN"/>
        </w:rPr>
        <w:t>市</w:t>
      </w:r>
      <w:r>
        <w:rPr>
          <w:rFonts w:hint="default" w:ascii="仿宋_GB2312" w:hAnsi="仿宋_GB2312" w:eastAsia="仿宋_GB2312" w:cs="仿宋_GB2312"/>
          <w:sz w:val="32"/>
          <w:szCs w:val="40"/>
          <w:lang w:val="en-US" w:eastAsia="zh-CN"/>
        </w:rPr>
        <w:t>委、</w:t>
      </w:r>
      <w:r>
        <w:rPr>
          <w:rFonts w:hint="eastAsia" w:ascii="仿宋_GB2312" w:hAnsi="仿宋_GB2312" w:eastAsia="仿宋_GB2312" w:cs="仿宋_GB2312"/>
          <w:sz w:val="32"/>
          <w:szCs w:val="40"/>
          <w:lang w:val="en-US" w:eastAsia="zh-CN"/>
        </w:rPr>
        <w:t>市</w:t>
      </w:r>
      <w:r>
        <w:rPr>
          <w:rFonts w:hint="default" w:ascii="仿宋_GB2312" w:hAnsi="仿宋_GB2312" w:eastAsia="仿宋_GB2312" w:cs="仿宋_GB2312"/>
          <w:sz w:val="32"/>
          <w:szCs w:val="40"/>
          <w:lang w:val="en-US" w:eastAsia="zh-CN"/>
        </w:rPr>
        <w:t>政府的各项政策为中医药发展提供了有力的政策支撑；我</w:t>
      </w:r>
      <w:r>
        <w:rPr>
          <w:rFonts w:hint="eastAsia" w:ascii="仿宋_GB2312" w:hAnsi="仿宋_GB2312" w:eastAsia="仿宋_GB2312" w:cs="仿宋_GB2312"/>
          <w:sz w:val="32"/>
          <w:szCs w:val="40"/>
          <w:lang w:val="en-US" w:eastAsia="zh-CN"/>
        </w:rPr>
        <w:t>市</w:t>
      </w:r>
      <w:r>
        <w:rPr>
          <w:rFonts w:hint="default" w:ascii="仿宋_GB2312" w:hAnsi="仿宋_GB2312" w:eastAsia="仿宋_GB2312" w:cs="仿宋_GB2312"/>
          <w:sz w:val="32"/>
          <w:szCs w:val="40"/>
          <w:lang w:val="en-US" w:eastAsia="zh-CN"/>
        </w:rPr>
        <w:t>人民群众的健康需求向多样化、多层次转变，对中医药的认可度大幅提升，为中医药发展提供了广阔空间；中医药强</w:t>
      </w:r>
      <w:r>
        <w:rPr>
          <w:rFonts w:hint="eastAsia" w:ascii="仿宋_GB2312" w:hAnsi="仿宋_GB2312" w:eastAsia="仿宋_GB2312" w:cs="仿宋_GB2312"/>
          <w:sz w:val="32"/>
          <w:szCs w:val="40"/>
          <w:lang w:val="en-US" w:eastAsia="zh-CN"/>
        </w:rPr>
        <w:t>市</w:t>
      </w:r>
      <w:r>
        <w:rPr>
          <w:rFonts w:hint="default" w:ascii="仿宋_GB2312" w:hAnsi="仿宋_GB2312" w:eastAsia="仿宋_GB2312" w:cs="仿宋_GB2312"/>
          <w:sz w:val="32"/>
          <w:szCs w:val="40"/>
          <w:lang w:val="en-US" w:eastAsia="zh-CN"/>
        </w:rPr>
        <w:t>建设为中医药发展提供了强劲动力，“十四五”期间</w:t>
      </w:r>
      <w:r>
        <w:rPr>
          <w:rFonts w:hint="eastAsia" w:ascii="仿宋_GB2312" w:hAnsi="仿宋_GB2312" w:eastAsia="仿宋_GB2312" w:cs="仿宋_GB2312"/>
          <w:sz w:val="32"/>
          <w:szCs w:val="40"/>
          <w:lang w:val="en-US" w:eastAsia="zh-CN"/>
        </w:rPr>
        <w:t>汕尾</w:t>
      </w:r>
      <w:r>
        <w:rPr>
          <w:rFonts w:hint="default" w:ascii="仿宋_GB2312" w:hAnsi="仿宋_GB2312" w:eastAsia="仿宋_GB2312" w:cs="仿宋_GB2312"/>
          <w:sz w:val="32"/>
          <w:szCs w:val="40"/>
          <w:lang w:val="en-US" w:eastAsia="zh-CN"/>
        </w:rPr>
        <w:t>中医药必将迎来更好的前景。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同时，中医药发展面临新的挑战。我</w:t>
      </w:r>
      <w:r>
        <w:rPr>
          <w:rFonts w:hint="eastAsia" w:ascii="仿宋_GB2312" w:hAnsi="仿宋_GB2312" w:eastAsia="仿宋_GB2312" w:cs="仿宋_GB2312"/>
          <w:sz w:val="32"/>
          <w:szCs w:val="40"/>
          <w:lang w:val="en-US" w:eastAsia="zh-CN"/>
        </w:rPr>
        <w:t>市</w:t>
      </w:r>
      <w:r>
        <w:rPr>
          <w:rFonts w:hint="default" w:ascii="仿宋_GB2312" w:hAnsi="仿宋_GB2312" w:eastAsia="仿宋_GB2312" w:cs="仿宋_GB2312"/>
          <w:sz w:val="32"/>
          <w:szCs w:val="40"/>
          <w:lang w:val="en-US" w:eastAsia="zh-CN"/>
        </w:rPr>
        <w:t>中医药的发展与人民群众多层次、多样化的需求仍存在不小差距，</w:t>
      </w:r>
      <w:r>
        <w:rPr>
          <w:rFonts w:hint="eastAsia" w:ascii="仿宋_GB2312" w:hAnsi="仿宋_GB2312" w:eastAsia="仿宋_GB2312" w:cs="仿宋_GB2312"/>
          <w:sz w:val="32"/>
          <w:szCs w:val="40"/>
          <w:lang w:val="en-US" w:eastAsia="zh-CN"/>
        </w:rPr>
        <w:t>中医资源基础薄弱，市区没有中医医院，</w:t>
      </w:r>
      <w:r>
        <w:rPr>
          <w:rFonts w:hint="default" w:ascii="仿宋_GB2312" w:hAnsi="仿宋_GB2312" w:eastAsia="仿宋_GB2312" w:cs="仿宋_GB2312"/>
          <w:sz w:val="32"/>
          <w:szCs w:val="40"/>
          <w:lang w:val="en-US" w:eastAsia="zh-CN"/>
        </w:rPr>
        <w:t>公共卫生应急能力不突出，中医药人才总量不足，创新体系不完善，发展特色不突出，中医药治理能力现代化亟待加强。</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第三节  指导思想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以习近平新时代中国特色社会主义思想为指导，按照党中央、国务院传承创新发展中医药的部署，把握新发展阶段，贯彻新发展理念，构建新发展格局，坚持中西医并重，以人民健康为中心，</w:t>
      </w:r>
      <w:r>
        <w:rPr>
          <w:rFonts w:hint="eastAsia" w:ascii="仿宋_GB2312" w:hAnsi="仿宋_GB2312" w:eastAsia="仿宋_GB2312" w:cs="仿宋_GB2312"/>
          <w:sz w:val="32"/>
          <w:szCs w:val="40"/>
          <w:lang w:val="en-US" w:eastAsia="zh-CN"/>
        </w:rPr>
        <w:t>以高质量发展为主题，以传承精华、守正创新为主线，以深化改革、完善机制为动力，以市级中医医院建设为抓手，建高地、育名医、补短板、强基层、推创新、兴产业、扬文化、保健康，助力健康汕尾建设和我市国民经济与社会发展。</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第四节  基本原则</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——坚持党的全面领导。</w:t>
      </w:r>
      <w:r>
        <w:rPr>
          <w:rFonts w:hint="eastAsia" w:ascii="仿宋_GB2312" w:hAnsi="仿宋_GB2312" w:eastAsia="仿宋_GB2312" w:cs="仿宋_GB2312"/>
          <w:sz w:val="32"/>
          <w:szCs w:val="40"/>
          <w:lang w:val="en-US" w:eastAsia="zh-CN"/>
        </w:rPr>
        <w:t>完善党领导中医药事业发展的体制机制，将党的领导落实到中医药发展的各方面各环节，强化提高人民健康水平的制度保障，有效提升中医药治理效能，为中医药传承创新发展提供根本保证。</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——坚持以健康为中心。</w:t>
      </w:r>
      <w:r>
        <w:rPr>
          <w:rFonts w:hint="eastAsia" w:ascii="仿宋_GB2312" w:hAnsi="仿宋_GB2312" w:eastAsia="仿宋_GB2312" w:cs="仿宋_GB2312"/>
          <w:sz w:val="32"/>
          <w:szCs w:val="40"/>
          <w:lang w:val="en-US" w:eastAsia="zh-CN"/>
        </w:rPr>
        <w:t>坚持把人民群众生命安全和身体健康放在第一位，坚持把满足人民群众中医药健康需求作为出发点和落脚点，保障人民享有安全有效方便的中医药服务。</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——坚持改革创新发展。</w:t>
      </w:r>
      <w:r>
        <w:rPr>
          <w:rFonts w:hint="eastAsia" w:ascii="仿宋_GB2312" w:hAnsi="仿宋_GB2312" w:eastAsia="仿宋_GB2312" w:cs="仿宋_GB2312"/>
          <w:sz w:val="32"/>
          <w:szCs w:val="40"/>
          <w:lang w:val="en-US" w:eastAsia="zh-CN"/>
        </w:rPr>
        <w:t>健全中医药管理体制、政策体系，深化中医药在医疗服务、医保制度、药品审批等领域的综合改革，创新评价与激励机制，鼓励先行先试，稳步推进中医药治理体系与治理能力现代化。</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bCs/>
          <w:sz w:val="32"/>
          <w:szCs w:val="40"/>
          <w:lang w:val="en-US" w:eastAsia="zh-CN"/>
        </w:rPr>
        <w:t>——坚持遵循自身规律。</w:t>
      </w:r>
      <w:r>
        <w:rPr>
          <w:rFonts w:hint="eastAsia" w:ascii="仿宋_GB2312" w:hAnsi="仿宋_GB2312" w:eastAsia="仿宋_GB2312" w:cs="仿宋_GB2312"/>
          <w:b w:val="0"/>
          <w:bCs w:val="0"/>
          <w:sz w:val="32"/>
          <w:szCs w:val="40"/>
          <w:lang w:val="en-US" w:eastAsia="zh-CN"/>
        </w:rPr>
        <w:t>坚持和发挥岭南中医药特色优势，坚持中医药原创思维，建立符合中医药特点的服务体系、服务模式、管理模式、人才培养模式，推动汕尾中医药传承创新发展。</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jc w:val="center"/>
        <w:textAlignment w:val="auto"/>
        <w:rPr>
          <w:rFonts w:hint="default" w:ascii="黑体" w:hAnsi="黑体" w:eastAsia="黑体" w:cs="黑体"/>
          <w:sz w:val="32"/>
          <w:szCs w:val="40"/>
          <w:lang w:val="en-US" w:eastAsia="zh-CN"/>
        </w:rPr>
      </w:pPr>
      <w:r>
        <w:rPr>
          <w:rFonts w:hint="default" w:ascii="黑体" w:hAnsi="黑体" w:eastAsia="黑体" w:cs="黑体"/>
          <w:sz w:val="32"/>
          <w:szCs w:val="40"/>
          <w:lang w:val="en-US" w:eastAsia="zh-CN"/>
        </w:rPr>
        <w:t>第五节</w:t>
      </w:r>
      <w:r>
        <w:rPr>
          <w:rFonts w:hint="eastAsia" w:ascii="黑体" w:hAnsi="黑体" w:eastAsia="黑体" w:cs="黑体"/>
          <w:sz w:val="32"/>
          <w:szCs w:val="40"/>
          <w:lang w:val="en-US" w:eastAsia="zh-CN"/>
        </w:rPr>
        <w:t xml:space="preserve">  </w:t>
      </w:r>
      <w:r>
        <w:rPr>
          <w:rFonts w:hint="default" w:ascii="黑体" w:hAnsi="黑体" w:eastAsia="黑体" w:cs="黑体"/>
          <w:sz w:val="32"/>
          <w:szCs w:val="40"/>
          <w:lang w:val="en-US" w:eastAsia="zh-CN"/>
        </w:rPr>
        <w:t>发展目标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bCs/>
          <w:sz w:val="32"/>
          <w:szCs w:val="40"/>
          <w:lang w:val="en-US" w:eastAsia="zh-CN"/>
        </w:rPr>
      </w:pPr>
      <w:r>
        <w:rPr>
          <w:rFonts w:hint="default" w:ascii="仿宋_GB2312" w:hAnsi="仿宋_GB2312" w:eastAsia="仿宋_GB2312" w:cs="仿宋_GB2312"/>
          <w:b w:val="0"/>
          <w:bCs w:val="0"/>
          <w:sz w:val="32"/>
          <w:szCs w:val="40"/>
          <w:lang w:val="en-US" w:eastAsia="zh-CN"/>
        </w:rPr>
        <w:t>到2025年，覆盖我</w:t>
      </w:r>
      <w:r>
        <w:rPr>
          <w:rFonts w:hint="eastAsia" w:ascii="仿宋_GB2312" w:hAnsi="仿宋_GB2312" w:eastAsia="仿宋_GB2312" w:cs="仿宋_GB2312"/>
          <w:b w:val="0"/>
          <w:bCs w:val="0"/>
          <w:sz w:val="32"/>
          <w:szCs w:val="40"/>
          <w:lang w:val="en-US" w:eastAsia="zh-CN"/>
        </w:rPr>
        <w:t>市</w:t>
      </w:r>
      <w:r>
        <w:rPr>
          <w:rFonts w:hint="default" w:ascii="仿宋_GB2312" w:hAnsi="仿宋_GB2312" w:eastAsia="仿宋_GB2312" w:cs="仿宋_GB2312"/>
          <w:b w:val="0"/>
          <w:bCs w:val="0"/>
          <w:sz w:val="32"/>
          <w:szCs w:val="40"/>
          <w:lang w:val="en-US" w:eastAsia="zh-CN"/>
        </w:rPr>
        <w:t>全民和全生命周期的中医药服务体系基本健全，人人享有更加系统连续、更高质量的中医药服务，中西医协同协作的公共卫生应急体制机制基本健全，中医药传承创新能力进一步强化，中医药人才队伍稳步壮大，中医药健康产业发展水平迈上新台阶。</w:t>
      </w:r>
      <w:r>
        <w:rPr>
          <w:rFonts w:hint="default" w:ascii="仿宋_GB2312" w:hAnsi="仿宋_GB2312" w:eastAsia="仿宋_GB2312" w:cs="仿宋_GB2312"/>
          <w:b/>
          <w:bCs/>
          <w:sz w:val="32"/>
          <w:szCs w:val="40"/>
          <w:lang w:val="en-US" w:eastAsia="zh-CN"/>
        </w:rPr>
        <w:t>到2025年具体实现以下目标：</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default" w:ascii="仿宋_GB2312" w:hAnsi="仿宋_GB2312" w:eastAsia="仿宋_GB2312" w:cs="仿宋_GB2312"/>
          <w:b w:val="0"/>
          <w:bCs w:val="0"/>
          <w:sz w:val="32"/>
          <w:szCs w:val="40"/>
          <w:lang w:val="en-US" w:eastAsia="zh-CN"/>
        </w:rPr>
      </w:pPr>
      <w:r>
        <w:rPr>
          <w:rFonts w:hint="default" w:ascii="仿宋_GB2312" w:hAnsi="仿宋_GB2312" w:eastAsia="仿宋_GB2312" w:cs="仿宋_GB2312"/>
          <w:b/>
          <w:bCs/>
          <w:sz w:val="32"/>
          <w:szCs w:val="40"/>
          <w:lang w:val="en-US" w:eastAsia="zh-CN"/>
        </w:rPr>
        <w:t>——中医药服务体系更加高效。</w:t>
      </w:r>
      <w:r>
        <w:rPr>
          <w:rFonts w:hint="eastAsia" w:ascii="仿宋_GB2312" w:hAnsi="仿宋_GB2312" w:eastAsia="仿宋_GB2312" w:cs="仿宋_GB2312"/>
          <w:b w:val="0"/>
          <w:bCs w:val="0"/>
          <w:sz w:val="32"/>
          <w:szCs w:val="40"/>
          <w:lang w:val="en-US" w:eastAsia="zh-CN"/>
        </w:rPr>
        <w:t>加强中医药工作组织领导，</w:t>
      </w:r>
      <w:r>
        <w:rPr>
          <w:rFonts w:hint="default" w:ascii="仿宋_GB2312" w:hAnsi="仿宋_GB2312" w:eastAsia="仿宋_GB2312" w:cs="仿宋_GB2312"/>
          <w:b w:val="0"/>
          <w:bCs w:val="0"/>
          <w:sz w:val="32"/>
          <w:szCs w:val="40"/>
          <w:lang w:val="en-US" w:eastAsia="zh-CN"/>
        </w:rPr>
        <w:t>发挥中医药整体医学和健康医学优势，融预防保健、疾病治疗和康复于一体的优质高效中医药服务体系更加健全，中医药服务广度和深度持续拓展，中医药公共卫生应急能力和基层服务能力得到明显提升。</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default" w:ascii="仿宋_GB2312" w:hAnsi="仿宋_GB2312" w:eastAsia="仿宋_GB2312" w:cs="仿宋_GB2312"/>
          <w:b w:val="0"/>
          <w:bCs w:val="0"/>
          <w:sz w:val="32"/>
          <w:szCs w:val="40"/>
          <w:lang w:val="en-US" w:eastAsia="zh-CN"/>
        </w:rPr>
      </w:pPr>
      <w:r>
        <w:rPr>
          <w:rFonts w:hint="default" w:ascii="仿宋_GB2312" w:hAnsi="仿宋_GB2312" w:eastAsia="仿宋_GB2312" w:cs="仿宋_GB2312"/>
          <w:b/>
          <w:bCs/>
          <w:sz w:val="32"/>
          <w:szCs w:val="40"/>
          <w:lang w:val="en-US" w:eastAsia="zh-CN"/>
        </w:rPr>
        <w:t>——中医药人才发展机制越发完善。</w:t>
      </w:r>
      <w:r>
        <w:rPr>
          <w:rFonts w:hint="default" w:ascii="仿宋_GB2312" w:hAnsi="仿宋_GB2312" w:eastAsia="仿宋_GB2312" w:cs="仿宋_GB2312"/>
          <w:b w:val="0"/>
          <w:bCs w:val="0"/>
          <w:sz w:val="32"/>
          <w:szCs w:val="40"/>
          <w:lang w:val="en-US" w:eastAsia="zh-CN"/>
        </w:rPr>
        <w:t>中医药人才成长途径更加优化，评价体系和激励机制更加健全，优秀人才、骨干人才梯次衔接的人才队伍更加壮大，进一步夯实基层中医药人才队伍。</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default" w:ascii="仿宋_GB2312" w:hAnsi="仿宋_GB2312" w:eastAsia="仿宋_GB2312" w:cs="仿宋_GB2312"/>
          <w:b w:val="0"/>
          <w:bCs w:val="0"/>
          <w:sz w:val="32"/>
          <w:szCs w:val="40"/>
          <w:lang w:val="en-US" w:eastAsia="zh-CN"/>
        </w:rPr>
      </w:pPr>
      <w:r>
        <w:rPr>
          <w:rFonts w:hint="default" w:ascii="仿宋_GB2312" w:hAnsi="仿宋_GB2312" w:eastAsia="仿宋_GB2312" w:cs="仿宋_GB2312"/>
          <w:b/>
          <w:bCs/>
          <w:sz w:val="32"/>
          <w:szCs w:val="40"/>
          <w:lang w:val="en-US" w:eastAsia="zh-CN"/>
        </w:rPr>
        <w:t>——中医药传承创新能力</w:t>
      </w:r>
      <w:r>
        <w:rPr>
          <w:rFonts w:hint="eastAsia" w:ascii="仿宋_GB2312" w:hAnsi="仿宋_GB2312" w:eastAsia="仿宋_GB2312" w:cs="仿宋_GB2312"/>
          <w:b/>
          <w:bCs/>
          <w:sz w:val="32"/>
          <w:szCs w:val="40"/>
          <w:lang w:val="en-US" w:eastAsia="zh-CN"/>
        </w:rPr>
        <w:t>明显</w:t>
      </w:r>
      <w:r>
        <w:rPr>
          <w:rFonts w:hint="default" w:ascii="仿宋_GB2312" w:hAnsi="仿宋_GB2312" w:eastAsia="仿宋_GB2312" w:cs="仿宋_GB2312"/>
          <w:b/>
          <w:bCs/>
          <w:sz w:val="32"/>
          <w:szCs w:val="40"/>
          <w:lang w:val="en-US" w:eastAsia="zh-CN"/>
        </w:rPr>
        <w:t>增强。</w:t>
      </w:r>
      <w:r>
        <w:rPr>
          <w:rFonts w:hint="eastAsia" w:ascii="仿宋_GB2312" w:hAnsi="仿宋_GB2312" w:eastAsia="仿宋_GB2312" w:cs="仿宋_GB2312"/>
          <w:b w:val="0"/>
          <w:bCs w:val="0"/>
          <w:sz w:val="32"/>
          <w:szCs w:val="40"/>
          <w:lang w:val="en-US" w:eastAsia="zh-CN"/>
        </w:rPr>
        <w:t>加快民间秘方、验方的梳理和挖掘</w:t>
      </w:r>
      <w:r>
        <w:rPr>
          <w:rFonts w:hint="default" w:ascii="仿宋_GB2312" w:hAnsi="仿宋_GB2312" w:eastAsia="仿宋_GB2312" w:cs="仿宋_GB2312"/>
          <w:b w:val="0"/>
          <w:bCs w:val="0"/>
          <w:sz w:val="32"/>
          <w:szCs w:val="40"/>
          <w:lang w:val="en-US" w:eastAsia="zh-CN"/>
        </w:rPr>
        <w:t>，</w:t>
      </w:r>
      <w:r>
        <w:rPr>
          <w:rFonts w:hint="eastAsia" w:ascii="仿宋_GB2312" w:hAnsi="仿宋_GB2312" w:eastAsia="仿宋_GB2312" w:cs="仿宋_GB2312"/>
          <w:b w:val="0"/>
          <w:bCs w:val="0"/>
          <w:sz w:val="32"/>
          <w:szCs w:val="40"/>
          <w:lang w:val="en-US" w:eastAsia="zh-CN"/>
        </w:rPr>
        <w:t>深化名老中医的师承机制，传承岭南中医药宝库精华，</w:t>
      </w:r>
      <w:r>
        <w:rPr>
          <w:rFonts w:hint="default" w:ascii="仿宋_GB2312" w:hAnsi="仿宋_GB2312" w:eastAsia="仿宋_GB2312" w:cs="仿宋_GB2312"/>
          <w:b w:val="0"/>
          <w:bCs w:val="0"/>
          <w:sz w:val="32"/>
          <w:szCs w:val="40"/>
          <w:lang w:val="en-US" w:eastAsia="zh-CN"/>
        </w:rPr>
        <w:t>临床科研一体化发展成效</w:t>
      </w:r>
      <w:r>
        <w:rPr>
          <w:rFonts w:hint="eastAsia" w:ascii="仿宋_GB2312" w:hAnsi="仿宋_GB2312" w:eastAsia="仿宋_GB2312" w:cs="仿宋_GB2312"/>
          <w:b w:val="0"/>
          <w:bCs w:val="0"/>
          <w:sz w:val="32"/>
          <w:szCs w:val="40"/>
          <w:lang w:val="en-US" w:eastAsia="zh-CN"/>
        </w:rPr>
        <w:t>明显</w:t>
      </w:r>
      <w:r>
        <w:rPr>
          <w:rFonts w:hint="default" w:ascii="仿宋_GB2312" w:hAnsi="仿宋_GB2312" w:eastAsia="仿宋_GB2312" w:cs="仿宋_GB2312"/>
          <w:b w:val="0"/>
          <w:bCs w:val="0"/>
          <w:sz w:val="32"/>
          <w:szCs w:val="40"/>
          <w:lang w:val="en-US" w:eastAsia="zh-CN"/>
        </w:rPr>
        <w:t>，</w:t>
      </w:r>
      <w:r>
        <w:rPr>
          <w:rFonts w:hint="eastAsia" w:ascii="仿宋_GB2312" w:hAnsi="仿宋_GB2312" w:eastAsia="仿宋_GB2312" w:cs="仿宋_GB2312"/>
          <w:b w:val="0"/>
          <w:bCs w:val="0"/>
          <w:sz w:val="32"/>
          <w:szCs w:val="40"/>
          <w:lang w:val="en-US" w:eastAsia="zh-CN"/>
        </w:rPr>
        <w:t>探索建立</w:t>
      </w:r>
      <w:r>
        <w:rPr>
          <w:rFonts w:hint="default" w:ascii="仿宋_GB2312" w:hAnsi="仿宋_GB2312" w:eastAsia="仿宋_GB2312" w:cs="仿宋_GB2312"/>
          <w:b w:val="0"/>
          <w:bCs w:val="0"/>
          <w:sz w:val="32"/>
          <w:szCs w:val="40"/>
          <w:lang w:val="en-US" w:eastAsia="zh-CN"/>
        </w:rPr>
        <w:t>符合中医药特点的评价体系，中医药与多学科融合创新发展格局基本形成。</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val="0"/>
          <w:bCs w:val="0"/>
          <w:sz w:val="32"/>
          <w:szCs w:val="40"/>
          <w:lang w:val="en-US" w:eastAsia="zh-CN"/>
        </w:rPr>
      </w:pPr>
      <w:r>
        <w:rPr>
          <w:rFonts w:hint="default" w:ascii="仿宋_GB2312" w:hAnsi="仿宋_GB2312" w:eastAsia="仿宋_GB2312" w:cs="仿宋_GB2312"/>
          <w:b/>
          <w:bCs/>
          <w:sz w:val="32"/>
          <w:szCs w:val="40"/>
          <w:lang w:val="en-US" w:eastAsia="zh-CN"/>
        </w:rPr>
        <w:t>——中医药健康产业</w:t>
      </w:r>
      <w:r>
        <w:rPr>
          <w:rFonts w:hint="eastAsia" w:ascii="仿宋_GB2312" w:hAnsi="仿宋_GB2312" w:eastAsia="仿宋_GB2312" w:cs="仿宋_GB2312"/>
          <w:b/>
          <w:bCs/>
          <w:sz w:val="32"/>
          <w:szCs w:val="40"/>
          <w:lang w:val="en-US" w:eastAsia="zh-CN"/>
        </w:rPr>
        <w:t>不断</w:t>
      </w:r>
      <w:r>
        <w:rPr>
          <w:rFonts w:hint="default" w:ascii="仿宋_GB2312" w:hAnsi="仿宋_GB2312" w:eastAsia="仿宋_GB2312" w:cs="仿宋_GB2312"/>
          <w:b/>
          <w:bCs/>
          <w:sz w:val="32"/>
          <w:szCs w:val="40"/>
          <w:lang w:val="en-US" w:eastAsia="zh-CN"/>
        </w:rPr>
        <w:t>升级。</w:t>
      </w:r>
      <w:r>
        <w:rPr>
          <w:rFonts w:hint="default" w:ascii="仿宋_GB2312" w:hAnsi="仿宋_GB2312" w:eastAsia="仿宋_GB2312" w:cs="仿宋_GB2312"/>
          <w:b w:val="0"/>
          <w:bCs w:val="0"/>
          <w:sz w:val="32"/>
          <w:szCs w:val="40"/>
          <w:lang w:val="en-US" w:eastAsia="zh-CN"/>
        </w:rPr>
        <w:t>进一步</w:t>
      </w:r>
      <w:r>
        <w:rPr>
          <w:rFonts w:hint="eastAsia" w:ascii="仿宋_GB2312" w:hAnsi="仿宋_GB2312" w:eastAsia="仿宋_GB2312" w:cs="仿宋_GB2312"/>
          <w:b w:val="0"/>
          <w:bCs w:val="0"/>
          <w:sz w:val="32"/>
          <w:szCs w:val="40"/>
          <w:lang w:val="en-US" w:eastAsia="zh-CN"/>
        </w:rPr>
        <w:t>加强中医药产业项目合作</w:t>
      </w:r>
      <w:r>
        <w:rPr>
          <w:rFonts w:hint="default" w:ascii="仿宋_GB2312" w:hAnsi="仿宋_GB2312" w:eastAsia="仿宋_GB2312" w:cs="仿宋_GB2312"/>
          <w:b w:val="0"/>
          <w:bCs w:val="0"/>
          <w:sz w:val="32"/>
          <w:szCs w:val="40"/>
          <w:lang w:val="en-US" w:eastAsia="zh-CN"/>
        </w:rPr>
        <w:t>，</w:t>
      </w:r>
      <w:r>
        <w:rPr>
          <w:rFonts w:hint="eastAsia" w:ascii="仿宋_GB2312" w:hAnsi="仿宋_GB2312" w:eastAsia="仿宋_GB2312" w:cs="仿宋_GB2312"/>
          <w:b w:val="0"/>
          <w:bCs w:val="0"/>
          <w:sz w:val="32"/>
          <w:szCs w:val="40"/>
          <w:lang w:val="en-US" w:eastAsia="zh-CN"/>
        </w:rPr>
        <w:t>力争引进大型中医药项目，大力发展中医药特色健康产业。推进“中医药+产业”的融合发展，推动中医药与康复、养老、旅游等领域深度融合，人民群众多层次、多样化的健康需求得到满足。</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bCs/>
          <w:sz w:val="32"/>
          <w:szCs w:val="40"/>
          <w:lang w:val="en-US" w:eastAsia="zh-CN"/>
        </w:rPr>
        <w:t>——中医药文化更加繁荣。</w:t>
      </w:r>
      <w:r>
        <w:rPr>
          <w:rFonts w:hint="eastAsia" w:ascii="仿宋_GB2312" w:hAnsi="仿宋_GB2312" w:eastAsia="仿宋_GB2312" w:cs="仿宋_GB2312"/>
          <w:b w:val="0"/>
          <w:bCs w:val="0"/>
          <w:sz w:val="32"/>
          <w:szCs w:val="40"/>
          <w:lang w:val="en-US" w:eastAsia="zh-CN"/>
        </w:rPr>
        <w:t>中医药文化产品和服务供给更加优质丰富，中医药文化传播和知识普及的覆盖面、影响力不断提升，中医药文化创造性转化、创新性发展持续推动，公民中医药健康文化素养水平显著提高。</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bCs/>
          <w:sz w:val="32"/>
          <w:szCs w:val="40"/>
          <w:lang w:val="en-US" w:eastAsia="zh-CN"/>
        </w:rPr>
        <w:t>——中医药发展支撑体系更加有力。</w:t>
      </w:r>
      <w:r>
        <w:rPr>
          <w:rFonts w:hint="eastAsia" w:ascii="仿宋_GB2312" w:hAnsi="仿宋_GB2312" w:eastAsia="仿宋_GB2312" w:cs="仿宋_GB2312"/>
          <w:b w:val="0"/>
          <w:bCs w:val="0"/>
          <w:sz w:val="32"/>
          <w:szCs w:val="40"/>
          <w:lang w:val="en-US" w:eastAsia="zh-CN"/>
        </w:rPr>
        <w:t>中医药政策体系更加完善，中医药基础设施建设进一步加强，硬件装备水平明显提升。中医药信息化发展质量和服务效能明显提高。中医药标准化体系基本健全，标准推广及应用水平持续提升。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展望2035年，优质高效的中医药服务体系全面建成、中医药优势全面彰显，人人享有的中医药服务质量持续提升，中医药原创科技优势得到充分挖掘，科技创新贡献度进一步彰显，中医药特色人才队伍规模更加壮大、质量显著提升，中医药健康产业在经济社会发展中的地位更加凸显，基本实现中医药行业治理体系和治理能力现代化。</w:t>
      </w:r>
    </w:p>
    <w:tbl>
      <w:tblPr>
        <w:tblStyle w:val="4"/>
        <w:tblW w:w="9407" w:type="dxa"/>
        <w:jc w:val="center"/>
        <w:tblLayout w:type="fixed"/>
        <w:tblCellMar>
          <w:top w:w="0" w:type="dxa"/>
          <w:left w:w="10" w:type="dxa"/>
          <w:bottom w:w="0" w:type="dxa"/>
          <w:right w:w="10" w:type="dxa"/>
        </w:tblCellMar>
      </w:tblPr>
      <w:tblGrid>
        <w:gridCol w:w="468"/>
        <w:gridCol w:w="882"/>
        <w:gridCol w:w="3330"/>
        <w:gridCol w:w="964"/>
        <w:gridCol w:w="964"/>
        <w:gridCol w:w="964"/>
        <w:gridCol w:w="964"/>
        <w:gridCol w:w="871"/>
      </w:tblGrid>
      <w:tr>
        <w:tblPrEx>
          <w:tblCellMar>
            <w:top w:w="0" w:type="dxa"/>
            <w:left w:w="10" w:type="dxa"/>
            <w:bottom w:w="0" w:type="dxa"/>
            <w:right w:w="10" w:type="dxa"/>
          </w:tblCellMar>
        </w:tblPrEx>
        <w:trPr>
          <w:trHeight w:val="605" w:hRule="exact"/>
          <w:jc w:val="center"/>
        </w:trPr>
        <w:tc>
          <w:tcPr>
            <w:tcW w:w="9407" w:type="dxa"/>
            <w:gridSpan w:val="8"/>
            <w:tcBorders>
              <w:top w:val="single" w:color="auto" w:sz="4" w:space="0"/>
              <w:left w:val="single" w:color="auto" w:sz="4" w:space="0"/>
              <w:right w:val="single" w:color="auto" w:sz="4" w:space="0"/>
            </w:tcBorders>
            <w:shd w:val="clear" w:color="auto" w:fill="FFFFFF"/>
            <w:vAlign w:val="top"/>
          </w:tcPr>
          <w:p>
            <w:pPr>
              <w:pStyle w:val="8"/>
              <w:keepNext w:val="0"/>
              <w:keepLines w:val="0"/>
              <w:widowControl w:val="0"/>
              <w:shd w:val="clear" w:color="auto" w:fill="auto"/>
              <w:bidi w:val="0"/>
              <w:spacing w:before="0" w:after="0" w:line="240" w:lineRule="auto"/>
              <w:ind w:left="0" w:right="0" w:firstLine="0"/>
              <w:jc w:val="center"/>
              <w:rPr>
                <w:b/>
                <w:bCs/>
                <w:color w:val="000000"/>
                <w:spacing w:val="0"/>
                <w:w w:val="100"/>
                <w:position w:val="0"/>
                <w:shd w:val="clear" w:color="auto" w:fill="auto"/>
              </w:rPr>
            </w:pPr>
            <w:r>
              <w:rPr>
                <w:b/>
                <w:bCs/>
                <w:color w:val="000000"/>
                <w:spacing w:val="0"/>
                <w:w w:val="100"/>
                <w:position w:val="0"/>
                <w:shd w:val="clear" w:color="auto" w:fill="auto"/>
              </w:rPr>
              <w:t>专栏</w:t>
            </w:r>
            <w:r>
              <w:rPr>
                <w:rFonts w:ascii="Times New Roman" w:hAnsi="Times New Roman" w:eastAsia="Times New Roman" w:cs="Times New Roman"/>
                <w:color w:val="000000"/>
                <w:spacing w:val="0"/>
                <w:w w:val="100"/>
                <w:position w:val="0"/>
                <w:sz w:val="32"/>
                <w:szCs w:val="32"/>
                <w:shd w:val="clear" w:color="auto" w:fill="auto"/>
              </w:rPr>
              <w:t>1</w:t>
            </w:r>
            <w:r>
              <w:rPr>
                <w:b/>
                <w:bCs/>
                <w:color w:val="000000"/>
                <w:spacing w:val="0"/>
                <w:w w:val="100"/>
                <w:position w:val="0"/>
                <w:shd w:val="clear" w:color="auto" w:fill="auto"/>
              </w:rPr>
              <w:t>主要发展指标</w:t>
            </w:r>
          </w:p>
        </w:tc>
      </w:tr>
      <w:tr>
        <w:tblPrEx>
          <w:tblCellMar>
            <w:top w:w="0" w:type="dxa"/>
            <w:left w:w="10" w:type="dxa"/>
            <w:bottom w:w="0" w:type="dxa"/>
            <w:right w:w="10" w:type="dxa"/>
          </w:tblCellMar>
        </w:tblPrEx>
        <w:trPr>
          <w:trHeight w:val="605" w:hRule="exact"/>
          <w:jc w:val="center"/>
        </w:trPr>
        <w:tc>
          <w:tcPr>
            <w:tcW w:w="468" w:type="dxa"/>
            <w:tcBorders>
              <w:top w:val="single" w:color="auto" w:sz="4" w:space="0"/>
              <w:left w:val="single" w:color="auto" w:sz="4" w:space="0"/>
            </w:tcBorders>
            <w:shd w:val="clear" w:color="auto" w:fill="FFFFFF"/>
            <w:textDirection w:val="tbRlV"/>
            <w:vAlign w:val="center"/>
          </w:tcPr>
          <w:p>
            <w:pPr>
              <w:widowControl w:val="0"/>
              <w:jc w:val="center"/>
              <w:rPr>
                <w:rFonts w:hint="eastAsia" w:eastAsiaTheme="minorEastAsia"/>
                <w:b/>
                <w:bCs/>
                <w:sz w:val="10"/>
                <w:szCs w:val="10"/>
                <w:lang w:eastAsia="zh-CN"/>
              </w:rPr>
            </w:pPr>
            <w:r>
              <w:rPr>
                <w:rFonts w:hint="eastAsia"/>
                <w:b/>
                <w:bCs/>
                <w:sz w:val="22"/>
                <w:szCs w:val="22"/>
                <w:lang w:eastAsia="zh-CN"/>
              </w:rPr>
              <w:t>序号</w:t>
            </w:r>
          </w:p>
        </w:tc>
        <w:tc>
          <w:tcPr>
            <w:tcW w:w="882"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b/>
                <w:bCs/>
                <w:sz w:val="20"/>
                <w:szCs w:val="20"/>
              </w:rPr>
            </w:pPr>
            <w:r>
              <w:rPr>
                <w:b/>
                <w:bCs/>
                <w:color w:val="000000"/>
                <w:spacing w:val="0"/>
                <w:w w:val="100"/>
                <w:position w:val="0"/>
                <w:sz w:val="20"/>
                <w:szCs w:val="20"/>
                <w:shd w:val="clear" w:color="auto" w:fill="auto"/>
              </w:rPr>
              <w:t>类别</w:t>
            </w:r>
          </w:p>
        </w:tc>
        <w:tc>
          <w:tcPr>
            <w:tcW w:w="333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b/>
                <w:bCs/>
                <w:sz w:val="20"/>
                <w:szCs w:val="20"/>
              </w:rPr>
            </w:pPr>
            <w:r>
              <w:rPr>
                <w:b/>
                <w:bCs/>
                <w:color w:val="000000"/>
                <w:spacing w:val="0"/>
                <w:w w:val="100"/>
                <w:position w:val="0"/>
                <w:sz w:val="20"/>
                <w:szCs w:val="20"/>
                <w:shd w:val="clear" w:color="auto" w:fill="auto"/>
              </w:rPr>
              <w:t>主要指标</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eastAsia" w:eastAsia="宋体"/>
                <w:b/>
                <w:bCs/>
                <w:sz w:val="20"/>
                <w:szCs w:val="20"/>
                <w:lang w:eastAsia="zh-CN"/>
              </w:rPr>
            </w:pPr>
            <w:r>
              <w:rPr>
                <w:rFonts w:hint="eastAsia" w:ascii="Times New Roman" w:hAnsi="Times New Roman" w:eastAsia="宋体" w:cs="Times New Roman"/>
                <w:b/>
                <w:bCs/>
                <w:color w:val="000000"/>
                <w:spacing w:val="0"/>
                <w:w w:val="100"/>
                <w:position w:val="0"/>
                <w:sz w:val="20"/>
                <w:szCs w:val="20"/>
                <w:shd w:val="clear" w:color="auto" w:fill="auto"/>
                <w:lang w:eastAsia="zh-CN"/>
              </w:rPr>
              <w:t>省</w:t>
            </w:r>
            <w:r>
              <w:rPr>
                <w:rFonts w:ascii="Times New Roman" w:hAnsi="Times New Roman" w:eastAsia="Times New Roman" w:cs="Times New Roman"/>
                <w:b/>
                <w:bCs/>
                <w:color w:val="000000"/>
                <w:spacing w:val="0"/>
                <w:w w:val="100"/>
                <w:position w:val="0"/>
                <w:sz w:val="20"/>
                <w:szCs w:val="20"/>
                <w:shd w:val="clear" w:color="auto" w:fill="auto"/>
              </w:rPr>
              <w:t xml:space="preserve">2020 </w:t>
            </w:r>
            <w:r>
              <w:rPr>
                <w:b/>
                <w:bCs/>
                <w:color w:val="000000"/>
                <w:spacing w:val="0"/>
                <w:w w:val="100"/>
                <w:position w:val="0"/>
                <w:sz w:val="20"/>
                <w:szCs w:val="20"/>
                <w:shd w:val="clear" w:color="auto" w:fill="auto"/>
              </w:rPr>
              <w:t>年</w:t>
            </w:r>
            <w:r>
              <w:rPr>
                <w:rFonts w:hint="eastAsia"/>
                <w:b/>
                <w:bCs/>
                <w:color w:val="000000"/>
                <w:spacing w:val="0"/>
                <w:w w:val="100"/>
                <w:position w:val="0"/>
                <w:sz w:val="20"/>
                <w:szCs w:val="20"/>
                <w:shd w:val="clear" w:color="auto" w:fill="auto"/>
                <w:lang w:eastAsia="zh-CN"/>
              </w:rPr>
              <w:t>水平</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b/>
                <w:bCs/>
                <w:sz w:val="20"/>
                <w:szCs w:val="20"/>
              </w:rPr>
            </w:pPr>
            <w:r>
              <w:rPr>
                <w:rFonts w:hint="eastAsia" w:ascii="Times New Roman" w:hAnsi="Times New Roman" w:eastAsia="宋体" w:cs="Times New Roman"/>
                <w:b/>
                <w:bCs/>
                <w:color w:val="000000"/>
                <w:spacing w:val="0"/>
                <w:w w:val="100"/>
                <w:position w:val="0"/>
                <w:sz w:val="20"/>
                <w:szCs w:val="20"/>
                <w:shd w:val="clear" w:color="auto" w:fill="auto"/>
                <w:lang w:eastAsia="zh-CN"/>
              </w:rPr>
              <w:t>汕尾</w:t>
            </w:r>
            <w:r>
              <w:rPr>
                <w:rFonts w:ascii="Times New Roman" w:hAnsi="Times New Roman" w:eastAsia="Times New Roman" w:cs="Times New Roman"/>
                <w:b/>
                <w:bCs/>
                <w:color w:val="000000"/>
                <w:spacing w:val="0"/>
                <w:w w:val="100"/>
                <w:position w:val="0"/>
                <w:sz w:val="20"/>
                <w:szCs w:val="20"/>
                <w:shd w:val="clear" w:color="auto" w:fill="auto"/>
              </w:rPr>
              <w:t xml:space="preserve">2020 </w:t>
            </w:r>
            <w:r>
              <w:rPr>
                <w:b/>
                <w:bCs/>
                <w:color w:val="000000"/>
                <w:spacing w:val="0"/>
                <w:w w:val="100"/>
                <w:position w:val="0"/>
                <w:sz w:val="20"/>
                <w:szCs w:val="20"/>
                <w:shd w:val="clear" w:color="auto" w:fill="auto"/>
              </w:rPr>
              <w:t>年</w:t>
            </w:r>
            <w:r>
              <w:rPr>
                <w:rFonts w:hint="eastAsia"/>
                <w:b/>
                <w:bCs/>
                <w:color w:val="000000"/>
                <w:spacing w:val="0"/>
                <w:w w:val="100"/>
                <w:position w:val="0"/>
                <w:sz w:val="20"/>
                <w:szCs w:val="20"/>
                <w:shd w:val="clear" w:color="auto" w:fill="auto"/>
                <w:lang w:eastAsia="zh-CN"/>
              </w:rPr>
              <w:t>水平</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b/>
                <w:bCs/>
                <w:sz w:val="20"/>
                <w:szCs w:val="20"/>
              </w:rPr>
            </w:pPr>
            <w:r>
              <w:rPr>
                <w:rFonts w:hint="eastAsia" w:ascii="Times New Roman" w:hAnsi="Times New Roman" w:eastAsia="宋体" w:cs="Times New Roman"/>
                <w:b/>
                <w:bCs/>
                <w:color w:val="000000"/>
                <w:spacing w:val="0"/>
                <w:w w:val="100"/>
                <w:position w:val="0"/>
                <w:sz w:val="20"/>
                <w:szCs w:val="20"/>
                <w:shd w:val="clear" w:color="auto" w:fill="auto"/>
                <w:lang w:eastAsia="zh-CN"/>
              </w:rPr>
              <w:t>省</w:t>
            </w:r>
            <w:r>
              <w:rPr>
                <w:rFonts w:ascii="Times New Roman" w:hAnsi="Times New Roman" w:eastAsia="Times New Roman" w:cs="Times New Roman"/>
                <w:b/>
                <w:bCs/>
                <w:color w:val="000000"/>
                <w:spacing w:val="0"/>
                <w:w w:val="100"/>
                <w:position w:val="0"/>
                <w:sz w:val="20"/>
                <w:szCs w:val="20"/>
                <w:shd w:val="clear" w:color="auto" w:fill="auto"/>
              </w:rPr>
              <w:t>202</w:t>
            </w:r>
            <w:r>
              <w:rPr>
                <w:rFonts w:hint="eastAsia" w:ascii="Times New Roman" w:hAnsi="Times New Roman" w:eastAsia="宋体" w:cs="Times New Roman"/>
                <w:b/>
                <w:bCs/>
                <w:color w:val="000000"/>
                <w:spacing w:val="0"/>
                <w:w w:val="100"/>
                <w:position w:val="0"/>
                <w:sz w:val="20"/>
                <w:szCs w:val="20"/>
                <w:shd w:val="clear" w:color="auto" w:fill="auto"/>
                <w:lang w:val="en-US" w:eastAsia="zh-CN"/>
              </w:rPr>
              <w:t>5</w:t>
            </w:r>
            <w:r>
              <w:rPr>
                <w:rFonts w:ascii="Times New Roman" w:hAnsi="Times New Roman" w:eastAsia="Times New Roman" w:cs="Times New Roman"/>
                <w:b/>
                <w:bCs/>
                <w:color w:val="000000"/>
                <w:spacing w:val="0"/>
                <w:w w:val="100"/>
                <w:position w:val="0"/>
                <w:sz w:val="20"/>
                <w:szCs w:val="20"/>
                <w:shd w:val="clear" w:color="auto" w:fill="auto"/>
              </w:rPr>
              <w:t xml:space="preserve"> </w:t>
            </w:r>
            <w:r>
              <w:rPr>
                <w:b/>
                <w:bCs/>
                <w:color w:val="000000"/>
                <w:spacing w:val="0"/>
                <w:w w:val="100"/>
                <w:position w:val="0"/>
                <w:sz w:val="20"/>
                <w:szCs w:val="20"/>
                <w:shd w:val="clear" w:color="auto" w:fill="auto"/>
              </w:rPr>
              <w:t>年</w:t>
            </w:r>
            <w:r>
              <w:rPr>
                <w:rFonts w:hint="eastAsia"/>
                <w:b/>
                <w:bCs/>
                <w:color w:val="000000"/>
                <w:spacing w:val="0"/>
                <w:w w:val="100"/>
                <w:position w:val="0"/>
                <w:sz w:val="20"/>
                <w:szCs w:val="20"/>
                <w:shd w:val="clear" w:color="auto" w:fill="auto"/>
                <w:lang w:eastAsia="zh-CN"/>
              </w:rPr>
              <w:t>目标值</w:t>
            </w:r>
          </w:p>
        </w:tc>
        <w:tc>
          <w:tcPr>
            <w:tcW w:w="964"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tabs>
                <w:tab w:val="left" w:pos="698"/>
              </w:tabs>
              <w:bidi w:val="0"/>
              <w:spacing w:before="0" w:after="0" w:line="240" w:lineRule="auto"/>
              <w:ind w:left="0" w:right="0" w:firstLine="0"/>
              <w:jc w:val="center"/>
              <w:rPr>
                <w:rFonts w:hint="eastAsia" w:eastAsia="宋体"/>
                <w:b/>
                <w:bCs/>
                <w:color w:val="000000"/>
                <w:spacing w:val="0"/>
                <w:w w:val="100"/>
                <w:position w:val="0"/>
                <w:sz w:val="20"/>
                <w:szCs w:val="20"/>
                <w:shd w:val="clear" w:color="auto" w:fill="auto"/>
                <w:lang w:eastAsia="zh-CN"/>
              </w:rPr>
            </w:pPr>
            <w:r>
              <w:rPr>
                <w:rFonts w:hint="eastAsia" w:ascii="Times New Roman" w:hAnsi="Times New Roman" w:eastAsia="宋体" w:cs="Times New Roman"/>
                <w:b/>
                <w:bCs/>
                <w:color w:val="000000"/>
                <w:spacing w:val="0"/>
                <w:w w:val="100"/>
                <w:position w:val="0"/>
                <w:sz w:val="20"/>
                <w:szCs w:val="20"/>
                <w:shd w:val="clear" w:color="auto" w:fill="auto"/>
                <w:lang w:eastAsia="zh-CN"/>
              </w:rPr>
              <w:t>汕尾</w:t>
            </w:r>
            <w:r>
              <w:rPr>
                <w:rFonts w:ascii="Times New Roman" w:hAnsi="Times New Roman" w:eastAsia="Times New Roman" w:cs="Times New Roman"/>
                <w:b/>
                <w:bCs/>
                <w:color w:val="000000"/>
                <w:spacing w:val="0"/>
                <w:w w:val="100"/>
                <w:position w:val="0"/>
                <w:sz w:val="20"/>
                <w:szCs w:val="20"/>
                <w:shd w:val="clear" w:color="auto" w:fill="auto"/>
              </w:rPr>
              <w:t>202</w:t>
            </w:r>
            <w:r>
              <w:rPr>
                <w:rFonts w:hint="eastAsia" w:ascii="Times New Roman" w:hAnsi="Times New Roman" w:eastAsia="宋体" w:cs="Times New Roman"/>
                <w:b/>
                <w:bCs/>
                <w:color w:val="000000"/>
                <w:spacing w:val="0"/>
                <w:w w:val="100"/>
                <w:position w:val="0"/>
                <w:sz w:val="20"/>
                <w:szCs w:val="20"/>
                <w:shd w:val="clear" w:color="auto" w:fill="auto"/>
                <w:lang w:val="en-US" w:eastAsia="zh-CN"/>
              </w:rPr>
              <w:t>5</w:t>
            </w:r>
            <w:r>
              <w:rPr>
                <w:rFonts w:ascii="Times New Roman" w:hAnsi="Times New Roman" w:eastAsia="Times New Roman" w:cs="Times New Roman"/>
                <w:b/>
                <w:bCs/>
                <w:color w:val="000000"/>
                <w:spacing w:val="0"/>
                <w:w w:val="100"/>
                <w:position w:val="0"/>
                <w:sz w:val="20"/>
                <w:szCs w:val="20"/>
                <w:shd w:val="clear" w:color="auto" w:fill="auto"/>
              </w:rPr>
              <w:t xml:space="preserve"> </w:t>
            </w:r>
            <w:r>
              <w:rPr>
                <w:b/>
                <w:bCs/>
                <w:color w:val="000000"/>
                <w:spacing w:val="0"/>
                <w:w w:val="100"/>
                <w:position w:val="0"/>
                <w:sz w:val="20"/>
                <w:szCs w:val="20"/>
                <w:shd w:val="clear" w:color="auto" w:fill="auto"/>
              </w:rPr>
              <w:t>年</w:t>
            </w:r>
            <w:r>
              <w:rPr>
                <w:rFonts w:hint="eastAsia"/>
                <w:b/>
                <w:bCs/>
                <w:color w:val="000000"/>
                <w:spacing w:val="0"/>
                <w:w w:val="100"/>
                <w:position w:val="0"/>
                <w:sz w:val="20"/>
                <w:szCs w:val="20"/>
                <w:shd w:val="clear" w:color="auto" w:fill="auto"/>
                <w:lang w:eastAsia="zh-CN"/>
              </w:rPr>
              <w:t>目标值</w:t>
            </w:r>
          </w:p>
        </w:tc>
        <w:tc>
          <w:tcPr>
            <w:tcW w:w="871"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b/>
                <w:bCs/>
                <w:sz w:val="20"/>
                <w:szCs w:val="20"/>
              </w:rPr>
            </w:pPr>
            <w:r>
              <w:rPr>
                <w:b/>
                <w:bCs/>
                <w:color w:val="000000"/>
                <w:spacing w:val="0"/>
                <w:w w:val="100"/>
                <w:position w:val="0"/>
                <w:sz w:val="20"/>
                <w:szCs w:val="20"/>
                <w:shd w:val="clear" w:color="auto" w:fill="auto"/>
              </w:rPr>
              <w:t>属性</w:t>
            </w:r>
          </w:p>
        </w:tc>
      </w:tr>
      <w:tr>
        <w:tblPrEx>
          <w:tblCellMar>
            <w:top w:w="0" w:type="dxa"/>
            <w:left w:w="10" w:type="dxa"/>
            <w:bottom w:w="0" w:type="dxa"/>
            <w:right w:w="10" w:type="dxa"/>
          </w:tblCellMar>
        </w:tblPrEx>
        <w:trPr>
          <w:trHeight w:val="425" w:hRule="exact"/>
          <w:jc w:val="center"/>
        </w:trPr>
        <w:tc>
          <w:tcPr>
            <w:tcW w:w="468"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shd w:val="clear" w:color="auto" w:fill="auto"/>
              </w:rPr>
              <w:t>1</w:t>
            </w:r>
          </w:p>
        </w:tc>
        <w:tc>
          <w:tcPr>
            <w:tcW w:w="882" w:type="dxa"/>
            <w:tcBorders>
              <w:top w:val="single" w:color="auto" w:sz="4" w:space="0"/>
              <w:left w:val="single" w:color="auto" w:sz="4" w:space="0"/>
            </w:tcBorders>
            <w:shd w:val="clear" w:color="auto" w:fill="FFFFFF"/>
            <w:vAlign w:val="center"/>
          </w:tcPr>
          <w:p>
            <w:pPr>
              <w:widowControl w:val="0"/>
              <w:jc w:val="center"/>
              <w:rPr>
                <w:sz w:val="10"/>
                <w:szCs w:val="10"/>
              </w:rPr>
            </w:pPr>
          </w:p>
        </w:tc>
        <w:tc>
          <w:tcPr>
            <w:tcW w:w="333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rPr>
              <w:t>中医类医疗机构数（个）</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kern w:val="2"/>
                <w:sz w:val="20"/>
                <w:szCs w:val="20"/>
                <w:u w:val="none"/>
                <w:lang w:val="en-US" w:eastAsia="zh-CN" w:bidi="zh-CN"/>
              </w:rPr>
            </w:pPr>
            <w:r>
              <w:rPr>
                <w:rFonts w:hint="eastAsia" w:asciiTheme="majorEastAsia" w:hAnsiTheme="majorEastAsia" w:eastAsiaTheme="majorEastAsia" w:cstheme="majorEastAsia"/>
                <w:kern w:val="2"/>
                <w:sz w:val="20"/>
                <w:szCs w:val="20"/>
                <w:u w:val="none"/>
                <w:lang w:val="en-US" w:eastAsia="zh-CN" w:bidi="zh-CN"/>
              </w:rPr>
              <w:t>2.33万</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kern w:val="2"/>
                <w:sz w:val="20"/>
                <w:szCs w:val="20"/>
                <w:u w:val="none"/>
                <w:lang w:val="en-US" w:eastAsia="zh-CN" w:bidi="zh-CN"/>
              </w:rPr>
            </w:pPr>
            <w:r>
              <w:rPr>
                <w:rFonts w:hint="eastAsia" w:asciiTheme="majorEastAsia" w:hAnsiTheme="majorEastAsia" w:eastAsiaTheme="majorEastAsia" w:cstheme="majorEastAsia"/>
                <w:sz w:val="20"/>
                <w:szCs w:val="20"/>
                <w:lang w:val="en-US" w:eastAsia="zh-CN"/>
              </w:rPr>
              <w:t>1123</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2.53万</w:t>
            </w:r>
          </w:p>
        </w:tc>
        <w:tc>
          <w:tcPr>
            <w:tcW w:w="964"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kern w:val="2"/>
                <w:sz w:val="20"/>
                <w:szCs w:val="20"/>
                <w:u w:val="none"/>
                <w:lang w:val="en-US" w:eastAsia="zh-CN" w:bidi="zh-CN"/>
              </w:rPr>
            </w:pPr>
            <w:r>
              <w:rPr>
                <w:rFonts w:hint="eastAsia" w:asciiTheme="majorEastAsia" w:hAnsiTheme="majorEastAsia" w:eastAsiaTheme="majorEastAsia" w:cstheme="majorEastAsia"/>
                <w:sz w:val="20"/>
                <w:szCs w:val="20"/>
                <w:lang w:val="en-US" w:eastAsia="zh-CN"/>
              </w:rPr>
              <w:t>1143</w:t>
            </w:r>
          </w:p>
        </w:tc>
        <w:tc>
          <w:tcPr>
            <w:tcW w:w="871"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预期性</w:t>
            </w:r>
          </w:p>
        </w:tc>
      </w:tr>
      <w:tr>
        <w:tblPrEx>
          <w:tblCellMar>
            <w:top w:w="0" w:type="dxa"/>
            <w:left w:w="10" w:type="dxa"/>
            <w:bottom w:w="0" w:type="dxa"/>
            <w:right w:w="10" w:type="dxa"/>
          </w:tblCellMar>
        </w:tblPrEx>
        <w:trPr>
          <w:trHeight w:val="410" w:hRule="exact"/>
          <w:jc w:val="center"/>
        </w:trPr>
        <w:tc>
          <w:tcPr>
            <w:tcW w:w="468"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shd w:val="clear" w:color="auto" w:fill="auto"/>
              </w:rPr>
              <w:t>2</w:t>
            </w:r>
          </w:p>
        </w:tc>
        <w:tc>
          <w:tcPr>
            <w:tcW w:w="882" w:type="dxa"/>
            <w:tcBorders>
              <w:left w:val="single" w:color="auto" w:sz="4" w:space="0"/>
            </w:tcBorders>
            <w:shd w:val="clear" w:color="auto" w:fill="FFFFFF"/>
            <w:vAlign w:val="center"/>
          </w:tcPr>
          <w:p>
            <w:pPr>
              <w:widowControl w:val="0"/>
              <w:jc w:val="center"/>
              <w:rPr>
                <w:sz w:val="10"/>
                <w:szCs w:val="10"/>
              </w:rPr>
            </w:pPr>
          </w:p>
        </w:tc>
        <w:tc>
          <w:tcPr>
            <w:tcW w:w="333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rPr>
              <w:t>中医类医院数（所）</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kern w:val="2"/>
                <w:sz w:val="20"/>
                <w:szCs w:val="20"/>
                <w:u w:val="none"/>
                <w:lang w:val="en-US" w:eastAsia="zh-CN" w:bidi="zh-CN"/>
              </w:rPr>
            </w:pPr>
            <w:r>
              <w:rPr>
                <w:rFonts w:hint="eastAsia" w:asciiTheme="majorEastAsia" w:hAnsiTheme="majorEastAsia" w:eastAsiaTheme="majorEastAsia" w:cstheme="majorEastAsia"/>
                <w:kern w:val="2"/>
                <w:sz w:val="20"/>
                <w:szCs w:val="20"/>
                <w:u w:val="none"/>
                <w:lang w:val="en-US" w:eastAsia="zh-CN" w:bidi="zh-CN"/>
              </w:rPr>
              <w:t>192</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kern w:val="2"/>
                <w:sz w:val="20"/>
                <w:szCs w:val="20"/>
                <w:u w:val="none"/>
                <w:lang w:val="en-US" w:eastAsia="zh-CN" w:bidi="zh-CN"/>
              </w:rPr>
            </w:pPr>
            <w:r>
              <w:rPr>
                <w:rFonts w:hint="eastAsia" w:asciiTheme="majorEastAsia" w:hAnsiTheme="majorEastAsia" w:eastAsiaTheme="majorEastAsia" w:cstheme="majorEastAsia"/>
                <w:sz w:val="20"/>
                <w:szCs w:val="20"/>
                <w:lang w:val="en-US" w:eastAsia="zh-CN"/>
              </w:rPr>
              <w:t>5</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203</w:t>
            </w:r>
          </w:p>
        </w:tc>
        <w:tc>
          <w:tcPr>
            <w:tcW w:w="964"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kern w:val="2"/>
                <w:sz w:val="20"/>
                <w:szCs w:val="20"/>
                <w:u w:val="none"/>
                <w:lang w:val="en-US" w:eastAsia="zh-CN" w:bidi="zh-CN"/>
              </w:rPr>
            </w:pPr>
            <w:r>
              <w:rPr>
                <w:rFonts w:hint="eastAsia" w:asciiTheme="majorEastAsia" w:hAnsiTheme="majorEastAsia" w:eastAsiaTheme="majorEastAsia" w:cstheme="majorEastAsia"/>
                <w:sz w:val="20"/>
                <w:szCs w:val="20"/>
                <w:lang w:val="en-US" w:eastAsia="zh-CN"/>
              </w:rPr>
              <w:t>6</w:t>
            </w:r>
          </w:p>
        </w:tc>
        <w:tc>
          <w:tcPr>
            <w:tcW w:w="871"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预期性</w:t>
            </w:r>
          </w:p>
        </w:tc>
      </w:tr>
      <w:tr>
        <w:tblPrEx>
          <w:tblCellMar>
            <w:top w:w="0" w:type="dxa"/>
            <w:left w:w="10" w:type="dxa"/>
            <w:bottom w:w="0" w:type="dxa"/>
            <w:right w:w="10" w:type="dxa"/>
          </w:tblCellMar>
        </w:tblPrEx>
        <w:trPr>
          <w:trHeight w:val="410" w:hRule="exact"/>
          <w:jc w:val="center"/>
        </w:trPr>
        <w:tc>
          <w:tcPr>
            <w:tcW w:w="468"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shd w:val="clear" w:color="auto" w:fill="auto"/>
              </w:rPr>
              <w:t>3</w:t>
            </w:r>
          </w:p>
        </w:tc>
        <w:tc>
          <w:tcPr>
            <w:tcW w:w="882" w:type="dxa"/>
            <w:tcBorders>
              <w:left w:val="single" w:color="auto" w:sz="4" w:space="0"/>
            </w:tcBorders>
            <w:shd w:val="clear" w:color="auto" w:fill="FFFFFF"/>
            <w:vAlign w:val="center"/>
          </w:tcPr>
          <w:p>
            <w:pPr>
              <w:widowControl w:val="0"/>
              <w:jc w:val="center"/>
              <w:rPr>
                <w:sz w:val="10"/>
                <w:szCs w:val="10"/>
              </w:rPr>
            </w:pPr>
          </w:p>
        </w:tc>
        <w:tc>
          <w:tcPr>
            <w:tcW w:w="333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rPr>
              <w:t>每千人口中医床位数（张）</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kern w:val="2"/>
                <w:sz w:val="20"/>
                <w:szCs w:val="20"/>
                <w:u w:val="none"/>
                <w:lang w:val="en-US" w:eastAsia="zh-CN" w:bidi="zh-CN"/>
              </w:rPr>
            </w:pPr>
            <w:r>
              <w:rPr>
                <w:rFonts w:hint="eastAsia" w:asciiTheme="majorEastAsia" w:hAnsiTheme="majorEastAsia" w:eastAsiaTheme="majorEastAsia" w:cstheme="majorEastAsia"/>
                <w:kern w:val="2"/>
                <w:sz w:val="20"/>
                <w:szCs w:val="20"/>
                <w:u w:val="none"/>
                <w:lang w:val="en-US" w:eastAsia="zh-CN" w:bidi="zh-CN"/>
              </w:rPr>
              <w:t>0.61</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kern w:val="2"/>
                <w:sz w:val="20"/>
                <w:szCs w:val="20"/>
                <w:u w:val="none"/>
                <w:lang w:val="en-US" w:eastAsia="zh-CN" w:bidi="zh-CN"/>
              </w:rPr>
            </w:pPr>
            <w:r>
              <w:rPr>
                <w:rFonts w:hint="eastAsia" w:asciiTheme="majorEastAsia" w:hAnsiTheme="majorEastAsia" w:eastAsiaTheme="majorEastAsia" w:cstheme="majorEastAsia"/>
                <w:sz w:val="20"/>
                <w:szCs w:val="20"/>
                <w:lang w:val="en-US" w:eastAsia="zh-CN"/>
              </w:rPr>
              <w:t>0.22</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0.71</w:t>
            </w:r>
          </w:p>
        </w:tc>
        <w:tc>
          <w:tcPr>
            <w:tcW w:w="964"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kern w:val="2"/>
                <w:sz w:val="20"/>
                <w:szCs w:val="20"/>
                <w:u w:val="none"/>
                <w:lang w:val="en-US" w:eastAsia="zh-CN" w:bidi="zh-CN"/>
              </w:rPr>
            </w:pPr>
            <w:r>
              <w:rPr>
                <w:rFonts w:hint="eastAsia" w:asciiTheme="majorEastAsia" w:hAnsiTheme="majorEastAsia" w:eastAsiaTheme="majorEastAsia" w:cstheme="majorEastAsia"/>
                <w:sz w:val="20"/>
                <w:szCs w:val="20"/>
                <w:lang w:val="en-US" w:eastAsia="zh-CN"/>
              </w:rPr>
              <w:t>0.41</w:t>
            </w:r>
          </w:p>
        </w:tc>
        <w:tc>
          <w:tcPr>
            <w:tcW w:w="871"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预期性</w:t>
            </w:r>
          </w:p>
        </w:tc>
      </w:tr>
      <w:tr>
        <w:tblPrEx>
          <w:tblCellMar>
            <w:top w:w="0" w:type="dxa"/>
            <w:left w:w="10" w:type="dxa"/>
            <w:bottom w:w="0" w:type="dxa"/>
            <w:right w:w="10" w:type="dxa"/>
          </w:tblCellMar>
        </w:tblPrEx>
        <w:trPr>
          <w:trHeight w:val="583" w:hRule="exact"/>
          <w:jc w:val="center"/>
        </w:trPr>
        <w:tc>
          <w:tcPr>
            <w:tcW w:w="468"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shd w:val="clear" w:color="auto" w:fill="auto"/>
              </w:rPr>
              <w:t>4</w:t>
            </w:r>
          </w:p>
        </w:tc>
        <w:tc>
          <w:tcPr>
            <w:tcW w:w="882" w:type="dxa"/>
            <w:tcBorders>
              <w:left w:val="single" w:color="auto" w:sz="4" w:space="0"/>
            </w:tcBorders>
            <w:shd w:val="clear" w:color="auto" w:fill="FFFFFF"/>
            <w:vAlign w:val="center"/>
          </w:tcPr>
          <w:p>
            <w:pPr>
              <w:widowControl w:val="0"/>
              <w:jc w:val="center"/>
              <w:rPr>
                <w:sz w:val="10"/>
                <w:szCs w:val="10"/>
              </w:rPr>
            </w:pPr>
          </w:p>
        </w:tc>
        <w:tc>
          <w:tcPr>
            <w:tcW w:w="333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74" w:lineRule="exact"/>
              <w:ind w:left="0" w:right="0" w:firstLine="0"/>
              <w:jc w:val="both"/>
              <w:rPr>
                <w:sz w:val="20"/>
                <w:szCs w:val="20"/>
              </w:rPr>
            </w:pPr>
            <w:r>
              <w:rPr>
                <w:color w:val="000000"/>
                <w:spacing w:val="0"/>
                <w:w w:val="100"/>
                <w:position w:val="0"/>
                <w:sz w:val="20"/>
                <w:szCs w:val="20"/>
                <w:shd w:val="clear" w:color="auto" w:fill="auto"/>
              </w:rPr>
              <w:t>每千人口中医类别执业（助理）医师数（人）</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kern w:val="2"/>
                <w:sz w:val="20"/>
                <w:szCs w:val="20"/>
                <w:u w:val="none"/>
                <w:lang w:val="en-US" w:eastAsia="zh-CN" w:bidi="zh-CN"/>
              </w:rPr>
            </w:pPr>
            <w:r>
              <w:rPr>
                <w:rFonts w:hint="eastAsia" w:asciiTheme="majorEastAsia" w:hAnsiTheme="majorEastAsia" w:eastAsiaTheme="majorEastAsia" w:cstheme="majorEastAsia"/>
                <w:kern w:val="2"/>
                <w:sz w:val="20"/>
                <w:szCs w:val="20"/>
                <w:u w:val="none"/>
                <w:lang w:val="en-US" w:eastAsia="zh-CN" w:bidi="zh-CN"/>
              </w:rPr>
              <w:t>0.40</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kern w:val="2"/>
                <w:sz w:val="20"/>
                <w:szCs w:val="20"/>
                <w:u w:val="none"/>
                <w:lang w:val="en-US" w:eastAsia="zh-CN" w:bidi="zh-CN"/>
              </w:rPr>
            </w:pPr>
            <w:r>
              <w:rPr>
                <w:rFonts w:hint="eastAsia" w:asciiTheme="majorEastAsia" w:hAnsiTheme="majorEastAsia" w:eastAsiaTheme="majorEastAsia" w:cstheme="majorEastAsia"/>
                <w:sz w:val="20"/>
                <w:szCs w:val="20"/>
                <w:lang w:val="en-US" w:eastAsia="zh-CN"/>
              </w:rPr>
              <w:t>0.31</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0.62</w:t>
            </w:r>
          </w:p>
        </w:tc>
        <w:tc>
          <w:tcPr>
            <w:tcW w:w="964"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kern w:val="2"/>
                <w:sz w:val="20"/>
                <w:szCs w:val="20"/>
                <w:u w:val="none"/>
                <w:lang w:val="en-US" w:eastAsia="zh-CN" w:bidi="zh-CN"/>
              </w:rPr>
            </w:pPr>
            <w:r>
              <w:rPr>
                <w:rFonts w:hint="eastAsia" w:asciiTheme="majorEastAsia" w:hAnsiTheme="majorEastAsia" w:eastAsiaTheme="majorEastAsia" w:cstheme="majorEastAsia"/>
                <w:sz w:val="20"/>
                <w:szCs w:val="20"/>
                <w:lang w:val="en-US" w:eastAsia="zh-CN"/>
              </w:rPr>
              <w:t>0.45</w:t>
            </w:r>
          </w:p>
        </w:tc>
        <w:tc>
          <w:tcPr>
            <w:tcW w:w="871"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预期性</w:t>
            </w:r>
          </w:p>
        </w:tc>
      </w:tr>
      <w:tr>
        <w:tblPrEx>
          <w:tblCellMar>
            <w:top w:w="0" w:type="dxa"/>
            <w:left w:w="10" w:type="dxa"/>
            <w:bottom w:w="0" w:type="dxa"/>
            <w:right w:w="10" w:type="dxa"/>
          </w:tblCellMar>
        </w:tblPrEx>
        <w:trPr>
          <w:trHeight w:val="410" w:hRule="exact"/>
          <w:jc w:val="center"/>
        </w:trPr>
        <w:tc>
          <w:tcPr>
            <w:tcW w:w="468"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shd w:val="clear" w:color="auto" w:fill="auto"/>
              </w:rPr>
              <w:t>5</w:t>
            </w:r>
          </w:p>
        </w:tc>
        <w:tc>
          <w:tcPr>
            <w:tcW w:w="882" w:type="dxa"/>
            <w:tcBorders>
              <w:left w:val="single" w:color="auto" w:sz="4" w:space="0"/>
            </w:tcBorders>
            <w:shd w:val="clear" w:color="auto" w:fill="FFFFFF"/>
            <w:vAlign w:val="center"/>
          </w:tcPr>
          <w:p>
            <w:pPr>
              <w:widowControl w:val="0"/>
              <w:jc w:val="center"/>
              <w:rPr>
                <w:sz w:val="10"/>
                <w:szCs w:val="10"/>
              </w:rPr>
            </w:pPr>
          </w:p>
        </w:tc>
        <w:tc>
          <w:tcPr>
            <w:tcW w:w="333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rPr>
              <w:t>每万人口中医类别全科医生数（人）</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color w:val="000000"/>
                <w:spacing w:val="0"/>
                <w:w w:val="100"/>
                <w:position w:val="0"/>
                <w:sz w:val="20"/>
                <w:szCs w:val="20"/>
                <w:shd w:val="clear" w:color="auto" w:fill="auto"/>
              </w:rPr>
              <w:t>—</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kern w:val="2"/>
                <w:sz w:val="20"/>
                <w:szCs w:val="20"/>
                <w:u w:val="none"/>
                <w:lang w:val="en-US" w:eastAsia="zh-CN" w:bidi="zh-CN"/>
              </w:rPr>
            </w:pPr>
            <w:r>
              <w:rPr>
                <w:rFonts w:hint="eastAsia" w:asciiTheme="majorEastAsia" w:hAnsiTheme="majorEastAsia" w:eastAsiaTheme="majorEastAsia" w:cstheme="majorEastAsia"/>
                <w:color w:val="000000"/>
                <w:spacing w:val="0"/>
                <w:w w:val="100"/>
                <w:position w:val="0"/>
                <w:sz w:val="20"/>
                <w:szCs w:val="20"/>
                <w:shd w:val="clear" w:color="auto" w:fill="auto"/>
              </w:rPr>
              <w:t>—</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0.80</w:t>
            </w:r>
          </w:p>
        </w:tc>
        <w:tc>
          <w:tcPr>
            <w:tcW w:w="964"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kern w:val="2"/>
                <w:sz w:val="20"/>
                <w:szCs w:val="20"/>
                <w:u w:val="none"/>
                <w:lang w:val="en-US" w:eastAsia="zh-CN" w:bidi="zh-CN"/>
              </w:rPr>
            </w:pPr>
            <w:r>
              <w:rPr>
                <w:rFonts w:hint="eastAsia" w:asciiTheme="majorEastAsia" w:hAnsiTheme="majorEastAsia" w:eastAsiaTheme="majorEastAsia" w:cstheme="majorEastAsia"/>
                <w:sz w:val="20"/>
                <w:szCs w:val="20"/>
                <w:lang w:val="en-US" w:eastAsia="zh-CN"/>
              </w:rPr>
              <w:t>0.80</w:t>
            </w:r>
          </w:p>
        </w:tc>
        <w:tc>
          <w:tcPr>
            <w:tcW w:w="871"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预期性</w:t>
            </w:r>
          </w:p>
        </w:tc>
      </w:tr>
      <w:tr>
        <w:tblPrEx>
          <w:tblCellMar>
            <w:top w:w="0" w:type="dxa"/>
            <w:left w:w="10" w:type="dxa"/>
            <w:bottom w:w="0" w:type="dxa"/>
            <w:right w:w="10" w:type="dxa"/>
          </w:tblCellMar>
        </w:tblPrEx>
        <w:trPr>
          <w:trHeight w:val="583" w:hRule="exact"/>
          <w:jc w:val="center"/>
        </w:trPr>
        <w:tc>
          <w:tcPr>
            <w:tcW w:w="468"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shd w:val="clear" w:color="auto" w:fill="auto"/>
              </w:rPr>
              <w:t>6</w:t>
            </w:r>
          </w:p>
        </w:tc>
        <w:tc>
          <w:tcPr>
            <w:tcW w:w="882" w:type="dxa"/>
            <w:tcBorders>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卫生健</w:t>
            </w:r>
          </w:p>
        </w:tc>
        <w:tc>
          <w:tcPr>
            <w:tcW w:w="333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40" w:line="240" w:lineRule="auto"/>
              <w:ind w:left="0" w:right="0" w:firstLine="0"/>
              <w:jc w:val="both"/>
              <w:rPr>
                <w:sz w:val="20"/>
                <w:szCs w:val="20"/>
              </w:rPr>
            </w:pPr>
            <w:r>
              <w:rPr>
                <w:color w:val="000000"/>
                <w:spacing w:val="0"/>
                <w:w w:val="100"/>
                <w:position w:val="0"/>
                <w:sz w:val="20"/>
                <w:szCs w:val="20"/>
                <w:shd w:val="clear" w:color="auto" w:fill="auto"/>
              </w:rPr>
              <w:t>二级及以上公立中医医院中医类别执业（助理）医师比例（％）</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color w:val="000000"/>
                <w:spacing w:val="0"/>
                <w:w w:val="100"/>
                <w:position w:val="0"/>
                <w:sz w:val="20"/>
                <w:szCs w:val="20"/>
                <w:shd w:val="clear" w:color="auto" w:fill="auto"/>
              </w:rPr>
              <w:t>—</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kern w:val="2"/>
                <w:sz w:val="20"/>
                <w:szCs w:val="20"/>
                <w:u w:val="none"/>
                <w:lang w:val="en-US" w:eastAsia="zh-CN" w:bidi="zh-CN"/>
              </w:rPr>
            </w:pPr>
            <w:r>
              <w:rPr>
                <w:rFonts w:hint="eastAsia" w:asciiTheme="majorEastAsia" w:hAnsiTheme="majorEastAsia" w:eastAsiaTheme="majorEastAsia" w:cstheme="majorEastAsia"/>
                <w:color w:val="000000"/>
                <w:spacing w:val="0"/>
                <w:w w:val="100"/>
                <w:position w:val="0"/>
                <w:sz w:val="20"/>
                <w:szCs w:val="20"/>
                <w:shd w:val="clear" w:color="auto" w:fill="auto"/>
              </w:rPr>
              <w:t>—</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60.00</w:t>
            </w:r>
          </w:p>
        </w:tc>
        <w:tc>
          <w:tcPr>
            <w:tcW w:w="964"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default" w:asciiTheme="majorEastAsia" w:hAnsiTheme="majorEastAsia" w:eastAsiaTheme="majorEastAsia" w:cstheme="majorEastAsia"/>
                <w:kern w:val="2"/>
                <w:sz w:val="20"/>
                <w:szCs w:val="20"/>
                <w:u w:val="none"/>
                <w:lang w:val="en-US" w:eastAsia="zh-CN" w:bidi="zh-CN"/>
              </w:rPr>
            </w:pPr>
            <w:r>
              <w:rPr>
                <w:rFonts w:hint="eastAsia" w:asciiTheme="majorEastAsia" w:hAnsiTheme="majorEastAsia" w:eastAsiaTheme="majorEastAsia" w:cstheme="majorEastAsia"/>
                <w:sz w:val="20"/>
                <w:szCs w:val="20"/>
                <w:lang w:val="en-US" w:eastAsia="zh-CN"/>
              </w:rPr>
              <w:t>60.00</w:t>
            </w:r>
          </w:p>
        </w:tc>
        <w:tc>
          <w:tcPr>
            <w:tcW w:w="871"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约束性</w:t>
            </w:r>
          </w:p>
        </w:tc>
      </w:tr>
      <w:tr>
        <w:tblPrEx>
          <w:tblCellMar>
            <w:top w:w="0" w:type="dxa"/>
            <w:left w:w="10" w:type="dxa"/>
            <w:bottom w:w="0" w:type="dxa"/>
            <w:right w:w="10" w:type="dxa"/>
          </w:tblCellMar>
        </w:tblPrEx>
        <w:trPr>
          <w:trHeight w:val="583" w:hRule="exact"/>
          <w:jc w:val="center"/>
        </w:trPr>
        <w:tc>
          <w:tcPr>
            <w:tcW w:w="468"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shd w:val="clear" w:color="auto" w:fill="auto"/>
              </w:rPr>
              <w:t>7</w:t>
            </w:r>
          </w:p>
        </w:tc>
        <w:tc>
          <w:tcPr>
            <w:tcW w:w="882" w:type="dxa"/>
            <w:tcBorders>
              <w:left w:val="single" w:color="auto" w:sz="4" w:space="0"/>
            </w:tcBorders>
            <w:shd w:val="clear" w:color="auto" w:fill="FFFFFF"/>
            <w:vAlign w:val="center"/>
          </w:tcPr>
          <w:p>
            <w:pPr>
              <w:widowControl w:val="0"/>
              <w:jc w:val="center"/>
              <w:rPr>
                <w:sz w:val="10"/>
                <w:szCs w:val="10"/>
              </w:rPr>
            </w:pPr>
          </w:p>
        </w:tc>
        <w:tc>
          <w:tcPr>
            <w:tcW w:w="333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66" w:lineRule="exact"/>
              <w:ind w:left="0" w:right="0" w:firstLine="0"/>
              <w:jc w:val="both"/>
              <w:rPr>
                <w:sz w:val="20"/>
                <w:szCs w:val="20"/>
              </w:rPr>
            </w:pPr>
            <w:r>
              <w:rPr>
                <w:color w:val="000000"/>
                <w:spacing w:val="0"/>
                <w:w w:val="100"/>
                <w:position w:val="0"/>
                <w:sz w:val="20"/>
                <w:szCs w:val="20"/>
                <w:shd w:val="clear" w:color="auto" w:fill="auto"/>
              </w:rPr>
              <w:t>设置治未病科的二级及以上中医类医院</w:t>
            </w:r>
            <w:r>
              <w:rPr>
                <w:color w:val="000000"/>
                <w:spacing w:val="0"/>
                <w:w w:val="100"/>
                <w:position w:val="0"/>
                <w:sz w:val="20"/>
                <w:szCs w:val="20"/>
                <w:shd w:val="clear" w:color="auto" w:fill="auto"/>
              </w:rPr>
              <w:br w:type="textWrapping"/>
            </w:r>
            <w:r>
              <w:rPr>
                <w:color w:val="000000"/>
                <w:spacing w:val="0"/>
                <w:w w:val="100"/>
                <w:position w:val="0"/>
                <w:sz w:val="20"/>
                <w:szCs w:val="20"/>
                <w:shd w:val="clear" w:color="auto" w:fill="auto"/>
              </w:rPr>
              <w:t>比例（%）</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90.00</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default" w:asciiTheme="majorEastAsia" w:hAnsiTheme="majorEastAsia" w:eastAsiaTheme="majorEastAsia" w:cstheme="majorEastAsia"/>
                <w:kern w:val="2"/>
                <w:sz w:val="20"/>
                <w:szCs w:val="20"/>
                <w:u w:val="none"/>
                <w:lang w:val="en-US" w:eastAsia="zh-CN" w:bidi="zh-CN"/>
              </w:rPr>
            </w:pPr>
            <w:r>
              <w:rPr>
                <w:rFonts w:hint="eastAsia" w:asciiTheme="majorEastAsia" w:hAnsiTheme="majorEastAsia" w:eastAsiaTheme="majorEastAsia" w:cstheme="majorEastAsia"/>
                <w:sz w:val="20"/>
                <w:szCs w:val="20"/>
                <w:lang w:val="en-US" w:eastAsia="zh-CN"/>
              </w:rPr>
              <w:t>66.70</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95.00</w:t>
            </w:r>
          </w:p>
        </w:tc>
        <w:tc>
          <w:tcPr>
            <w:tcW w:w="964"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default" w:asciiTheme="majorEastAsia" w:hAnsiTheme="majorEastAsia" w:eastAsiaTheme="majorEastAsia" w:cstheme="majorEastAsia"/>
                <w:kern w:val="2"/>
                <w:sz w:val="20"/>
                <w:szCs w:val="20"/>
                <w:u w:val="none"/>
                <w:lang w:val="en-US" w:eastAsia="zh-CN" w:bidi="zh-CN"/>
              </w:rPr>
            </w:pPr>
            <w:r>
              <w:rPr>
                <w:rFonts w:hint="eastAsia" w:asciiTheme="majorEastAsia" w:hAnsiTheme="majorEastAsia" w:eastAsiaTheme="majorEastAsia" w:cstheme="majorEastAsia"/>
                <w:sz w:val="20"/>
                <w:szCs w:val="20"/>
                <w:lang w:val="en-US" w:eastAsia="zh-CN"/>
              </w:rPr>
              <w:t>100.00</w:t>
            </w:r>
          </w:p>
        </w:tc>
        <w:tc>
          <w:tcPr>
            <w:tcW w:w="871"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预期性</w:t>
            </w:r>
          </w:p>
        </w:tc>
      </w:tr>
      <w:tr>
        <w:tblPrEx>
          <w:tblCellMar>
            <w:top w:w="0" w:type="dxa"/>
            <w:left w:w="10" w:type="dxa"/>
            <w:bottom w:w="0" w:type="dxa"/>
            <w:right w:w="10" w:type="dxa"/>
          </w:tblCellMar>
        </w:tblPrEx>
        <w:trPr>
          <w:trHeight w:val="583" w:hRule="exact"/>
          <w:jc w:val="center"/>
        </w:trPr>
        <w:tc>
          <w:tcPr>
            <w:tcW w:w="468"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shd w:val="clear" w:color="auto" w:fill="auto"/>
              </w:rPr>
              <w:t>8</w:t>
            </w:r>
          </w:p>
        </w:tc>
        <w:tc>
          <w:tcPr>
            <w:tcW w:w="882" w:type="dxa"/>
            <w:tcBorders>
              <w:left w:val="single" w:color="auto" w:sz="4" w:space="0"/>
            </w:tcBorders>
            <w:shd w:val="clear" w:color="auto" w:fill="FFFFFF"/>
            <w:vAlign w:val="center"/>
          </w:tcPr>
          <w:p>
            <w:pPr>
              <w:widowControl w:val="0"/>
              <w:jc w:val="center"/>
              <w:rPr>
                <w:sz w:val="10"/>
                <w:szCs w:val="10"/>
              </w:rPr>
            </w:pPr>
          </w:p>
        </w:tc>
        <w:tc>
          <w:tcPr>
            <w:tcW w:w="333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74" w:lineRule="exact"/>
              <w:ind w:left="0" w:right="0" w:firstLine="0"/>
              <w:jc w:val="both"/>
              <w:rPr>
                <w:sz w:val="20"/>
                <w:szCs w:val="20"/>
              </w:rPr>
            </w:pPr>
            <w:r>
              <w:rPr>
                <w:color w:val="000000"/>
                <w:spacing w:val="0"/>
                <w:w w:val="100"/>
                <w:position w:val="0"/>
                <w:sz w:val="20"/>
                <w:szCs w:val="20"/>
                <w:shd w:val="clear" w:color="auto" w:fill="auto"/>
              </w:rPr>
              <w:t>设置康复（医学）科的二级及以上中医类</w:t>
            </w:r>
            <w:r>
              <w:rPr>
                <w:color w:val="000000"/>
                <w:spacing w:val="0"/>
                <w:w w:val="100"/>
                <w:position w:val="0"/>
                <w:sz w:val="20"/>
                <w:szCs w:val="20"/>
                <w:shd w:val="clear" w:color="auto" w:fill="auto"/>
              </w:rPr>
              <w:br w:type="textWrapping"/>
            </w:r>
            <w:r>
              <w:rPr>
                <w:color w:val="000000"/>
                <w:spacing w:val="0"/>
                <w:w w:val="100"/>
                <w:position w:val="0"/>
                <w:sz w:val="20"/>
                <w:szCs w:val="20"/>
                <w:shd w:val="clear" w:color="auto" w:fill="auto"/>
              </w:rPr>
              <w:t>医院比例（％）</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75.00</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default" w:asciiTheme="majorEastAsia" w:hAnsiTheme="majorEastAsia" w:eastAsiaTheme="majorEastAsia" w:cstheme="majorEastAsia"/>
                <w:kern w:val="2"/>
                <w:sz w:val="20"/>
                <w:szCs w:val="20"/>
                <w:u w:val="none"/>
                <w:lang w:val="en-US" w:eastAsia="zh-CN" w:bidi="zh-CN"/>
              </w:rPr>
            </w:pPr>
            <w:r>
              <w:rPr>
                <w:rFonts w:hint="eastAsia" w:asciiTheme="majorEastAsia" w:hAnsiTheme="majorEastAsia" w:eastAsiaTheme="majorEastAsia" w:cstheme="majorEastAsia"/>
                <w:kern w:val="2"/>
                <w:sz w:val="20"/>
                <w:szCs w:val="20"/>
                <w:u w:val="none"/>
                <w:lang w:val="en-US" w:eastAsia="zh-CN" w:bidi="zh-CN"/>
              </w:rPr>
              <w:t>66.70</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80.00</w:t>
            </w:r>
          </w:p>
        </w:tc>
        <w:tc>
          <w:tcPr>
            <w:tcW w:w="964"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default" w:asciiTheme="majorEastAsia" w:hAnsiTheme="majorEastAsia" w:eastAsiaTheme="majorEastAsia" w:cstheme="majorEastAsia"/>
                <w:kern w:val="2"/>
                <w:sz w:val="20"/>
                <w:szCs w:val="20"/>
                <w:u w:val="none"/>
                <w:lang w:val="en-US" w:eastAsia="zh-CN" w:bidi="zh-CN"/>
              </w:rPr>
            </w:pPr>
            <w:r>
              <w:rPr>
                <w:rFonts w:hint="eastAsia" w:asciiTheme="majorEastAsia" w:hAnsiTheme="majorEastAsia" w:eastAsiaTheme="majorEastAsia" w:cstheme="majorEastAsia"/>
                <w:sz w:val="20"/>
                <w:szCs w:val="20"/>
                <w:lang w:val="en-US" w:eastAsia="zh-CN"/>
              </w:rPr>
              <w:t>100.00</w:t>
            </w:r>
          </w:p>
        </w:tc>
        <w:tc>
          <w:tcPr>
            <w:tcW w:w="871"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预期性</w:t>
            </w:r>
          </w:p>
        </w:tc>
      </w:tr>
      <w:tr>
        <w:tblPrEx>
          <w:tblCellMar>
            <w:top w:w="0" w:type="dxa"/>
            <w:left w:w="10" w:type="dxa"/>
            <w:bottom w:w="0" w:type="dxa"/>
            <w:right w:w="10" w:type="dxa"/>
          </w:tblCellMar>
        </w:tblPrEx>
        <w:trPr>
          <w:trHeight w:val="619" w:hRule="exact"/>
          <w:jc w:val="center"/>
        </w:trPr>
        <w:tc>
          <w:tcPr>
            <w:tcW w:w="468"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shd w:val="clear" w:color="auto" w:fill="auto"/>
              </w:rPr>
              <w:t>9</w:t>
            </w:r>
          </w:p>
        </w:tc>
        <w:tc>
          <w:tcPr>
            <w:tcW w:w="882" w:type="dxa"/>
            <w:tcBorders>
              <w:left w:val="single" w:color="auto" w:sz="4" w:space="0"/>
            </w:tcBorders>
            <w:shd w:val="clear" w:color="auto" w:fill="FFFFFF"/>
            <w:vAlign w:val="center"/>
          </w:tcPr>
          <w:p>
            <w:pPr>
              <w:widowControl w:val="0"/>
              <w:jc w:val="center"/>
              <w:rPr>
                <w:sz w:val="10"/>
                <w:szCs w:val="10"/>
              </w:rPr>
            </w:pPr>
          </w:p>
        </w:tc>
        <w:tc>
          <w:tcPr>
            <w:tcW w:w="333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66" w:lineRule="exact"/>
              <w:ind w:left="0" w:right="0" w:firstLine="0"/>
              <w:jc w:val="both"/>
              <w:rPr>
                <w:sz w:val="20"/>
                <w:szCs w:val="20"/>
              </w:rPr>
            </w:pPr>
            <w:r>
              <w:rPr>
                <w:color w:val="000000"/>
                <w:spacing w:val="0"/>
                <w:w w:val="100"/>
                <w:position w:val="0"/>
                <w:sz w:val="20"/>
                <w:szCs w:val="20"/>
                <w:shd w:val="clear" w:color="auto" w:fill="auto"/>
              </w:rPr>
              <w:t>设置感染性疾病科的二级及以上公立中医类医院比例（％）</w:t>
            </w:r>
          </w:p>
        </w:tc>
        <w:tc>
          <w:tcPr>
            <w:tcW w:w="964" w:type="dxa"/>
            <w:tcBorders>
              <w:top w:val="single" w:color="auto" w:sz="4" w:space="0"/>
              <w:left w:val="single" w:color="auto" w:sz="4" w:space="0"/>
            </w:tcBorders>
            <w:shd w:val="clear" w:color="auto" w:fill="FFFFFF"/>
            <w:vAlign w:val="center"/>
          </w:tcPr>
          <w:p>
            <w:pPr>
              <w:widowControl w:val="0"/>
              <w:jc w:val="center"/>
              <w:rPr>
                <w:rFonts w:hint="eastAsia" w:asciiTheme="majorEastAsia" w:hAnsiTheme="majorEastAsia" w:eastAsiaTheme="majorEastAsia" w:cstheme="majorEastAsia"/>
                <w:sz w:val="10"/>
                <w:szCs w:val="10"/>
                <w:lang w:val="en-US" w:eastAsia="zh-CN"/>
              </w:rPr>
            </w:pPr>
            <w:r>
              <w:rPr>
                <w:rFonts w:hint="eastAsia" w:asciiTheme="majorEastAsia" w:hAnsiTheme="majorEastAsia" w:eastAsiaTheme="majorEastAsia" w:cstheme="majorEastAsia"/>
                <w:color w:val="000000"/>
                <w:spacing w:val="0"/>
                <w:w w:val="100"/>
                <w:position w:val="0"/>
                <w:sz w:val="20"/>
                <w:szCs w:val="20"/>
                <w:shd w:val="clear" w:color="auto" w:fill="auto"/>
              </w:rPr>
              <w:t>—</w:t>
            </w:r>
          </w:p>
        </w:tc>
        <w:tc>
          <w:tcPr>
            <w:tcW w:w="964" w:type="dxa"/>
            <w:tcBorders>
              <w:top w:val="single" w:color="auto" w:sz="4" w:space="0"/>
              <w:left w:val="single" w:color="auto" w:sz="4" w:space="0"/>
            </w:tcBorders>
            <w:shd w:val="clear" w:color="auto" w:fill="FFFFFF"/>
            <w:vAlign w:val="center"/>
          </w:tcPr>
          <w:p>
            <w:pPr>
              <w:widowControl w:val="0"/>
              <w:jc w:val="center"/>
              <w:rPr>
                <w:rFonts w:hint="eastAsia" w:asciiTheme="majorEastAsia" w:hAnsiTheme="majorEastAsia" w:eastAsiaTheme="majorEastAsia" w:cstheme="majorEastAsia"/>
                <w:kern w:val="2"/>
                <w:sz w:val="10"/>
                <w:szCs w:val="10"/>
                <w:lang w:val="en-US" w:eastAsia="zh-CN" w:bidi="ar-SA"/>
              </w:rPr>
            </w:pPr>
            <w:r>
              <w:rPr>
                <w:rFonts w:hint="eastAsia" w:asciiTheme="majorEastAsia" w:hAnsiTheme="majorEastAsia" w:eastAsiaTheme="majorEastAsia" w:cstheme="majorEastAsia"/>
                <w:color w:val="000000"/>
                <w:spacing w:val="0"/>
                <w:w w:val="100"/>
                <w:position w:val="0"/>
                <w:sz w:val="20"/>
                <w:szCs w:val="20"/>
                <w:shd w:val="clear" w:color="auto" w:fill="auto"/>
              </w:rPr>
              <w:t>—</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100.00</w:t>
            </w:r>
          </w:p>
        </w:tc>
        <w:tc>
          <w:tcPr>
            <w:tcW w:w="964"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default" w:asciiTheme="majorEastAsia" w:hAnsiTheme="majorEastAsia" w:eastAsiaTheme="majorEastAsia" w:cstheme="majorEastAsia"/>
                <w:kern w:val="2"/>
                <w:sz w:val="20"/>
                <w:szCs w:val="20"/>
                <w:u w:val="none"/>
                <w:lang w:val="en-US" w:eastAsia="zh-CN" w:bidi="zh-CN"/>
              </w:rPr>
            </w:pPr>
            <w:r>
              <w:rPr>
                <w:rFonts w:hint="eastAsia" w:asciiTheme="majorEastAsia" w:hAnsiTheme="majorEastAsia" w:eastAsiaTheme="majorEastAsia" w:cstheme="majorEastAsia"/>
                <w:kern w:val="2"/>
                <w:sz w:val="20"/>
                <w:szCs w:val="20"/>
                <w:u w:val="none"/>
                <w:lang w:val="en-US" w:eastAsia="zh-CN" w:bidi="zh-CN"/>
              </w:rPr>
              <w:t>66.70</w:t>
            </w:r>
          </w:p>
        </w:tc>
        <w:tc>
          <w:tcPr>
            <w:tcW w:w="871"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预期性</w:t>
            </w:r>
          </w:p>
        </w:tc>
      </w:tr>
      <w:tr>
        <w:tblPrEx>
          <w:tblCellMar>
            <w:top w:w="0" w:type="dxa"/>
            <w:left w:w="10" w:type="dxa"/>
            <w:bottom w:w="0" w:type="dxa"/>
            <w:right w:w="10" w:type="dxa"/>
          </w:tblCellMar>
        </w:tblPrEx>
        <w:trPr>
          <w:trHeight w:val="583" w:hRule="exact"/>
          <w:jc w:val="center"/>
        </w:trPr>
        <w:tc>
          <w:tcPr>
            <w:tcW w:w="468"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shd w:val="clear" w:color="auto" w:fill="auto"/>
              </w:rPr>
              <w:t>10</w:t>
            </w:r>
          </w:p>
        </w:tc>
        <w:tc>
          <w:tcPr>
            <w:tcW w:w="882" w:type="dxa"/>
            <w:tcBorders>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康资源</w:t>
            </w:r>
          </w:p>
        </w:tc>
        <w:tc>
          <w:tcPr>
            <w:tcW w:w="333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59" w:lineRule="exact"/>
              <w:ind w:left="0" w:right="0" w:firstLine="0"/>
              <w:jc w:val="both"/>
              <w:rPr>
                <w:sz w:val="20"/>
                <w:szCs w:val="20"/>
              </w:rPr>
            </w:pPr>
            <w:r>
              <w:rPr>
                <w:color w:val="000000"/>
                <w:spacing w:val="0"/>
                <w:w w:val="100"/>
                <w:position w:val="0"/>
                <w:sz w:val="20"/>
                <w:szCs w:val="20"/>
                <w:shd w:val="clear" w:color="auto" w:fill="auto"/>
              </w:rPr>
              <w:t>设置老年病科的二级及以上公立中医类医院比例（％）</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50.00</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default" w:asciiTheme="majorEastAsia" w:hAnsiTheme="majorEastAsia" w:eastAsiaTheme="majorEastAsia" w:cstheme="majorEastAsia"/>
                <w:kern w:val="2"/>
                <w:sz w:val="20"/>
                <w:szCs w:val="20"/>
                <w:u w:val="none"/>
                <w:lang w:val="en-US" w:eastAsia="zh-CN" w:bidi="zh-CN"/>
              </w:rPr>
            </w:pPr>
            <w:r>
              <w:rPr>
                <w:rFonts w:hint="eastAsia" w:asciiTheme="majorEastAsia" w:hAnsiTheme="majorEastAsia" w:eastAsiaTheme="majorEastAsia" w:cstheme="majorEastAsia"/>
                <w:sz w:val="20"/>
                <w:szCs w:val="20"/>
                <w:lang w:val="en-US" w:eastAsia="zh-CN"/>
              </w:rPr>
              <w:t>33.30</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60.00</w:t>
            </w:r>
          </w:p>
        </w:tc>
        <w:tc>
          <w:tcPr>
            <w:tcW w:w="964"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kern w:val="2"/>
                <w:sz w:val="20"/>
                <w:szCs w:val="20"/>
                <w:u w:val="none"/>
                <w:lang w:val="en-US" w:eastAsia="zh-CN" w:bidi="zh-CN"/>
              </w:rPr>
            </w:pPr>
            <w:r>
              <w:rPr>
                <w:rFonts w:hint="eastAsia" w:asciiTheme="majorEastAsia" w:hAnsiTheme="majorEastAsia" w:eastAsiaTheme="majorEastAsia" w:cstheme="majorEastAsia"/>
                <w:sz w:val="20"/>
                <w:szCs w:val="20"/>
                <w:lang w:val="en-US" w:eastAsia="zh-CN"/>
              </w:rPr>
              <w:t>60.00</w:t>
            </w:r>
          </w:p>
        </w:tc>
        <w:tc>
          <w:tcPr>
            <w:tcW w:w="871"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预期性</w:t>
            </w:r>
          </w:p>
        </w:tc>
      </w:tr>
      <w:tr>
        <w:tblPrEx>
          <w:tblCellMar>
            <w:top w:w="0" w:type="dxa"/>
            <w:left w:w="10" w:type="dxa"/>
            <w:bottom w:w="0" w:type="dxa"/>
            <w:right w:w="10" w:type="dxa"/>
          </w:tblCellMar>
        </w:tblPrEx>
        <w:trPr>
          <w:trHeight w:val="583" w:hRule="exact"/>
          <w:jc w:val="center"/>
        </w:trPr>
        <w:tc>
          <w:tcPr>
            <w:tcW w:w="468"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shd w:val="clear" w:color="auto" w:fill="auto"/>
              </w:rPr>
              <w:t>11</w:t>
            </w:r>
          </w:p>
        </w:tc>
        <w:tc>
          <w:tcPr>
            <w:tcW w:w="882" w:type="dxa"/>
            <w:tcBorders>
              <w:left w:val="single" w:color="auto" w:sz="4" w:space="0"/>
            </w:tcBorders>
            <w:shd w:val="clear" w:color="auto" w:fill="FFFFFF"/>
            <w:vAlign w:val="center"/>
          </w:tcPr>
          <w:p>
            <w:pPr>
              <w:widowControl w:val="0"/>
              <w:jc w:val="center"/>
              <w:rPr>
                <w:sz w:val="10"/>
                <w:szCs w:val="10"/>
              </w:rPr>
            </w:pPr>
          </w:p>
        </w:tc>
        <w:tc>
          <w:tcPr>
            <w:tcW w:w="333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74" w:lineRule="exact"/>
              <w:ind w:left="0" w:right="0" w:firstLine="0"/>
              <w:jc w:val="both"/>
              <w:rPr>
                <w:sz w:val="20"/>
                <w:szCs w:val="20"/>
              </w:rPr>
            </w:pPr>
            <w:r>
              <w:rPr>
                <w:color w:val="000000"/>
                <w:spacing w:val="0"/>
                <w:w w:val="100"/>
                <w:position w:val="0"/>
                <w:sz w:val="20"/>
                <w:szCs w:val="20"/>
                <w:shd w:val="clear" w:color="auto" w:fill="auto"/>
              </w:rPr>
              <w:t>设置中医类临床科室的二级及以上公立综合医院比例（％）</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100.00</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default" w:asciiTheme="majorEastAsia" w:hAnsiTheme="majorEastAsia" w:eastAsiaTheme="majorEastAsia" w:cstheme="majorEastAsia"/>
                <w:kern w:val="2"/>
                <w:sz w:val="20"/>
                <w:szCs w:val="20"/>
                <w:u w:val="none"/>
                <w:lang w:val="en-US" w:eastAsia="zh-CN" w:bidi="zh-CN"/>
              </w:rPr>
            </w:pPr>
            <w:r>
              <w:rPr>
                <w:rFonts w:hint="eastAsia" w:asciiTheme="majorEastAsia" w:hAnsiTheme="majorEastAsia" w:eastAsiaTheme="majorEastAsia" w:cstheme="majorEastAsia"/>
                <w:sz w:val="20"/>
                <w:szCs w:val="20"/>
                <w:lang w:val="en-US" w:eastAsia="zh-CN"/>
              </w:rPr>
              <w:t>100.00</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100.00</w:t>
            </w:r>
          </w:p>
        </w:tc>
        <w:tc>
          <w:tcPr>
            <w:tcW w:w="964"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default" w:asciiTheme="majorEastAsia" w:hAnsiTheme="majorEastAsia" w:eastAsiaTheme="majorEastAsia" w:cstheme="majorEastAsia"/>
                <w:kern w:val="2"/>
                <w:sz w:val="20"/>
                <w:szCs w:val="20"/>
                <w:u w:val="none"/>
                <w:lang w:val="en-US" w:eastAsia="en-US" w:bidi="zh-CN"/>
              </w:rPr>
            </w:pPr>
            <w:r>
              <w:rPr>
                <w:rFonts w:hint="eastAsia" w:asciiTheme="majorEastAsia" w:hAnsiTheme="majorEastAsia" w:eastAsiaTheme="majorEastAsia" w:cstheme="majorEastAsia"/>
                <w:sz w:val="20"/>
                <w:szCs w:val="20"/>
                <w:lang w:val="en-US" w:eastAsia="zh-CN"/>
              </w:rPr>
              <w:t>100.00</w:t>
            </w:r>
          </w:p>
        </w:tc>
        <w:tc>
          <w:tcPr>
            <w:tcW w:w="871"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预期性</w:t>
            </w:r>
          </w:p>
        </w:tc>
      </w:tr>
      <w:tr>
        <w:tblPrEx>
          <w:tblCellMar>
            <w:top w:w="0" w:type="dxa"/>
            <w:left w:w="10" w:type="dxa"/>
            <w:bottom w:w="0" w:type="dxa"/>
            <w:right w:w="10" w:type="dxa"/>
          </w:tblCellMar>
        </w:tblPrEx>
        <w:trPr>
          <w:trHeight w:val="583" w:hRule="exact"/>
          <w:jc w:val="center"/>
        </w:trPr>
        <w:tc>
          <w:tcPr>
            <w:tcW w:w="468"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shd w:val="clear" w:color="auto" w:fill="auto"/>
              </w:rPr>
              <w:t>12</w:t>
            </w:r>
          </w:p>
        </w:tc>
        <w:tc>
          <w:tcPr>
            <w:tcW w:w="882" w:type="dxa"/>
            <w:tcBorders>
              <w:left w:val="single" w:color="auto" w:sz="4" w:space="0"/>
            </w:tcBorders>
            <w:shd w:val="clear" w:color="auto" w:fill="FFFFFF"/>
            <w:vAlign w:val="center"/>
          </w:tcPr>
          <w:p>
            <w:pPr>
              <w:widowControl w:val="0"/>
              <w:jc w:val="center"/>
              <w:rPr>
                <w:sz w:val="10"/>
                <w:szCs w:val="10"/>
              </w:rPr>
            </w:pPr>
          </w:p>
        </w:tc>
        <w:tc>
          <w:tcPr>
            <w:tcW w:w="333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74" w:lineRule="exact"/>
              <w:ind w:left="0" w:right="0" w:firstLine="0"/>
              <w:jc w:val="both"/>
              <w:rPr>
                <w:sz w:val="20"/>
                <w:szCs w:val="20"/>
              </w:rPr>
            </w:pPr>
            <w:r>
              <w:rPr>
                <w:color w:val="000000"/>
                <w:spacing w:val="0"/>
                <w:w w:val="100"/>
                <w:position w:val="0"/>
                <w:sz w:val="20"/>
                <w:szCs w:val="20"/>
                <w:shd w:val="clear" w:color="auto" w:fill="auto"/>
              </w:rPr>
              <w:t>设置中医类临床科室的二级及以上妇幼保健院比例（％）</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color w:val="000000"/>
                <w:spacing w:val="0"/>
                <w:w w:val="100"/>
                <w:position w:val="0"/>
                <w:sz w:val="20"/>
                <w:szCs w:val="20"/>
                <w:shd w:val="clear" w:color="auto" w:fill="auto"/>
              </w:rPr>
              <w:t>—</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kern w:val="2"/>
                <w:sz w:val="20"/>
                <w:szCs w:val="20"/>
                <w:u w:val="none"/>
                <w:lang w:val="en-US" w:eastAsia="zh-CN" w:bidi="zh-CN"/>
              </w:rPr>
            </w:pPr>
            <w:r>
              <w:rPr>
                <w:rFonts w:hint="eastAsia" w:asciiTheme="majorEastAsia" w:hAnsiTheme="majorEastAsia" w:eastAsiaTheme="majorEastAsia" w:cstheme="majorEastAsia"/>
                <w:color w:val="000000"/>
                <w:spacing w:val="0"/>
                <w:w w:val="100"/>
                <w:position w:val="0"/>
                <w:sz w:val="20"/>
                <w:szCs w:val="20"/>
                <w:shd w:val="clear" w:color="auto" w:fill="auto"/>
              </w:rPr>
              <w:t>—</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100.00</w:t>
            </w:r>
          </w:p>
        </w:tc>
        <w:tc>
          <w:tcPr>
            <w:tcW w:w="964"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default" w:asciiTheme="majorEastAsia" w:hAnsiTheme="majorEastAsia" w:eastAsiaTheme="majorEastAsia" w:cstheme="majorEastAsia"/>
                <w:kern w:val="2"/>
                <w:sz w:val="20"/>
                <w:szCs w:val="20"/>
                <w:u w:val="none"/>
                <w:lang w:val="en-US" w:eastAsia="zh-CN" w:bidi="zh-CN"/>
              </w:rPr>
            </w:pPr>
            <w:r>
              <w:rPr>
                <w:rFonts w:hint="eastAsia" w:asciiTheme="majorEastAsia" w:hAnsiTheme="majorEastAsia" w:eastAsiaTheme="majorEastAsia" w:cstheme="majorEastAsia"/>
                <w:sz w:val="20"/>
                <w:szCs w:val="20"/>
                <w:highlight w:val="none"/>
                <w:lang w:val="en-US" w:eastAsia="zh-CN"/>
              </w:rPr>
              <w:t>100.00</w:t>
            </w:r>
          </w:p>
        </w:tc>
        <w:tc>
          <w:tcPr>
            <w:tcW w:w="871"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预期性</w:t>
            </w:r>
          </w:p>
        </w:tc>
      </w:tr>
      <w:tr>
        <w:tblPrEx>
          <w:tblCellMar>
            <w:top w:w="0" w:type="dxa"/>
            <w:left w:w="10" w:type="dxa"/>
            <w:bottom w:w="0" w:type="dxa"/>
            <w:right w:w="10" w:type="dxa"/>
          </w:tblCellMar>
        </w:tblPrEx>
        <w:trPr>
          <w:trHeight w:val="410" w:hRule="exact"/>
          <w:jc w:val="center"/>
        </w:trPr>
        <w:tc>
          <w:tcPr>
            <w:tcW w:w="468"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shd w:val="clear" w:color="auto" w:fill="auto"/>
              </w:rPr>
              <w:t>13</w:t>
            </w:r>
          </w:p>
        </w:tc>
        <w:tc>
          <w:tcPr>
            <w:tcW w:w="882" w:type="dxa"/>
            <w:tcBorders>
              <w:left w:val="single" w:color="auto" w:sz="4" w:space="0"/>
            </w:tcBorders>
            <w:shd w:val="clear" w:color="auto" w:fill="FFFFFF"/>
            <w:vAlign w:val="center"/>
          </w:tcPr>
          <w:p>
            <w:pPr>
              <w:widowControl w:val="0"/>
              <w:jc w:val="center"/>
              <w:rPr>
                <w:sz w:val="10"/>
                <w:szCs w:val="10"/>
              </w:rPr>
            </w:pPr>
          </w:p>
        </w:tc>
        <w:tc>
          <w:tcPr>
            <w:tcW w:w="333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rPr>
              <w:t>公立综合医院中医床位数（张）</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9144</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kern w:val="2"/>
                <w:sz w:val="20"/>
                <w:szCs w:val="20"/>
                <w:u w:val="none"/>
                <w:lang w:val="en-US" w:eastAsia="zh-CN" w:bidi="zh-CN"/>
              </w:rPr>
            </w:pPr>
            <w:r>
              <w:rPr>
                <w:rFonts w:hint="eastAsia" w:asciiTheme="majorEastAsia" w:hAnsiTheme="majorEastAsia" w:eastAsiaTheme="majorEastAsia" w:cstheme="majorEastAsia"/>
                <w:sz w:val="20"/>
                <w:szCs w:val="20"/>
                <w:lang w:val="en-US" w:eastAsia="zh-CN"/>
              </w:rPr>
              <w:t>142</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11144</w:t>
            </w:r>
          </w:p>
        </w:tc>
        <w:tc>
          <w:tcPr>
            <w:tcW w:w="964"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kern w:val="2"/>
                <w:sz w:val="20"/>
                <w:szCs w:val="20"/>
                <w:u w:val="none"/>
                <w:lang w:val="en-US" w:eastAsia="en-US" w:bidi="zh-CN"/>
              </w:rPr>
            </w:pPr>
            <w:r>
              <w:rPr>
                <w:rFonts w:hint="eastAsia" w:asciiTheme="majorEastAsia" w:hAnsiTheme="majorEastAsia" w:eastAsiaTheme="majorEastAsia" w:cstheme="majorEastAsia"/>
                <w:sz w:val="20"/>
                <w:szCs w:val="20"/>
                <w:lang w:val="en-US" w:eastAsia="zh-CN"/>
              </w:rPr>
              <w:t>172</w:t>
            </w:r>
          </w:p>
        </w:tc>
        <w:tc>
          <w:tcPr>
            <w:tcW w:w="871"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预期性</w:t>
            </w:r>
          </w:p>
        </w:tc>
      </w:tr>
      <w:tr>
        <w:tblPrEx>
          <w:tblCellMar>
            <w:top w:w="0" w:type="dxa"/>
            <w:left w:w="10" w:type="dxa"/>
            <w:bottom w:w="0" w:type="dxa"/>
            <w:right w:w="10" w:type="dxa"/>
          </w:tblCellMar>
        </w:tblPrEx>
        <w:trPr>
          <w:trHeight w:val="590" w:hRule="exact"/>
          <w:jc w:val="center"/>
        </w:trPr>
        <w:tc>
          <w:tcPr>
            <w:tcW w:w="468"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shd w:val="clear" w:color="auto" w:fill="auto"/>
              </w:rPr>
              <w:t>14</w:t>
            </w:r>
          </w:p>
        </w:tc>
        <w:tc>
          <w:tcPr>
            <w:tcW w:w="882" w:type="dxa"/>
            <w:tcBorders>
              <w:left w:val="single" w:color="auto" w:sz="4" w:space="0"/>
            </w:tcBorders>
            <w:shd w:val="clear" w:color="auto" w:fill="FFFFFF"/>
            <w:vAlign w:val="center"/>
          </w:tcPr>
          <w:p>
            <w:pPr>
              <w:widowControl w:val="0"/>
              <w:jc w:val="center"/>
              <w:rPr>
                <w:sz w:val="10"/>
                <w:szCs w:val="10"/>
              </w:rPr>
            </w:pPr>
          </w:p>
        </w:tc>
        <w:tc>
          <w:tcPr>
            <w:tcW w:w="333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81" w:lineRule="exact"/>
              <w:ind w:left="0" w:right="0" w:firstLine="0"/>
              <w:jc w:val="both"/>
              <w:rPr>
                <w:sz w:val="20"/>
                <w:szCs w:val="20"/>
              </w:rPr>
            </w:pPr>
            <w:r>
              <w:rPr>
                <w:color w:val="000000"/>
                <w:spacing w:val="0"/>
                <w:w w:val="100"/>
                <w:position w:val="0"/>
                <w:sz w:val="20"/>
                <w:szCs w:val="20"/>
                <w:shd w:val="clear" w:color="auto" w:fill="auto"/>
              </w:rPr>
              <w:t>设置中医馆的社区卫生服务中心和乡镇卫生院比例（％）</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100.00</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default" w:asciiTheme="majorEastAsia" w:hAnsiTheme="majorEastAsia" w:eastAsiaTheme="majorEastAsia" w:cstheme="majorEastAsia"/>
                <w:kern w:val="2"/>
                <w:sz w:val="20"/>
                <w:szCs w:val="20"/>
                <w:u w:val="none"/>
                <w:lang w:val="en-US" w:eastAsia="zh-CN" w:bidi="zh-CN"/>
              </w:rPr>
            </w:pPr>
            <w:r>
              <w:rPr>
                <w:rFonts w:hint="eastAsia" w:asciiTheme="majorEastAsia" w:hAnsiTheme="majorEastAsia" w:eastAsiaTheme="majorEastAsia" w:cstheme="majorEastAsia"/>
                <w:sz w:val="20"/>
                <w:szCs w:val="20"/>
                <w:lang w:val="en-US" w:eastAsia="zh-CN"/>
              </w:rPr>
              <w:t>100.00</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100.00</w:t>
            </w:r>
          </w:p>
        </w:tc>
        <w:tc>
          <w:tcPr>
            <w:tcW w:w="964"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default" w:asciiTheme="majorEastAsia" w:hAnsiTheme="majorEastAsia" w:eastAsiaTheme="majorEastAsia" w:cstheme="majorEastAsia"/>
                <w:kern w:val="2"/>
                <w:sz w:val="20"/>
                <w:szCs w:val="20"/>
                <w:u w:val="none"/>
                <w:lang w:val="en-US" w:eastAsia="en-US" w:bidi="zh-CN"/>
              </w:rPr>
            </w:pPr>
            <w:r>
              <w:rPr>
                <w:rFonts w:hint="eastAsia" w:asciiTheme="majorEastAsia" w:hAnsiTheme="majorEastAsia" w:eastAsiaTheme="majorEastAsia" w:cstheme="majorEastAsia"/>
                <w:sz w:val="20"/>
                <w:szCs w:val="20"/>
                <w:lang w:val="en-US" w:eastAsia="zh-CN"/>
              </w:rPr>
              <w:t>100.00</w:t>
            </w:r>
          </w:p>
        </w:tc>
        <w:tc>
          <w:tcPr>
            <w:tcW w:w="871"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预期性</w:t>
            </w:r>
          </w:p>
        </w:tc>
      </w:tr>
      <w:tr>
        <w:tblPrEx>
          <w:tblCellMar>
            <w:top w:w="0" w:type="dxa"/>
            <w:left w:w="10" w:type="dxa"/>
            <w:bottom w:w="0" w:type="dxa"/>
            <w:right w:w="10" w:type="dxa"/>
          </w:tblCellMar>
        </w:tblPrEx>
        <w:trPr>
          <w:trHeight w:val="403" w:hRule="exact"/>
          <w:jc w:val="center"/>
        </w:trPr>
        <w:tc>
          <w:tcPr>
            <w:tcW w:w="468"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shd w:val="clear" w:color="auto" w:fill="auto"/>
              </w:rPr>
              <w:t>15</w:t>
            </w:r>
          </w:p>
        </w:tc>
        <w:tc>
          <w:tcPr>
            <w:tcW w:w="882" w:type="dxa"/>
            <w:tcBorders>
              <w:top w:val="single" w:color="auto" w:sz="4" w:space="0"/>
              <w:left w:val="single" w:color="auto" w:sz="4" w:space="0"/>
            </w:tcBorders>
            <w:shd w:val="clear" w:color="auto" w:fill="FFFFFF"/>
            <w:vAlign w:val="center"/>
          </w:tcPr>
          <w:p>
            <w:pPr>
              <w:widowControl w:val="0"/>
              <w:jc w:val="center"/>
              <w:rPr>
                <w:sz w:val="10"/>
                <w:szCs w:val="10"/>
              </w:rPr>
            </w:pPr>
          </w:p>
        </w:tc>
        <w:tc>
          <w:tcPr>
            <w:tcW w:w="333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rPr>
              <w:t>中医总诊疗人次</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1.80亿</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b w:val="0"/>
                <w:bCs w:val="0"/>
                <w:kern w:val="2"/>
                <w:sz w:val="20"/>
                <w:szCs w:val="20"/>
                <w:u w:val="none"/>
                <w:lang w:val="en-US" w:eastAsia="zh-CN" w:bidi="zh-CN"/>
              </w:rPr>
            </w:pPr>
            <w:r>
              <w:rPr>
                <w:rFonts w:hint="eastAsia" w:asciiTheme="majorEastAsia" w:hAnsiTheme="majorEastAsia" w:eastAsiaTheme="majorEastAsia" w:cstheme="majorEastAsia"/>
                <w:b w:val="0"/>
                <w:bCs w:val="0"/>
                <w:sz w:val="20"/>
                <w:szCs w:val="20"/>
                <w:lang w:val="en-US" w:eastAsia="zh-CN"/>
              </w:rPr>
              <w:t>3059523</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2.34亿</w:t>
            </w:r>
          </w:p>
        </w:tc>
        <w:tc>
          <w:tcPr>
            <w:tcW w:w="964"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kern w:val="2"/>
                <w:sz w:val="20"/>
                <w:szCs w:val="20"/>
                <w:u w:val="none"/>
                <w:lang w:val="en-US" w:eastAsia="en-US" w:bidi="zh-CN"/>
              </w:rPr>
            </w:pPr>
            <w:r>
              <w:rPr>
                <w:rFonts w:hint="eastAsia" w:asciiTheme="majorEastAsia" w:hAnsiTheme="majorEastAsia" w:eastAsiaTheme="majorEastAsia" w:cstheme="majorEastAsia"/>
                <w:sz w:val="20"/>
                <w:szCs w:val="20"/>
                <w:lang w:val="en-US" w:eastAsia="zh-CN"/>
              </w:rPr>
              <w:t>3970328</w:t>
            </w:r>
          </w:p>
        </w:tc>
        <w:tc>
          <w:tcPr>
            <w:tcW w:w="871"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预期性</w:t>
            </w:r>
          </w:p>
        </w:tc>
      </w:tr>
      <w:tr>
        <w:tblPrEx>
          <w:tblCellMar>
            <w:top w:w="0" w:type="dxa"/>
            <w:left w:w="10" w:type="dxa"/>
            <w:bottom w:w="0" w:type="dxa"/>
            <w:right w:w="10" w:type="dxa"/>
          </w:tblCellMar>
        </w:tblPrEx>
        <w:trPr>
          <w:trHeight w:val="590" w:hRule="exact"/>
          <w:jc w:val="center"/>
        </w:trPr>
        <w:tc>
          <w:tcPr>
            <w:tcW w:w="468"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shd w:val="clear" w:color="auto" w:fill="auto"/>
              </w:rPr>
              <w:t>16</w:t>
            </w:r>
          </w:p>
        </w:tc>
        <w:tc>
          <w:tcPr>
            <w:tcW w:w="882" w:type="dxa"/>
            <w:tcBorders>
              <w:left w:val="single" w:color="auto" w:sz="4" w:space="0"/>
            </w:tcBorders>
            <w:shd w:val="clear" w:color="auto" w:fill="FFFFFF"/>
            <w:vAlign w:val="center"/>
          </w:tcPr>
          <w:p>
            <w:pPr>
              <w:widowControl w:val="0"/>
              <w:jc w:val="center"/>
              <w:rPr>
                <w:sz w:val="10"/>
                <w:szCs w:val="10"/>
              </w:rPr>
            </w:pPr>
          </w:p>
        </w:tc>
        <w:tc>
          <w:tcPr>
            <w:tcW w:w="333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66" w:lineRule="exact"/>
              <w:ind w:left="0" w:right="0" w:firstLine="0"/>
              <w:jc w:val="both"/>
              <w:rPr>
                <w:sz w:val="20"/>
                <w:szCs w:val="20"/>
              </w:rPr>
            </w:pPr>
            <w:r>
              <w:rPr>
                <w:color w:val="000000"/>
                <w:spacing w:val="0"/>
                <w:w w:val="100"/>
                <w:position w:val="0"/>
                <w:sz w:val="20"/>
                <w:szCs w:val="20"/>
                <w:shd w:val="clear" w:color="auto" w:fill="auto"/>
              </w:rPr>
              <w:t>中医总诊疗人次占医疗卫生机构总诊疗人次比例（％）</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24.80</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b w:val="0"/>
                <w:bCs w:val="0"/>
                <w:kern w:val="2"/>
                <w:sz w:val="20"/>
                <w:szCs w:val="20"/>
                <w:u w:val="none"/>
                <w:lang w:val="en-US" w:eastAsia="zh-CN" w:bidi="zh-CN"/>
              </w:rPr>
            </w:pPr>
            <w:r>
              <w:rPr>
                <w:rFonts w:hint="eastAsia" w:asciiTheme="majorEastAsia" w:hAnsiTheme="majorEastAsia" w:eastAsiaTheme="majorEastAsia" w:cstheme="majorEastAsia"/>
                <w:b w:val="0"/>
                <w:bCs w:val="0"/>
                <w:sz w:val="20"/>
                <w:szCs w:val="20"/>
                <w:lang w:val="en-US" w:eastAsia="zh-CN"/>
              </w:rPr>
              <w:t>36.69</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27.00</w:t>
            </w:r>
          </w:p>
        </w:tc>
        <w:tc>
          <w:tcPr>
            <w:tcW w:w="964"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kern w:val="2"/>
                <w:sz w:val="20"/>
                <w:szCs w:val="20"/>
                <w:u w:val="none"/>
                <w:lang w:val="en-US" w:eastAsia="en-US" w:bidi="zh-CN"/>
              </w:rPr>
            </w:pPr>
            <w:r>
              <w:rPr>
                <w:rFonts w:hint="eastAsia" w:asciiTheme="majorEastAsia" w:hAnsiTheme="majorEastAsia" w:eastAsiaTheme="majorEastAsia" w:cstheme="majorEastAsia"/>
                <w:sz w:val="20"/>
                <w:szCs w:val="20"/>
                <w:lang w:val="en-US" w:eastAsia="zh-CN"/>
              </w:rPr>
              <w:t>39.88</w:t>
            </w:r>
          </w:p>
        </w:tc>
        <w:tc>
          <w:tcPr>
            <w:tcW w:w="871"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预期性</w:t>
            </w:r>
          </w:p>
        </w:tc>
      </w:tr>
      <w:tr>
        <w:tblPrEx>
          <w:tblCellMar>
            <w:top w:w="0" w:type="dxa"/>
            <w:left w:w="10" w:type="dxa"/>
            <w:bottom w:w="0" w:type="dxa"/>
            <w:right w:w="10" w:type="dxa"/>
          </w:tblCellMar>
        </w:tblPrEx>
        <w:trPr>
          <w:trHeight w:val="410" w:hRule="exact"/>
          <w:jc w:val="center"/>
        </w:trPr>
        <w:tc>
          <w:tcPr>
            <w:tcW w:w="468"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shd w:val="clear" w:color="auto" w:fill="auto"/>
              </w:rPr>
              <w:t>17</w:t>
            </w:r>
          </w:p>
        </w:tc>
        <w:tc>
          <w:tcPr>
            <w:tcW w:w="882" w:type="dxa"/>
            <w:tcBorders>
              <w:left w:val="single" w:color="auto" w:sz="4" w:space="0"/>
            </w:tcBorders>
            <w:shd w:val="clear" w:color="auto" w:fill="FFFFFF"/>
            <w:vAlign w:val="center"/>
          </w:tcPr>
          <w:p>
            <w:pPr>
              <w:widowControl w:val="0"/>
              <w:jc w:val="center"/>
              <w:rPr>
                <w:sz w:val="10"/>
                <w:szCs w:val="10"/>
              </w:rPr>
            </w:pPr>
          </w:p>
        </w:tc>
        <w:tc>
          <w:tcPr>
            <w:tcW w:w="333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rPr>
              <w:t>中医类医疗机构总诊疗人次</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1.45亿</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b w:val="0"/>
                <w:bCs w:val="0"/>
                <w:kern w:val="2"/>
                <w:sz w:val="20"/>
                <w:szCs w:val="20"/>
                <w:u w:val="none"/>
                <w:lang w:val="en-US" w:eastAsia="zh-CN" w:bidi="zh-CN"/>
              </w:rPr>
            </w:pPr>
            <w:r>
              <w:rPr>
                <w:rFonts w:hint="eastAsia" w:asciiTheme="majorEastAsia" w:hAnsiTheme="majorEastAsia" w:eastAsiaTheme="majorEastAsia" w:cstheme="majorEastAsia"/>
                <w:b w:val="0"/>
                <w:bCs w:val="0"/>
                <w:i w:val="0"/>
                <w:iCs w:val="0"/>
                <w:caps w:val="0"/>
                <w:color w:val="000000"/>
                <w:spacing w:val="0"/>
                <w:sz w:val="20"/>
                <w:szCs w:val="20"/>
                <w:shd w:val="clear" w:fill="FFFFFF"/>
              </w:rPr>
              <w:t>516693</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1.95亿</w:t>
            </w:r>
          </w:p>
        </w:tc>
        <w:tc>
          <w:tcPr>
            <w:tcW w:w="964"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kern w:val="2"/>
                <w:sz w:val="20"/>
                <w:szCs w:val="20"/>
                <w:u w:val="none"/>
                <w:lang w:val="en-US" w:eastAsia="en-US" w:bidi="zh-CN"/>
              </w:rPr>
            </w:pPr>
            <w:r>
              <w:rPr>
                <w:rFonts w:hint="eastAsia" w:asciiTheme="majorEastAsia" w:hAnsiTheme="majorEastAsia" w:eastAsiaTheme="majorEastAsia" w:cstheme="majorEastAsia"/>
                <w:sz w:val="20"/>
                <w:szCs w:val="20"/>
                <w:lang w:val="en-US" w:eastAsia="zh-CN"/>
              </w:rPr>
              <w:t>691778</w:t>
            </w:r>
          </w:p>
        </w:tc>
        <w:tc>
          <w:tcPr>
            <w:tcW w:w="871"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预期性</w:t>
            </w:r>
          </w:p>
        </w:tc>
      </w:tr>
      <w:tr>
        <w:tblPrEx>
          <w:tblCellMar>
            <w:top w:w="0" w:type="dxa"/>
            <w:left w:w="10" w:type="dxa"/>
            <w:bottom w:w="0" w:type="dxa"/>
            <w:right w:w="10" w:type="dxa"/>
          </w:tblCellMar>
        </w:tblPrEx>
        <w:trPr>
          <w:trHeight w:val="410" w:hRule="exact"/>
          <w:jc w:val="center"/>
        </w:trPr>
        <w:tc>
          <w:tcPr>
            <w:tcW w:w="468"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shd w:val="clear" w:color="auto" w:fill="auto"/>
              </w:rPr>
              <w:t>18</w:t>
            </w:r>
          </w:p>
        </w:tc>
        <w:tc>
          <w:tcPr>
            <w:tcW w:w="882" w:type="dxa"/>
            <w:vMerge w:val="restart"/>
            <w:tcBorders>
              <w:left w:val="single" w:color="auto" w:sz="4" w:space="0"/>
            </w:tcBorders>
            <w:shd w:val="clear" w:color="auto" w:fill="FFFFFF"/>
            <w:vAlign w:val="center"/>
          </w:tcPr>
          <w:p>
            <w:pPr>
              <w:pStyle w:val="8"/>
              <w:keepNext w:val="0"/>
              <w:keepLines w:val="0"/>
              <w:widowControl w:val="0"/>
              <w:shd w:val="clear" w:color="auto" w:fill="auto"/>
              <w:bidi w:val="0"/>
              <w:spacing w:before="0" w:after="40" w:line="240" w:lineRule="auto"/>
              <w:ind w:left="0" w:right="0" w:firstLine="0"/>
              <w:jc w:val="center"/>
              <w:rPr>
                <w:color w:val="000000"/>
                <w:spacing w:val="0"/>
                <w:w w:val="100"/>
                <w:position w:val="0"/>
                <w:sz w:val="20"/>
                <w:szCs w:val="20"/>
                <w:shd w:val="clear" w:color="auto" w:fill="auto"/>
              </w:rPr>
            </w:pPr>
            <w:r>
              <w:rPr>
                <w:color w:val="000000"/>
                <w:spacing w:val="0"/>
                <w:w w:val="100"/>
                <w:position w:val="0"/>
                <w:sz w:val="20"/>
                <w:szCs w:val="20"/>
                <w:shd w:val="clear" w:color="auto" w:fill="auto"/>
              </w:rPr>
              <w:t>卫生</w:t>
            </w:r>
          </w:p>
          <w:p>
            <w:pPr>
              <w:pStyle w:val="8"/>
              <w:keepNext w:val="0"/>
              <w:keepLines w:val="0"/>
              <w:widowControl w:val="0"/>
              <w:shd w:val="clear" w:color="auto" w:fill="auto"/>
              <w:bidi w:val="0"/>
              <w:spacing w:before="0" w:after="40" w:line="240" w:lineRule="auto"/>
              <w:ind w:left="0" w:right="0" w:firstLine="0"/>
              <w:jc w:val="center"/>
              <w:rPr>
                <w:sz w:val="20"/>
                <w:szCs w:val="20"/>
              </w:rPr>
            </w:pPr>
            <w:r>
              <w:rPr>
                <w:color w:val="000000"/>
                <w:spacing w:val="0"/>
                <w:w w:val="100"/>
                <w:position w:val="0"/>
                <w:sz w:val="20"/>
                <w:szCs w:val="20"/>
                <w:shd w:val="clear" w:color="auto" w:fill="auto"/>
              </w:rPr>
              <w:t>健康</w:t>
            </w:r>
          </w:p>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服务</w:t>
            </w:r>
          </w:p>
        </w:tc>
        <w:tc>
          <w:tcPr>
            <w:tcW w:w="333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rPr>
              <w:t>中医类医院出院人数（人）</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182.50万</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b w:val="0"/>
                <w:bCs w:val="0"/>
                <w:kern w:val="2"/>
                <w:sz w:val="20"/>
                <w:szCs w:val="20"/>
                <w:u w:val="none"/>
                <w:lang w:val="en-US" w:eastAsia="zh-CN" w:bidi="zh-CN"/>
              </w:rPr>
            </w:pPr>
            <w:r>
              <w:rPr>
                <w:rFonts w:hint="eastAsia" w:asciiTheme="majorEastAsia" w:hAnsiTheme="majorEastAsia" w:eastAsiaTheme="majorEastAsia" w:cstheme="majorEastAsia"/>
                <w:b w:val="0"/>
                <w:bCs w:val="0"/>
                <w:sz w:val="20"/>
                <w:szCs w:val="20"/>
                <w:lang w:val="en-US" w:eastAsia="zh-CN"/>
              </w:rPr>
              <w:t>3624</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236.45万</w:t>
            </w:r>
          </w:p>
        </w:tc>
        <w:tc>
          <w:tcPr>
            <w:tcW w:w="964"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kern w:val="2"/>
                <w:sz w:val="20"/>
                <w:szCs w:val="20"/>
                <w:u w:val="none"/>
                <w:lang w:val="en-US" w:eastAsia="en-US" w:bidi="zh-CN"/>
              </w:rPr>
            </w:pPr>
            <w:r>
              <w:rPr>
                <w:rFonts w:hint="eastAsia" w:asciiTheme="majorEastAsia" w:hAnsiTheme="majorEastAsia" w:eastAsiaTheme="majorEastAsia" w:cstheme="majorEastAsia"/>
                <w:sz w:val="20"/>
                <w:szCs w:val="20"/>
                <w:lang w:val="en-US" w:eastAsia="zh-CN"/>
              </w:rPr>
              <w:t>4698</w:t>
            </w:r>
          </w:p>
        </w:tc>
        <w:tc>
          <w:tcPr>
            <w:tcW w:w="871"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预期性</w:t>
            </w:r>
          </w:p>
        </w:tc>
      </w:tr>
      <w:tr>
        <w:tblPrEx>
          <w:tblCellMar>
            <w:top w:w="0" w:type="dxa"/>
            <w:left w:w="10" w:type="dxa"/>
            <w:bottom w:w="0" w:type="dxa"/>
            <w:right w:w="10" w:type="dxa"/>
          </w:tblCellMar>
        </w:tblPrEx>
        <w:trPr>
          <w:trHeight w:val="590" w:hRule="exact"/>
          <w:jc w:val="center"/>
        </w:trPr>
        <w:tc>
          <w:tcPr>
            <w:tcW w:w="468"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shd w:val="clear" w:color="auto" w:fill="auto"/>
              </w:rPr>
              <w:t>19</w:t>
            </w:r>
          </w:p>
        </w:tc>
        <w:tc>
          <w:tcPr>
            <w:tcW w:w="882" w:type="dxa"/>
            <w:vMerge w:val="continue"/>
            <w:tcBorders>
              <w:left w:val="single" w:color="auto" w:sz="4" w:space="0"/>
            </w:tcBorders>
            <w:shd w:val="clear" w:color="auto" w:fill="FFFFFF"/>
            <w:vAlign w:val="center"/>
          </w:tcPr>
          <w:p>
            <w:pPr>
              <w:jc w:val="center"/>
            </w:pPr>
          </w:p>
        </w:tc>
        <w:tc>
          <w:tcPr>
            <w:tcW w:w="333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74" w:lineRule="exact"/>
              <w:ind w:left="0" w:right="0" w:firstLine="0"/>
              <w:jc w:val="both"/>
              <w:rPr>
                <w:sz w:val="20"/>
                <w:szCs w:val="20"/>
              </w:rPr>
            </w:pPr>
            <w:r>
              <w:rPr>
                <w:color w:val="000000"/>
                <w:spacing w:val="0"/>
                <w:w w:val="100"/>
                <w:position w:val="0"/>
                <w:sz w:val="20"/>
                <w:szCs w:val="20"/>
                <w:shd w:val="clear" w:color="auto" w:fill="auto"/>
              </w:rPr>
              <w:t>中医类医院出院人数占医院出院人数比例（％）</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14.47</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b w:val="0"/>
                <w:bCs w:val="0"/>
                <w:kern w:val="2"/>
                <w:sz w:val="20"/>
                <w:szCs w:val="20"/>
                <w:u w:val="none"/>
                <w:lang w:val="en-US" w:eastAsia="zh-CN" w:bidi="zh-CN"/>
              </w:rPr>
            </w:pPr>
            <w:r>
              <w:rPr>
                <w:rFonts w:hint="eastAsia" w:asciiTheme="majorEastAsia" w:hAnsiTheme="majorEastAsia" w:eastAsiaTheme="majorEastAsia" w:cstheme="majorEastAsia"/>
                <w:b w:val="0"/>
                <w:bCs w:val="0"/>
                <w:sz w:val="20"/>
                <w:szCs w:val="20"/>
                <w:lang w:val="en-US" w:eastAsia="zh-CN"/>
              </w:rPr>
              <w:t>2.47</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16.81</w:t>
            </w:r>
          </w:p>
        </w:tc>
        <w:tc>
          <w:tcPr>
            <w:tcW w:w="964"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kern w:val="2"/>
                <w:sz w:val="20"/>
                <w:szCs w:val="20"/>
                <w:u w:val="none"/>
                <w:lang w:val="en-US" w:eastAsia="en-US" w:bidi="zh-CN"/>
              </w:rPr>
            </w:pPr>
            <w:r>
              <w:rPr>
                <w:rFonts w:hint="eastAsia" w:asciiTheme="majorEastAsia" w:hAnsiTheme="majorEastAsia" w:eastAsiaTheme="majorEastAsia" w:cstheme="majorEastAsia"/>
                <w:sz w:val="20"/>
                <w:szCs w:val="20"/>
                <w:lang w:val="en-US" w:eastAsia="zh-CN"/>
              </w:rPr>
              <w:t>2.87</w:t>
            </w:r>
          </w:p>
        </w:tc>
        <w:tc>
          <w:tcPr>
            <w:tcW w:w="871"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预期性</w:t>
            </w:r>
          </w:p>
        </w:tc>
      </w:tr>
      <w:tr>
        <w:tblPrEx>
          <w:tblCellMar>
            <w:top w:w="0" w:type="dxa"/>
            <w:left w:w="10" w:type="dxa"/>
            <w:bottom w:w="0" w:type="dxa"/>
            <w:right w:w="10" w:type="dxa"/>
          </w:tblCellMar>
        </w:tblPrEx>
        <w:trPr>
          <w:trHeight w:val="410" w:hRule="exact"/>
          <w:jc w:val="center"/>
        </w:trPr>
        <w:tc>
          <w:tcPr>
            <w:tcW w:w="468"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shd w:val="clear" w:color="auto" w:fill="auto"/>
              </w:rPr>
              <w:t>20</w:t>
            </w:r>
          </w:p>
        </w:tc>
        <w:tc>
          <w:tcPr>
            <w:tcW w:w="882" w:type="dxa"/>
            <w:tcBorders>
              <w:left w:val="single" w:color="auto" w:sz="4" w:space="0"/>
            </w:tcBorders>
            <w:shd w:val="clear" w:color="auto" w:fill="FFFFFF"/>
            <w:vAlign w:val="center"/>
          </w:tcPr>
          <w:p>
            <w:pPr>
              <w:widowControl w:val="0"/>
              <w:jc w:val="center"/>
              <w:rPr>
                <w:sz w:val="10"/>
                <w:szCs w:val="10"/>
              </w:rPr>
            </w:pPr>
          </w:p>
        </w:tc>
        <w:tc>
          <w:tcPr>
            <w:tcW w:w="333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both"/>
              <w:rPr>
                <w:sz w:val="20"/>
                <w:szCs w:val="20"/>
              </w:rPr>
            </w:pPr>
            <w:r>
              <w:rPr>
                <w:rFonts w:ascii="Times New Roman" w:hAnsi="Times New Roman" w:eastAsia="Times New Roman" w:cs="Times New Roman"/>
                <w:color w:val="000000"/>
                <w:spacing w:val="0"/>
                <w:w w:val="100"/>
                <w:position w:val="0"/>
                <w:sz w:val="20"/>
                <w:szCs w:val="20"/>
                <w:shd w:val="clear" w:color="auto" w:fill="auto"/>
                <w:lang w:val="en-US" w:eastAsia="en-US" w:bidi="en-US"/>
              </w:rPr>
              <w:t>0-36</w:t>
            </w:r>
            <w:r>
              <w:rPr>
                <w:color w:val="000000"/>
                <w:spacing w:val="0"/>
                <w:w w:val="100"/>
                <w:position w:val="0"/>
                <w:sz w:val="20"/>
                <w:szCs w:val="20"/>
                <w:shd w:val="clear" w:color="auto" w:fill="auto"/>
              </w:rPr>
              <w:t>个月儿童中医药健康管理率（％）</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70.42</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default" w:asciiTheme="majorEastAsia" w:hAnsiTheme="majorEastAsia" w:eastAsiaTheme="majorEastAsia" w:cstheme="majorEastAsia"/>
                <w:b w:val="0"/>
                <w:bCs w:val="0"/>
                <w:kern w:val="2"/>
                <w:sz w:val="20"/>
                <w:szCs w:val="20"/>
                <w:u w:val="none"/>
                <w:lang w:val="en-US" w:eastAsia="zh-CN" w:bidi="zh-CN"/>
              </w:rPr>
            </w:pPr>
            <w:r>
              <w:rPr>
                <w:rFonts w:hint="eastAsia" w:asciiTheme="majorEastAsia" w:hAnsiTheme="majorEastAsia" w:eastAsiaTheme="majorEastAsia" w:cstheme="majorEastAsia"/>
                <w:b w:val="0"/>
                <w:bCs w:val="0"/>
                <w:sz w:val="20"/>
                <w:szCs w:val="20"/>
                <w:lang w:val="en-US" w:eastAsia="zh-CN"/>
              </w:rPr>
              <w:t>73.60</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85.00</w:t>
            </w:r>
          </w:p>
        </w:tc>
        <w:tc>
          <w:tcPr>
            <w:tcW w:w="964"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kern w:val="2"/>
                <w:sz w:val="20"/>
                <w:szCs w:val="20"/>
                <w:u w:val="none"/>
                <w:lang w:val="en-US" w:eastAsia="en-US" w:bidi="zh-CN"/>
              </w:rPr>
            </w:pPr>
            <w:r>
              <w:rPr>
                <w:rFonts w:hint="eastAsia" w:asciiTheme="majorEastAsia" w:hAnsiTheme="majorEastAsia" w:eastAsiaTheme="majorEastAsia" w:cstheme="majorEastAsia"/>
                <w:sz w:val="20"/>
                <w:szCs w:val="20"/>
                <w:lang w:val="en-US" w:eastAsia="zh-CN"/>
              </w:rPr>
              <w:t>85.30</w:t>
            </w:r>
          </w:p>
        </w:tc>
        <w:tc>
          <w:tcPr>
            <w:tcW w:w="871"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预期性</w:t>
            </w:r>
          </w:p>
        </w:tc>
      </w:tr>
      <w:tr>
        <w:tblPrEx>
          <w:tblCellMar>
            <w:top w:w="0" w:type="dxa"/>
            <w:left w:w="10" w:type="dxa"/>
            <w:bottom w:w="0" w:type="dxa"/>
            <w:right w:w="10" w:type="dxa"/>
          </w:tblCellMar>
        </w:tblPrEx>
        <w:trPr>
          <w:trHeight w:val="590" w:hRule="exact"/>
          <w:jc w:val="center"/>
        </w:trPr>
        <w:tc>
          <w:tcPr>
            <w:tcW w:w="468"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shd w:val="clear" w:color="auto" w:fill="auto"/>
              </w:rPr>
              <w:t>21</w:t>
            </w:r>
          </w:p>
        </w:tc>
        <w:tc>
          <w:tcPr>
            <w:tcW w:w="882" w:type="dxa"/>
            <w:tcBorders>
              <w:left w:val="single" w:color="auto" w:sz="4" w:space="0"/>
            </w:tcBorders>
            <w:shd w:val="clear" w:color="auto" w:fill="FFFFFF"/>
            <w:vAlign w:val="center"/>
          </w:tcPr>
          <w:p>
            <w:pPr>
              <w:widowControl w:val="0"/>
              <w:jc w:val="center"/>
              <w:rPr>
                <w:sz w:val="10"/>
                <w:szCs w:val="10"/>
              </w:rPr>
            </w:pPr>
          </w:p>
        </w:tc>
        <w:tc>
          <w:tcPr>
            <w:tcW w:w="333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81" w:lineRule="exact"/>
              <w:ind w:left="0" w:right="0" w:firstLine="0"/>
              <w:jc w:val="both"/>
              <w:rPr>
                <w:sz w:val="20"/>
                <w:szCs w:val="20"/>
              </w:rPr>
            </w:pPr>
            <w:r>
              <w:rPr>
                <w:rFonts w:ascii="Times New Roman" w:hAnsi="Times New Roman" w:eastAsia="Times New Roman" w:cs="Times New Roman"/>
                <w:color w:val="000000"/>
                <w:spacing w:val="0"/>
                <w:w w:val="100"/>
                <w:position w:val="0"/>
                <w:sz w:val="20"/>
                <w:szCs w:val="20"/>
                <w:shd w:val="clear" w:color="auto" w:fill="auto"/>
              </w:rPr>
              <w:t>65</w:t>
            </w:r>
            <w:r>
              <w:rPr>
                <w:color w:val="000000"/>
                <w:spacing w:val="0"/>
                <w:w w:val="100"/>
                <w:position w:val="0"/>
                <w:sz w:val="20"/>
                <w:szCs w:val="20"/>
                <w:shd w:val="clear" w:color="auto" w:fill="auto"/>
              </w:rPr>
              <w:t>岁及以上老年人中医药健康管理率</w:t>
            </w:r>
            <w:r>
              <w:rPr>
                <w:rFonts w:ascii="Times New Roman" w:hAnsi="Times New Roman" w:eastAsia="Times New Roman" w:cs="Times New Roman"/>
                <w:color w:val="000000"/>
                <w:spacing w:val="0"/>
                <w:w w:val="100"/>
                <w:position w:val="0"/>
                <w:sz w:val="20"/>
                <w:szCs w:val="20"/>
                <w:shd w:val="clear" w:color="auto" w:fill="auto"/>
              </w:rPr>
              <w:t>（%）</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59.80</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default" w:asciiTheme="majorEastAsia" w:hAnsiTheme="majorEastAsia" w:eastAsiaTheme="majorEastAsia" w:cstheme="majorEastAsia"/>
                <w:b w:val="0"/>
                <w:bCs w:val="0"/>
                <w:kern w:val="2"/>
                <w:sz w:val="20"/>
                <w:szCs w:val="20"/>
                <w:u w:val="none"/>
                <w:lang w:val="en-US" w:eastAsia="zh-CN" w:bidi="zh-CN"/>
              </w:rPr>
            </w:pPr>
            <w:r>
              <w:rPr>
                <w:rFonts w:hint="eastAsia" w:asciiTheme="majorEastAsia" w:hAnsiTheme="majorEastAsia" w:eastAsiaTheme="majorEastAsia" w:cstheme="majorEastAsia"/>
                <w:b w:val="0"/>
                <w:bCs w:val="0"/>
                <w:sz w:val="20"/>
                <w:szCs w:val="20"/>
                <w:lang w:val="en-US" w:eastAsia="zh-CN"/>
              </w:rPr>
              <w:t>55.70</w:t>
            </w:r>
          </w:p>
        </w:tc>
        <w:tc>
          <w:tcPr>
            <w:tcW w:w="9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75.00</w:t>
            </w:r>
          </w:p>
        </w:tc>
        <w:tc>
          <w:tcPr>
            <w:tcW w:w="964"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kern w:val="2"/>
                <w:sz w:val="20"/>
                <w:szCs w:val="20"/>
                <w:u w:val="none"/>
                <w:lang w:val="en-US" w:eastAsia="en-US" w:bidi="zh-CN"/>
              </w:rPr>
            </w:pPr>
            <w:r>
              <w:rPr>
                <w:rFonts w:hint="eastAsia" w:asciiTheme="majorEastAsia" w:hAnsiTheme="majorEastAsia" w:eastAsiaTheme="majorEastAsia" w:cstheme="majorEastAsia"/>
                <w:sz w:val="20"/>
                <w:szCs w:val="20"/>
                <w:lang w:val="en-US" w:eastAsia="zh-CN"/>
              </w:rPr>
              <w:t>69.80</w:t>
            </w:r>
          </w:p>
        </w:tc>
        <w:tc>
          <w:tcPr>
            <w:tcW w:w="871"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预期性</w:t>
            </w:r>
          </w:p>
        </w:tc>
      </w:tr>
      <w:tr>
        <w:tblPrEx>
          <w:tblCellMar>
            <w:top w:w="0" w:type="dxa"/>
            <w:left w:w="10" w:type="dxa"/>
            <w:bottom w:w="0" w:type="dxa"/>
            <w:right w:w="10" w:type="dxa"/>
          </w:tblCellMar>
        </w:tblPrEx>
        <w:trPr>
          <w:trHeight w:val="605" w:hRule="exact"/>
          <w:jc w:val="center"/>
        </w:trPr>
        <w:tc>
          <w:tcPr>
            <w:tcW w:w="468" w:type="dxa"/>
            <w:tcBorders>
              <w:top w:val="single" w:color="auto" w:sz="4" w:space="0"/>
              <w:left w:val="single" w:color="auto" w:sz="4" w:space="0"/>
              <w:bottom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shd w:val="clear" w:color="auto" w:fill="auto"/>
              </w:rPr>
              <w:t>22</w:t>
            </w:r>
          </w:p>
        </w:tc>
        <w:tc>
          <w:tcPr>
            <w:tcW w:w="882" w:type="dxa"/>
            <w:tcBorders>
              <w:top w:val="single" w:color="auto" w:sz="4" w:space="0"/>
              <w:left w:val="single" w:color="auto" w:sz="4" w:space="0"/>
              <w:bottom w:val="single" w:color="auto" w:sz="4" w:space="0"/>
            </w:tcBorders>
            <w:shd w:val="clear" w:color="auto" w:fill="FFFFFF"/>
            <w:vAlign w:val="center"/>
          </w:tcPr>
          <w:p>
            <w:pPr>
              <w:pStyle w:val="8"/>
              <w:keepNext w:val="0"/>
              <w:keepLines w:val="0"/>
              <w:widowControl w:val="0"/>
              <w:shd w:val="clear" w:color="auto" w:fill="auto"/>
              <w:bidi w:val="0"/>
              <w:spacing w:before="0" w:after="0" w:line="274" w:lineRule="exact"/>
              <w:ind w:left="0" w:right="0" w:firstLine="0"/>
              <w:jc w:val="center"/>
              <w:rPr>
                <w:rFonts w:ascii="宋体" w:hAnsi="宋体" w:eastAsia="宋体" w:cs="宋体"/>
                <w:color w:val="000000"/>
                <w:spacing w:val="0"/>
                <w:w w:val="100"/>
                <w:position w:val="0"/>
                <w:sz w:val="20"/>
                <w:szCs w:val="20"/>
                <w:shd w:val="clear" w:color="auto" w:fill="auto"/>
              </w:rPr>
            </w:pPr>
            <w:r>
              <w:rPr>
                <w:rFonts w:ascii="宋体" w:hAnsi="宋体" w:eastAsia="宋体" w:cs="宋体"/>
                <w:color w:val="000000"/>
                <w:spacing w:val="0"/>
                <w:w w:val="100"/>
                <w:position w:val="0"/>
                <w:sz w:val="20"/>
                <w:szCs w:val="20"/>
                <w:shd w:val="clear" w:color="auto" w:fill="auto"/>
              </w:rPr>
              <w:t>中医药</w:t>
            </w:r>
          </w:p>
          <w:p>
            <w:pPr>
              <w:pStyle w:val="8"/>
              <w:keepNext w:val="0"/>
              <w:keepLines w:val="0"/>
              <w:widowControl w:val="0"/>
              <w:shd w:val="clear" w:color="auto" w:fill="auto"/>
              <w:bidi w:val="0"/>
              <w:spacing w:before="0" w:after="0" w:line="274" w:lineRule="exact"/>
              <w:ind w:left="0" w:right="0" w:firstLine="0"/>
              <w:jc w:val="center"/>
              <w:rPr>
                <w:sz w:val="20"/>
                <w:szCs w:val="20"/>
              </w:rPr>
            </w:pPr>
            <w:r>
              <w:rPr>
                <w:rFonts w:ascii="宋体" w:hAnsi="宋体" w:eastAsia="宋体" w:cs="宋体"/>
                <w:color w:val="000000"/>
                <w:spacing w:val="0"/>
                <w:w w:val="100"/>
                <w:position w:val="0"/>
                <w:sz w:val="20"/>
                <w:szCs w:val="20"/>
                <w:shd w:val="clear" w:color="auto" w:fill="auto"/>
              </w:rPr>
              <w:t>健康文化</w:t>
            </w:r>
          </w:p>
        </w:tc>
        <w:tc>
          <w:tcPr>
            <w:tcW w:w="3330" w:type="dxa"/>
            <w:tcBorders>
              <w:top w:val="single" w:color="auto" w:sz="4" w:space="0"/>
              <w:left w:val="single" w:color="auto" w:sz="4" w:space="0"/>
              <w:bottom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rPr>
              <w:t>居民中医药健康文化素养水平（％）</w:t>
            </w:r>
          </w:p>
        </w:tc>
        <w:tc>
          <w:tcPr>
            <w:tcW w:w="964" w:type="dxa"/>
            <w:tcBorders>
              <w:top w:val="single" w:color="auto" w:sz="4" w:space="0"/>
              <w:left w:val="single" w:color="auto" w:sz="4" w:space="0"/>
              <w:bottom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color w:val="000000"/>
                <w:spacing w:val="0"/>
                <w:w w:val="100"/>
                <w:position w:val="0"/>
                <w:sz w:val="20"/>
                <w:szCs w:val="20"/>
                <w:shd w:val="clear" w:color="auto" w:fill="auto"/>
              </w:rPr>
              <w:t>—</w:t>
            </w:r>
          </w:p>
        </w:tc>
        <w:tc>
          <w:tcPr>
            <w:tcW w:w="964" w:type="dxa"/>
            <w:tcBorders>
              <w:top w:val="single" w:color="auto" w:sz="4" w:space="0"/>
              <w:left w:val="single" w:color="auto" w:sz="4" w:space="0"/>
              <w:bottom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kern w:val="2"/>
                <w:sz w:val="20"/>
                <w:szCs w:val="20"/>
                <w:u w:val="none"/>
                <w:lang w:val="en-US" w:eastAsia="zh-CN" w:bidi="zh-CN"/>
              </w:rPr>
            </w:pPr>
            <w:r>
              <w:rPr>
                <w:rFonts w:hint="eastAsia" w:asciiTheme="majorEastAsia" w:hAnsiTheme="majorEastAsia" w:eastAsiaTheme="majorEastAsia" w:cstheme="majorEastAsia"/>
                <w:color w:val="000000"/>
                <w:spacing w:val="0"/>
                <w:w w:val="100"/>
                <w:position w:val="0"/>
                <w:sz w:val="20"/>
                <w:szCs w:val="20"/>
                <w:shd w:val="clear" w:color="auto" w:fill="auto"/>
              </w:rPr>
              <w:t>—</w:t>
            </w:r>
          </w:p>
        </w:tc>
        <w:tc>
          <w:tcPr>
            <w:tcW w:w="964" w:type="dxa"/>
            <w:tcBorders>
              <w:top w:val="single" w:color="auto" w:sz="4" w:space="0"/>
              <w:left w:val="single" w:color="auto" w:sz="4" w:space="0"/>
              <w:bottom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lang w:val="en-US" w:eastAsia="zh-CN"/>
              </w:rPr>
              <w:t>24.78</w:t>
            </w:r>
          </w:p>
        </w:tc>
        <w:tc>
          <w:tcPr>
            <w:tcW w:w="9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kern w:val="2"/>
                <w:sz w:val="20"/>
                <w:szCs w:val="20"/>
                <w:u w:val="none"/>
                <w:lang w:val="en-US" w:eastAsia="zh-CN" w:bidi="zh-CN"/>
              </w:rPr>
            </w:pPr>
            <w:r>
              <w:rPr>
                <w:rFonts w:hint="eastAsia" w:asciiTheme="majorEastAsia" w:hAnsiTheme="majorEastAsia" w:eastAsiaTheme="majorEastAsia" w:cstheme="majorEastAsia"/>
                <w:sz w:val="20"/>
                <w:szCs w:val="20"/>
                <w:lang w:val="en-US" w:eastAsia="zh-CN"/>
              </w:rPr>
              <w:t>24.78</w:t>
            </w:r>
          </w:p>
        </w:tc>
        <w:tc>
          <w:tcPr>
            <w:tcW w:w="8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预期性</w:t>
            </w: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default" w:ascii="方正小标宋简体" w:hAnsi="方正小标宋简体" w:cs="方正小标宋简体" w:eastAsiaTheme="minorEastAsia"/>
          <w:color w:val="auto"/>
          <w:sz w:val="32"/>
          <w:szCs w:val="40"/>
          <w:lang w:val="en-US" w:eastAsia="zh-CN"/>
        </w:rPr>
      </w:pPr>
      <w:bookmarkStart w:id="0" w:name="bookmark8"/>
      <w:r>
        <w:rPr>
          <w:rFonts w:hint="eastAsia" w:ascii="方正小标宋简体" w:hAnsi="方正小标宋简体" w:eastAsia="方正小标宋简体" w:cs="方正小标宋简体"/>
          <w:color w:val="auto"/>
          <w:sz w:val="32"/>
          <w:szCs w:val="40"/>
          <w:lang w:val="en-US" w:eastAsia="zh-CN"/>
        </w:rPr>
        <w:t>第二章  构建优质高效中医药服务体系</w:t>
      </w:r>
      <w:bookmarkEnd w:id="0"/>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jc w:val="center"/>
        <w:textAlignment w:val="auto"/>
        <w:rPr>
          <w:rFonts w:hint="default" w:ascii="黑体" w:hAnsi="黑体" w:eastAsia="黑体" w:cs="黑体"/>
          <w:color w:val="auto"/>
          <w:sz w:val="32"/>
          <w:szCs w:val="40"/>
          <w:lang w:val="en-US" w:eastAsia="zh-CN"/>
        </w:rPr>
      </w:pPr>
      <w:bookmarkStart w:id="1" w:name="bookmark9"/>
      <w:r>
        <w:rPr>
          <w:rFonts w:hint="default" w:ascii="黑体" w:hAnsi="黑体" w:eastAsia="黑体" w:cs="黑体"/>
          <w:color w:val="auto"/>
          <w:sz w:val="32"/>
          <w:szCs w:val="40"/>
          <w:lang w:val="en-US" w:eastAsia="zh-CN"/>
        </w:rPr>
        <w:t>第一节</w:t>
      </w:r>
      <w:r>
        <w:rPr>
          <w:rFonts w:hint="eastAsia" w:ascii="黑体" w:hAnsi="黑体" w:eastAsia="黑体" w:cs="黑体"/>
          <w:color w:val="auto"/>
          <w:sz w:val="32"/>
          <w:szCs w:val="40"/>
          <w:lang w:val="en-US" w:eastAsia="zh-CN"/>
        </w:rPr>
        <w:t xml:space="preserve">  </w:t>
      </w:r>
      <w:r>
        <w:rPr>
          <w:rFonts w:hint="default" w:ascii="黑体" w:hAnsi="黑体" w:eastAsia="黑体" w:cs="黑体"/>
          <w:color w:val="auto"/>
          <w:sz w:val="32"/>
          <w:szCs w:val="40"/>
          <w:lang w:val="en-US" w:eastAsia="zh-CN"/>
        </w:rPr>
        <w:t>打造中医药服务高地</w:t>
      </w:r>
      <w:bookmarkEnd w:id="1"/>
    </w:p>
    <w:p>
      <w:pPr>
        <w:pStyle w:val="9"/>
        <w:keepNext w:val="0"/>
        <w:keepLines w:val="0"/>
        <w:widowControl w:val="0"/>
        <w:shd w:val="clear" w:color="auto" w:fill="auto"/>
        <w:bidi w:val="0"/>
        <w:spacing w:before="0" w:after="0" w:line="601" w:lineRule="exact"/>
        <w:ind w:left="0" w:right="0" w:firstLine="660"/>
        <w:jc w:val="both"/>
        <w:rPr>
          <w:rFonts w:hint="eastAsia" w:ascii="仿宋_GB2312" w:hAnsi="仿宋_GB2312" w:eastAsia="仿宋_GB2312" w:cs="仿宋_GB2312"/>
          <w:color w:val="auto"/>
          <w:spacing w:val="0"/>
          <w:w w:val="100"/>
          <w:position w:val="0"/>
          <w:sz w:val="32"/>
          <w:szCs w:val="32"/>
          <w:shd w:val="clear" w:color="auto" w:fill="auto"/>
          <w:lang w:eastAsia="zh-CN"/>
        </w:rPr>
      </w:pPr>
      <w:r>
        <w:rPr>
          <w:rFonts w:hint="eastAsia" w:ascii="仿宋_GB2312" w:hAnsi="仿宋_GB2312" w:eastAsia="仿宋_GB2312" w:cs="仿宋_GB2312"/>
          <w:color w:val="auto"/>
          <w:spacing w:val="0"/>
          <w:w w:val="100"/>
          <w:position w:val="0"/>
          <w:sz w:val="32"/>
          <w:szCs w:val="32"/>
          <w:shd w:val="clear" w:color="auto" w:fill="auto"/>
          <w:lang w:eastAsia="zh-CN"/>
        </w:rPr>
        <w:t>加快推进深汕中医院项目建设</w:t>
      </w:r>
      <w:r>
        <w:rPr>
          <w:rFonts w:hint="eastAsia" w:ascii="仿宋_GB2312" w:hAnsi="仿宋_GB2312" w:eastAsia="仿宋_GB2312" w:cs="仿宋_GB2312"/>
          <w:color w:val="auto"/>
          <w:spacing w:val="0"/>
          <w:w w:val="100"/>
          <w:position w:val="0"/>
          <w:sz w:val="32"/>
          <w:szCs w:val="32"/>
          <w:shd w:val="clear" w:color="auto" w:fill="auto"/>
        </w:rPr>
        <w:t>，</w:t>
      </w:r>
      <w:r>
        <w:rPr>
          <w:rFonts w:hint="eastAsia" w:ascii="仿宋_GB2312" w:hAnsi="仿宋_GB2312" w:eastAsia="仿宋_GB2312" w:cs="仿宋_GB2312"/>
          <w:color w:val="auto"/>
          <w:spacing w:val="0"/>
          <w:w w:val="100"/>
          <w:position w:val="0"/>
          <w:sz w:val="32"/>
          <w:szCs w:val="32"/>
          <w:shd w:val="clear" w:color="auto" w:fill="auto"/>
          <w:lang w:val="en-US" w:eastAsia="zh-CN"/>
        </w:rPr>
        <w:t>填补市级公立中医院的空白。积极争取深圳市的帮扶，加快市级中医医院的配套建设进度。采取与广州中医药大学院校合作共建模式，将医院建设成为集医疗、预防、保健、康复、科研、教学为一体的三级甲等中医医院，打造全市中医高地，发挥引领辐射作用，</w:t>
      </w:r>
      <w:r>
        <w:rPr>
          <w:rFonts w:hint="eastAsia" w:ascii="仿宋_GB2312" w:hAnsi="仿宋_GB2312" w:eastAsia="仿宋_GB2312" w:cs="仿宋_GB2312"/>
          <w:color w:val="auto"/>
          <w:spacing w:val="0"/>
          <w:w w:val="100"/>
          <w:position w:val="0"/>
          <w:sz w:val="32"/>
          <w:szCs w:val="32"/>
          <w:shd w:val="clear" w:color="auto" w:fill="auto"/>
        </w:rPr>
        <w:t>支持中医医院牵头组建医疗联合体</w:t>
      </w:r>
      <w:r>
        <w:rPr>
          <w:rFonts w:hint="eastAsia" w:ascii="仿宋_GB2312" w:hAnsi="仿宋_GB2312" w:eastAsia="仿宋_GB2312" w:cs="仿宋_GB2312"/>
          <w:color w:val="auto"/>
          <w:spacing w:val="0"/>
          <w:w w:val="100"/>
          <w:position w:val="0"/>
          <w:sz w:val="32"/>
          <w:szCs w:val="32"/>
          <w:shd w:val="clear" w:color="auto" w:fill="auto"/>
          <w:lang w:eastAsia="zh-CN"/>
        </w:rPr>
        <w:t>，全面提升全市医疗服务水平。</w:t>
      </w:r>
    </w:p>
    <w:p>
      <w:pPr>
        <w:pStyle w:val="9"/>
        <w:keepNext w:val="0"/>
        <w:keepLines w:val="0"/>
        <w:widowControl w:val="0"/>
        <w:shd w:val="clear" w:color="auto" w:fill="auto"/>
        <w:bidi w:val="0"/>
        <w:spacing w:before="0" w:after="0" w:line="601" w:lineRule="exact"/>
        <w:ind w:left="0" w:right="0" w:firstLine="660"/>
        <w:jc w:val="both"/>
        <w:rPr>
          <w:rFonts w:hint="default" w:eastAsia="仿宋_GB2312"/>
          <w:color w:val="auto"/>
          <w:lang w:val="en-US" w:eastAsia="zh-CN"/>
        </w:rPr>
      </w:pPr>
      <w:r>
        <w:rPr>
          <w:rFonts w:hint="eastAsia" w:ascii="仿宋_GB2312" w:hAnsi="仿宋_GB2312" w:eastAsia="仿宋_GB2312" w:cs="仿宋_GB2312"/>
          <w:color w:val="auto"/>
          <w:spacing w:val="0"/>
          <w:w w:val="100"/>
          <w:position w:val="0"/>
          <w:sz w:val="32"/>
          <w:szCs w:val="32"/>
          <w:shd w:val="clear" w:color="auto" w:fill="auto"/>
          <w:lang w:val="en-US" w:eastAsia="zh-CN"/>
        </w:rPr>
        <w:t>依托市级中医医院建设5个临床医学领域中医重点学科。依托市级综合医院，支持建设2个中医（中西医结合）传染病学重点学</w:t>
      </w:r>
      <w:r>
        <w:rPr>
          <w:rFonts w:hint="eastAsia" w:ascii="仿宋_GB2312" w:hAnsi="仿宋_GB2312" w:eastAsia="仿宋_GB2312" w:cs="仿宋_GB2312"/>
          <w:color w:val="auto"/>
          <w:spacing w:val="0"/>
          <w:w w:val="100"/>
          <w:position w:val="0"/>
          <w:sz w:val="32"/>
          <w:szCs w:val="32"/>
          <w:highlight w:val="none"/>
          <w:shd w:val="clear" w:color="auto" w:fill="auto"/>
          <w:lang w:val="en-US" w:eastAsia="zh-CN"/>
        </w:rPr>
        <w:t>科，培养多学科融合的疫病防治中医人才，打造高水平的中医医疗救治队伍</w:t>
      </w:r>
      <w:r>
        <w:rPr>
          <w:rFonts w:hint="eastAsia" w:ascii="仿宋_GB2312" w:hAnsi="仿宋_GB2312" w:eastAsia="仿宋_GB2312" w:cs="仿宋_GB2312"/>
          <w:color w:val="auto"/>
          <w:spacing w:val="0"/>
          <w:w w:val="100"/>
          <w:position w:val="0"/>
          <w:sz w:val="32"/>
          <w:szCs w:val="32"/>
          <w:shd w:val="clear" w:color="auto" w:fill="auto"/>
          <w:lang w:val="en-US" w:eastAsia="zh-CN"/>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601" w:lineRule="exact"/>
        <w:ind w:left="0" w:right="0" w:firstLine="0"/>
        <w:jc w:val="center"/>
        <w:textAlignment w:val="auto"/>
        <w:rPr>
          <w:rFonts w:hint="default" w:ascii="黑体" w:hAnsi="黑体" w:eastAsia="黑体" w:cs="黑体"/>
          <w:b w:val="0"/>
          <w:bCs w:val="0"/>
          <w:kern w:val="2"/>
          <w:sz w:val="32"/>
          <w:szCs w:val="40"/>
          <w:u w:val="none"/>
          <w:lang w:val="en-US" w:eastAsia="zh-CN" w:bidi="ar-SA"/>
        </w:rPr>
      </w:pPr>
      <w:bookmarkStart w:id="2" w:name="bookmark10"/>
      <w:r>
        <w:rPr>
          <w:rFonts w:hint="default" w:ascii="黑体" w:hAnsi="黑体" w:eastAsia="黑体" w:cs="黑体"/>
          <w:b w:val="0"/>
          <w:bCs w:val="0"/>
          <w:kern w:val="2"/>
          <w:sz w:val="32"/>
          <w:szCs w:val="40"/>
          <w:u w:val="none"/>
          <w:lang w:val="en-US" w:eastAsia="zh-CN" w:bidi="ar-SA"/>
        </w:rPr>
        <w:t>第二节</w:t>
      </w:r>
      <w:r>
        <w:rPr>
          <w:rFonts w:hint="eastAsia" w:ascii="黑体" w:hAnsi="黑体" w:eastAsia="黑体" w:cs="黑体"/>
          <w:b w:val="0"/>
          <w:bCs w:val="0"/>
          <w:kern w:val="2"/>
          <w:sz w:val="32"/>
          <w:szCs w:val="40"/>
          <w:u w:val="none"/>
          <w:lang w:val="en-US" w:eastAsia="zh-CN" w:bidi="ar-SA"/>
        </w:rPr>
        <w:t xml:space="preserve"> </w:t>
      </w:r>
      <w:r>
        <w:rPr>
          <w:rFonts w:hint="default" w:ascii="黑体" w:hAnsi="黑体" w:eastAsia="黑体" w:cs="黑体"/>
          <w:b w:val="0"/>
          <w:bCs w:val="0"/>
          <w:kern w:val="2"/>
          <w:sz w:val="32"/>
          <w:szCs w:val="40"/>
          <w:u w:val="none"/>
          <w:lang w:val="en-US" w:eastAsia="zh-CN" w:bidi="ar-SA"/>
        </w:rPr>
        <w:t xml:space="preserve"> 筑牢基层中医药服务阵地</w:t>
      </w:r>
      <w:bookmarkEnd w:id="2"/>
    </w:p>
    <w:p>
      <w:pPr>
        <w:pStyle w:val="9"/>
        <w:keepNext w:val="0"/>
        <w:keepLines w:val="0"/>
        <w:widowControl w:val="0"/>
        <w:shd w:val="clear" w:color="auto" w:fill="auto"/>
        <w:bidi w:val="0"/>
        <w:spacing w:before="0" w:after="0" w:line="601" w:lineRule="exact"/>
        <w:ind w:left="0" w:right="0"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0"/>
          <w:w w:val="100"/>
          <w:position w:val="0"/>
          <w:sz w:val="32"/>
          <w:szCs w:val="32"/>
          <w:shd w:val="clear" w:color="auto" w:fill="auto"/>
          <w:lang w:val="en-US" w:eastAsia="zh-CN"/>
        </w:rPr>
        <w:t>支持各县</w:t>
      </w:r>
      <w:r>
        <w:rPr>
          <w:rFonts w:hint="eastAsia" w:ascii="仿宋_GB2312" w:hAnsi="仿宋_GB2312" w:eastAsia="仿宋_GB2312" w:cs="仿宋_GB2312"/>
          <w:color w:val="auto"/>
          <w:spacing w:val="0"/>
          <w:w w:val="100"/>
          <w:position w:val="0"/>
          <w:sz w:val="32"/>
          <w:szCs w:val="32"/>
          <w:shd w:val="clear" w:color="auto" w:fill="auto"/>
        </w:rPr>
        <w:t>创建全省基层中医药工作示范县，</w:t>
      </w:r>
      <w:r>
        <w:rPr>
          <w:rFonts w:hint="eastAsia" w:ascii="仿宋_GB2312" w:hAnsi="仿宋_GB2312" w:eastAsia="仿宋_GB2312" w:cs="仿宋_GB2312"/>
          <w:color w:val="000000"/>
          <w:spacing w:val="0"/>
          <w:w w:val="100"/>
          <w:position w:val="0"/>
          <w:sz w:val="32"/>
          <w:szCs w:val="32"/>
          <w:shd w:val="clear" w:color="auto" w:fill="auto"/>
        </w:rPr>
        <w:t>推进</w:t>
      </w:r>
      <w:r>
        <w:rPr>
          <w:rFonts w:hint="eastAsia" w:ascii="仿宋_GB2312" w:hAnsi="仿宋_GB2312" w:eastAsia="仿宋_GB2312" w:cs="仿宋_GB2312"/>
          <w:color w:val="000000"/>
          <w:spacing w:val="0"/>
          <w:w w:val="100"/>
          <w:position w:val="0"/>
          <w:sz w:val="32"/>
          <w:szCs w:val="32"/>
          <w:shd w:val="clear" w:color="auto" w:fill="auto"/>
          <w:lang w:eastAsia="zh-CN"/>
        </w:rPr>
        <w:t>全市</w:t>
      </w:r>
      <w:r>
        <w:rPr>
          <w:rFonts w:hint="eastAsia" w:ascii="仿宋_GB2312" w:hAnsi="仿宋_GB2312" w:eastAsia="仿宋_GB2312" w:cs="仿宋_GB2312"/>
          <w:color w:val="000000"/>
          <w:spacing w:val="0"/>
          <w:w w:val="100"/>
          <w:position w:val="0"/>
          <w:sz w:val="32"/>
          <w:szCs w:val="32"/>
          <w:shd w:val="clear" w:color="auto" w:fill="auto"/>
        </w:rPr>
        <w:t>基层中医药工作再上新台阶。</w:t>
      </w:r>
      <w:r>
        <w:rPr>
          <w:rFonts w:hint="eastAsia" w:ascii="仿宋_GB2312" w:hAnsi="仿宋_GB2312" w:eastAsia="仿宋_GB2312" w:cs="仿宋_GB2312"/>
          <w:color w:val="000000"/>
          <w:spacing w:val="0"/>
          <w:w w:val="100"/>
          <w:position w:val="0"/>
          <w:sz w:val="32"/>
          <w:szCs w:val="32"/>
          <w:shd w:val="clear" w:color="auto" w:fill="auto"/>
          <w:lang w:val="en-US" w:eastAsia="zh-CN"/>
        </w:rPr>
        <w:t>启动县级中医医院二甲创建工作，实现各县（市、区）二级甲等</w:t>
      </w:r>
      <w:r>
        <w:rPr>
          <w:rFonts w:hint="eastAsia" w:ascii="仿宋_GB2312" w:hAnsi="仿宋_GB2312" w:eastAsia="仿宋_GB2312" w:cs="仿宋_GB2312"/>
          <w:color w:val="000000"/>
          <w:spacing w:val="0"/>
          <w:w w:val="100"/>
          <w:position w:val="0"/>
          <w:sz w:val="32"/>
          <w:szCs w:val="32"/>
          <w:shd w:val="clear" w:color="auto" w:fill="auto"/>
        </w:rPr>
        <w:t>中医医院全覆盖。支持紧密型县域中医医共体建设，加强医疗联合体中医药工作，建立以健康为中心、防治结合的县镇村三级整合型中医药服务新体系。实施县域中医药人员县管镇用，全部社区卫生服务中心和乡镇卫生院设置中医馆、配备中医医师。乡镇卫生院中医类别执业医师不低于执业医师总数的20%。强化中医馆内涵建设，配备中医特色康复诊疗设备，</w:t>
      </w:r>
      <w:r>
        <w:rPr>
          <w:rFonts w:hint="eastAsia" w:ascii="仿宋_GB2312" w:hAnsi="仿宋_GB2312" w:eastAsia="仿宋_GB2312" w:cs="仿宋_GB2312"/>
          <w:color w:val="000000"/>
          <w:spacing w:val="0"/>
          <w:w w:val="100"/>
          <w:position w:val="0"/>
          <w:sz w:val="32"/>
          <w:szCs w:val="32"/>
          <w:shd w:val="clear" w:color="auto" w:fill="auto"/>
          <w:lang w:eastAsia="zh-CN"/>
        </w:rPr>
        <w:t>加强中医馆健康信息平台应用推广线上培训，</w:t>
      </w:r>
      <w:r>
        <w:rPr>
          <w:rFonts w:hint="eastAsia" w:ascii="仿宋_GB2312" w:hAnsi="仿宋_GB2312" w:eastAsia="仿宋_GB2312" w:cs="仿宋_GB2312"/>
          <w:color w:val="000000"/>
          <w:spacing w:val="0"/>
          <w:w w:val="100"/>
          <w:position w:val="0"/>
          <w:sz w:val="32"/>
          <w:szCs w:val="32"/>
          <w:shd w:val="clear" w:color="auto" w:fill="auto"/>
        </w:rPr>
        <w:t>提升</w:t>
      </w:r>
      <w:r>
        <w:rPr>
          <w:rFonts w:hint="eastAsia" w:ascii="仿宋_GB2312" w:hAnsi="仿宋_GB2312" w:eastAsia="仿宋_GB2312" w:cs="仿宋_GB2312"/>
          <w:color w:val="000000"/>
          <w:spacing w:val="0"/>
          <w:w w:val="100"/>
          <w:position w:val="0"/>
          <w:sz w:val="32"/>
          <w:szCs w:val="32"/>
          <w:shd w:val="clear" w:color="auto" w:fill="auto"/>
          <w:lang w:eastAsia="zh-CN"/>
        </w:rPr>
        <w:t>基层</w:t>
      </w:r>
      <w:r>
        <w:rPr>
          <w:rFonts w:hint="eastAsia" w:ascii="仿宋_GB2312" w:hAnsi="仿宋_GB2312" w:eastAsia="仿宋_GB2312" w:cs="仿宋_GB2312"/>
          <w:color w:val="000000"/>
          <w:spacing w:val="0"/>
          <w:w w:val="100"/>
          <w:position w:val="0"/>
          <w:sz w:val="32"/>
          <w:szCs w:val="32"/>
          <w:shd w:val="clear" w:color="auto" w:fill="auto"/>
        </w:rPr>
        <w:t>中医</w:t>
      </w:r>
      <w:r>
        <w:rPr>
          <w:rFonts w:hint="eastAsia" w:ascii="仿宋_GB2312" w:hAnsi="仿宋_GB2312" w:eastAsia="仿宋_GB2312" w:cs="仿宋_GB2312"/>
          <w:color w:val="000000"/>
          <w:spacing w:val="0"/>
          <w:w w:val="100"/>
          <w:position w:val="0"/>
          <w:sz w:val="32"/>
          <w:szCs w:val="32"/>
          <w:shd w:val="clear" w:color="auto" w:fill="auto"/>
          <w:lang w:eastAsia="zh-CN"/>
        </w:rPr>
        <w:t>药</w:t>
      </w:r>
      <w:r>
        <w:rPr>
          <w:rFonts w:hint="eastAsia" w:ascii="仿宋_GB2312" w:hAnsi="仿宋_GB2312" w:eastAsia="仿宋_GB2312" w:cs="仿宋_GB2312"/>
          <w:color w:val="000000"/>
          <w:spacing w:val="0"/>
          <w:w w:val="100"/>
          <w:position w:val="0"/>
          <w:sz w:val="32"/>
          <w:szCs w:val="32"/>
          <w:shd w:val="clear" w:color="auto" w:fill="auto"/>
        </w:rPr>
        <w:t>服务能力。</w:t>
      </w:r>
      <w:r>
        <w:rPr>
          <w:rFonts w:hint="eastAsia" w:ascii="仿宋_GB2312" w:hAnsi="仿宋_GB2312" w:eastAsia="仿宋_GB2312" w:cs="仿宋_GB2312"/>
          <w:color w:val="000000"/>
          <w:spacing w:val="0"/>
          <w:w w:val="100"/>
          <w:position w:val="0"/>
          <w:sz w:val="32"/>
          <w:szCs w:val="32"/>
          <w:shd w:val="clear" w:color="auto" w:fill="auto"/>
          <w:lang w:eastAsia="zh-CN"/>
        </w:rPr>
        <w:t>以县级中医院作为中医药适宜技术推广基地，</w:t>
      </w:r>
      <w:r>
        <w:rPr>
          <w:rFonts w:hint="eastAsia" w:ascii="仿宋_GB2312" w:hAnsi="仿宋_GB2312" w:eastAsia="仿宋_GB2312" w:cs="仿宋_GB2312"/>
          <w:color w:val="000000"/>
          <w:spacing w:val="0"/>
          <w:w w:val="100"/>
          <w:position w:val="0"/>
          <w:sz w:val="32"/>
          <w:szCs w:val="32"/>
          <w:shd w:val="clear" w:color="auto" w:fill="auto"/>
        </w:rPr>
        <w:t>强化基层中医药适宜技术推广，提供六类以上中医药适宜技术服务，开展基层医疗、预防保健、养生康复等一体化中医药服务，</w:t>
      </w:r>
      <w:r>
        <w:rPr>
          <w:rFonts w:hint="eastAsia" w:ascii="仿宋_GB2312" w:hAnsi="仿宋_GB2312" w:eastAsia="仿宋_GB2312" w:cs="仿宋_GB2312"/>
          <w:color w:val="000000"/>
          <w:spacing w:val="0"/>
          <w:w w:val="100"/>
          <w:position w:val="0"/>
          <w:sz w:val="32"/>
          <w:szCs w:val="32"/>
          <w:shd w:val="clear" w:color="auto" w:fill="auto"/>
          <w:lang w:eastAsia="zh-CN"/>
        </w:rPr>
        <w:t>形成中医药防治常见病、多发病适宜技术应用推广的长效机制，</w:t>
      </w:r>
      <w:r>
        <w:rPr>
          <w:rFonts w:hint="eastAsia" w:ascii="仿宋_GB2312" w:hAnsi="仿宋_GB2312" w:eastAsia="仿宋_GB2312" w:cs="仿宋_GB2312"/>
          <w:color w:val="000000"/>
          <w:spacing w:val="0"/>
          <w:w w:val="100"/>
          <w:position w:val="0"/>
          <w:sz w:val="32"/>
          <w:szCs w:val="32"/>
          <w:shd w:val="clear" w:color="auto" w:fill="auto"/>
        </w:rPr>
        <w:t>提升</w:t>
      </w:r>
      <w:r>
        <w:rPr>
          <w:rFonts w:hint="eastAsia" w:ascii="仿宋_GB2312" w:hAnsi="仿宋_GB2312" w:eastAsia="仿宋_GB2312" w:cs="仿宋_GB2312"/>
          <w:color w:val="000000"/>
          <w:spacing w:val="0"/>
          <w:w w:val="100"/>
          <w:position w:val="0"/>
          <w:sz w:val="32"/>
          <w:szCs w:val="32"/>
          <w:shd w:val="clear" w:color="auto" w:fill="auto"/>
          <w:lang w:eastAsia="zh-CN"/>
        </w:rPr>
        <w:t>人民群众</w:t>
      </w:r>
      <w:r>
        <w:rPr>
          <w:rFonts w:hint="eastAsia" w:ascii="仿宋_GB2312" w:hAnsi="仿宋_GB2312" w:eastAsia="仿宋_GB2312" w:cs="仿宋_GB2312"/>
          <w:color w:val="000000"/>
          <w:spacing w:val="0"/>
          <w:w w:val="100"/>
          <w:position w:val="0"/>
          <w:sz w:val="32"/>
          <w:szCs w:val="32"/>
          <w:shd w:val="clear" w:color="auto" w:fill="auto"/>
        </w:rPr>
        <w:t>中医药获得感。</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601" w:lineRule="exact"/>
        <w:ind w:left="0" w:right="0" w:firstLine="0"/>
        <w:jc w:val="center"/>
        <w:textAlignment w:val="auto"/>
        <w:rPr>
          <w:rFonts w:hint="eastAsia" w:ascii="黑体" w:hAnsi="黑体" w:eastAsia="黑体" w:cs="黑体"/>
          <w:b w:val="0"/>
          <w:bCs w:val="0"/>
          <w:kern w:val="2"/>
          <w:sz w:val="32"/>
          <w:szCs w:val="40"/>
          <w:u w:val="none"/>
          <w:lang w:val="en-US" w:eastAsia="zh-CN" w:bidi="ar-SA"/>
        </w:rPr>
      </w:pPr>
      <w:bookmarkStart w:id="3" w:name="bookmark11"/>
      <w:r>
        <w:rPr>
          <w:rFonts w:hint="eastAsia" w:ascii="黑体" w:hAnsi="黑体" w:eastAsia="黑体" w:cs="黑体"/>
          <w:b w:val="0"/>
          <w:bCs w:val="0"/>
          <w:kern w:val="2"/>
          <w:sz w:val="32"/>
          <w:szCs w:val="40"/>
          <w:u w:val="none"/>
          <w:lang w:val="en-US" w:eastAsia="zh-CN" w:bidi="ar-SA"/>
        </w:rPr>
        <w:t>第三节  拓展中医药服务领域项目服务建设</w:t>
      </w:r>
      <w:bookmarkEnd w:id="3"/>
    </w:p>
    <w:p>
      <w:pPr>
        <w:pStyle w:val="9"/>
        <w:keepNext w:val="0"/>
        <w:keepLines w:val="0"/>
        <w:widowControl w:val="0"/>
        <w:shd w:val="clear" w:color="auto" w:fill="auto"/>
        <w:bidi w:val="0"/>
        <w:spacing w:before="0" w:after="0" w:line="604" w:lineRule="exact"/>
        <w:ind w:left="0" w:right="0" w:firstLine="640"/>
        <w:jc w:val="both"/>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加强综合医院、妇幼保健院、有条件的专科医院中医药科室建设。公立综合医院中医临床科室设置</w:t>
      </w:r>
      <w:r>
        <w:rPr>
          <w:rFonts w:hint="eastAsia" w:ascii="仿宋_GB2312" w:hAnsi="仿宋_GB2312" w:eastAsia="仿宋_GB2312" w:cs="仿宋_GB2312"/>
          <w:color w:val="000000"/>
          <w:spacing w:val="0"/>
          <w:w w:val="100"/>
          <w:position w:val="0"/>
          <w:sz w:val="32"/>
          <w:szCs w:val="32"/>
          <w:shd w:val="clear" w:color="auto" w:fill="auto"/>
          <w:lang w:val="en-US" w:eastAsia="zh-CN"/>
        </w:rPr>
        <w:t>全覆盖</w:t>
      </w:r>
      <w:r>
        <w:rPr>
          <w:rFonts w:hint="eastAsia" w:ascii="仿宋_GB2312" w:hAnsi="仿宋_GB2312" w:eastAsia="仿宋_GB2312" w:cs="仿宋_GB2312"/>
          <w:color w:val="000000"/>
          <w:spacing w:val="0"/>
          <w:w w:val="100"/>
          <w:position w:val="0"/>
          <w:sz w:val="32"/>
          <w:szCs w:val="32"/>
          <w:shd w:val="clear" w:color="auto" w:fill="auto"/>
        </w:rPr>
        <w:t>，设立中医门诊，设置中医病房且床位数不低于医院开放床位数的5%,中医药服务量占比达到10%以上。三级综合医院门诊开设中医专业不少于3个，二级综合医院门诊开设中医专业不少于2个。</w:t>
      </w:r>
      <w:r>
        <w:rPr>
          <w:rFonts w:hint="eastAsia" w:ascii="仿宋_GB2312" w:hAnsi="仿宋_GB2312" w:eastAsia="仿宋_GB2312" w:cs="仿宋_GB2312"/>
          <w:color w:val="000000"/>
          <w:spacing w:val="0"/>
          <w:w w:val="100"/>
          <w:position w:val="0"/>
          <w:sz w:val="32"/>
          <w:szCs w:val="32"/>
          <w:shd w:val="clear" w:color="auto" w:fill="auto"/>
          <w:lang w:eastAsia="zh-CN"/>
        </w:rPr>
        <w:t>二级以上妇幼保健院</w:t>
      </w:r>
      <w:r>
        <w:rPr>
          <w:rFonts w:hint="eastAsia" w:ascii="仿宋_GB2312" w:hAnsi="仿宋_GB2312" w:eastAsia="仿宋_GB2312" w:cs="仿宋_GB2312"/>
          <w:color w:val="000000"/>
          <w:spacing w:val="0"/>
          <w:w w:val="100"/>
          <w:position w:val="0"/>
          <w:sz w:val="32"/>
          <w:szCs w:val="32"/>
          <w:shd w:val="clear" w:color="auto" w:fill="auto"/>
          <w:lang w:val="en-US" w:eastAsia="zh-CN"/>
        </w:rPr>
        <w:t>100%设置中医科，</w:t>
      </w:r>
      <w:r>
        <w:rPr>
          <w:rFonts w:hint="eastAsia" w:ascii="仿宋_GB2312" w:hAnsi="仿宋_GB2312" w:eastAsia="仿宋_GB2312" w:cs="仿宋_GB2312"/>
          <w:color w:val="000000"/>
          <w:spacing w:val="0"/>
          <w:w w:val="100"/>
          <w:position w:val="0"/>
          <w:sz w:val="32"/>
          <w:szCs w:val="32"/>
          <w:shd w:val="clear" w:color="auto" w:fill="auto"/>
        </w:rPr>
        <w:t>专科医院注重发挥中医在专科疾病诊疗的特色优势，推动中医药融入专科诊疗。鼓励社会办医疗机构设置中医药科室。</w:t>
      </w:r>
    </w:p>
    <w:p>
      <w:pPr>
        <w:pStyle w:val="9"/>
        <w:keepNext w:val="0"/>
        <w:keepLines w:val="0"/>
        <w:widowControl w:val="0"/>
        <w:shd w:val="clear" w:color="auto" w:fill="auto"/>
        <w:bidi w:val="0"/>
        <w:spacing w:before="0" w:after="0" w:line="604" w:lineRule="exact"/>
        <w:ind w:left="0" w:right="0"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pacing w:val="0"/>
          <w:w w:val="100"/>
          <w:position w:val="0"/>
          <w:sz w:val="32"/>
          <w:szCs w:val="32"/>
          <w:shd w:val="clear" w:color="auto" w:fill="auto"/>
        </w:rPr>
        <w:t>鼓励中医医疗机构发展互联网中医医院，推进远程中医药服务，</w:t>
      </w:r>
      <w:r>
        <w:rPr>
          <w:rFonts w:hint="eastAsia" w:ascii="仿宋_GB2312" w:hAnsi="仿宋_GB2312" w:eastAsia="仿宋_GB2312" w:cs="仿宋_GB2312"/>
          <w:color w:val="000000"/>
          <w:spacing w:val="0"/>
          <w:w w:val="100"/>
          <w:position w:val="0"/>
          <w:sz w:val="32"/>
          <w:szCs w:val="32"/>
          <w:shd w:val="clear" w:color="auto" w:fill="auto"/>
          <w:lang w:eastAsia="zh-CN"/>
        </w:rPr>
        <w:t>实施“互联网</w:t>
      </w:r>
      <w:r>
        <w:rPr>
          <w:rFonts w:hint="eastAsia" w:ascii="仿宋_GB2312" w:hAnsi="仿宋_GB2312" w:eastAsia="仿宋_GB2312" w:cs="仿宋_GB2312"/>
          <w:color w:val="000000"/>
          <w:spacing w:val="0"/>
          <w:w w:val="100"/>
          <w:position w:val="0"/>
          <w:sz w:val="32"/>
          <w:szCs w:val="32"/>
          <w:shd w:val="clear" w:color="auto" w:fill="auto"/>
          <w:lang w:val="en-US" w:eastAsia="zh-CN"/>
        </w:rPr>
        <w:t>+中医药</w:t>
      </w:r>
      <w:r>
        <w:rPr>
          <w:rFonts w:hint="eastAsia" w:ascii="仿宋_GB2312" w:hAnsi="仿宋_GB2312" w:eastAsia="仿宋_GB2312" w:cs="仿宋_GB2312"/>
          <w:color w:val="000000"/>
          <w:spacing w:val="0"/>
          <w:w w:val="100"/>
          <w:position w:val="0"/>
          <w:sz w:val="32"/>
          <w:szCs w:val="32"/>
          <w:shd w:val="clear" w:color="auto" w:fill="auto"/>
          <w:lang w:eastAsia="zh-CN"/>
        </w:rPr>
        <w:t>”、“人工智能</w:t>
      </w:r>
      <w:r>
        <w:rPr>
          <w:rFonts w:hint="eastAsia" w:ascii="仿宋_GB2312" w:hAnsi="仿宋_GB2312" w:eastAsia="仿宋_GB2312" w:cs="仿宋_GB2312"/>
          <w:color w:val="000000"/>
          <w:spacing w:val="0"/>
          <w:w w:val="100"/>
          <w:position w:val="0"/>
          <w:sz w:val="32"/>
          <w:szCs w:val="32"/>
          <w:shd w:val="clear" w:color="auto" w:fill="auto"/>
          <w:lang w:val="en-US" w:eastAsia="zh-CN"/>
        </w:rPr>
        <w:t>+中医服务</w:t>
      </w:r>
      <w:r>
        <w:rPr>
          <w:rFonts w:hint="eastAsia" w:ascii="仿宋_GB2312" w:hAnsi="仿宋_GB2312" w:eastAsia="仿宋_GB2312" w:cs="仿宋_GB2312"/>
          <w:color w:val="000000"/>
          <w:spacing w:val="0"/>
          <w:w w:val="100"/>
          <w:position w:val="0"/>
          <w:sz w:val="32"/>
          <w:szCs w:val="32"/>
          <w:shd w:val="clear" w:color="auto" w:fill="auto"/>
          <w:lang w:eastAsia="zh-CN"/>
        </w:rPr>
        <w:t>”建设，</w:t>
      </w:r>
      <w:r>
        <w:rPr>
          <w:rFonts w:hint="eastAsia" w:ascii="仿宋_GB2312" w:hAnsi="仿宋_GB2312" w:eastAsia="仿宋_GB2312" w:cs="仿宋_GB2312"/>
          <w:color w:val="000000"/>
          <w:spacing w:val="0"/>
          <w:w w:val="100"/>
          <w:position w:val="0"/>
          <w:sz w:val="32"/>
          <w:szCs w:val="32"/>
          <w:shd w:val="clear" w:color="auto" w:fill="auto"/>
        </w:rPr>
        <w:t>促进优质医疗资源纵向流动。大力发展中医诊所、门诊部和特色专科医院。鼓励有资质的中医专业技术人员开办中医诊所</w:t>
      </w:r>
      <w:r>
        <w:rPr>
          <w:rFonts w:hint="eastAsia" w:ascii="仿宋_GB2312" w:hAnsi="仿宋_GB2312" w:eastAsia="仿宋_GB2312" w:cs="仿宋_GB2312"/>
          <w:color w:val="000000"/>
          <w:spacing w:val="0"/>
          <w:w w:val="100"/>
          <w:position w:val="0"/>
          <w:sz w:val="32"/>
          <w:szCs w:val="32"/>
          <w:shd w:val="clear" w:color="auto" w:fill="auto"/>
          <w:lang w:eastAsia="zh-C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黑体" w:hAnsi="黑体" w:eastAsia="黑体" w:cs="黑体"/>
                <w:b w:val="0"/>
                <w:bCs w:val="0"/>
                <w:color w:val="000000"/>
                <w:spacing w:val="0"/>
                <w:w w:val="100"/>
                <w:position w:val="0"/>
                <w:sz w:val="28"/>
                <w:szCs w:val="28"/>
                <w:shd w:val="clear" w:color="auto" w:fill="auto"/>
              </w:rPr>
              <w:t>专栏2</w:t>
            </w:r>
            <w:r>
              <w:rPr>
                <w:rFonts w:hint="eastAsia" w:ascii="黑体" w:hAnsi="黑体" w:eastAsia="黑体" w:cs="黑体"/>
                <w:b w:val="0"/>
                <w:bCs w:val="0"/>
                <w:color w:val="000000"/>
                <w:spacing w:val="0"/>
                <w:w w:val="100"/>
                <w:position w:val="0"/>
                <w:sz w:val="28"/>
                <w:szCs w:val="28"/>
                <w:shd w:val="clear" w:color="auto" w:fill="auto"/>
                <w:lang w:val="en-US" w:eastAsia="zh-CN"/>
              </w:rPr>
              <w:t xml:space="preserve">  </w:t>
            </w:r>
            <w:r>
              <w:rPr>
                <w:rFonts w:hint="eastAsia" w:ascii="黑体" w:hAnsi="黑体" w:eastAsia="黑体" w:cs="黑体"/>
                <w:b w:val="0"/>
                <w:bCs w:val="0"/>
                <w:color w:val="000000"/>
                <w:spacing w:val="0"/>
                <w:w w:val="100"/>
                <w:position w:val="0"/>
                <w:sz w:val="28"/>
                <w:szCs w:val="28"/>
                <w:shd w:val="clear" w:color="auto" w:fill="auto"/>
              </w:rPr>
              <w:t>优质高效中医药服务体系建设工程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Pr>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1.市级中医医院建设</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推进市级中医医院项目建设，占地10万平方米，首期建设床位500张，建筑面积7.27万平方米，按照三级甲等公立中医院标准建设，力争2024年底完成主体工程建设，计划十四五期间启动项目二期建设，增设床位300张，打造全市中医高地。</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2.临床医学领域中医重点学科建设</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依托市级中医医院，支持建设中医骨伤、中医消化、中医肿瘤、中医风湿、中医康复等5个临床医学领域中医重点学科。</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3.中医（中西医结合）传染病学重点学科建设</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依托市级综合医院，支持建设2个中医（中西医结合）传染病学重点学科。</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4.县级中医医院建设</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进一步完善县级公立中医院基础设施建设，全市县级公立中医院床位数达到700张。</w:t>
            </w: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方正小标宋简体" w:hAnsi="方正小标宋简体" w:eastAsia="方正小标宋简体" w:cs="方正小标宋简体"/>
          <w:color w:val="auto"/>
          <w:sz w:val="32"/>
          <w:szCs w:val="40"/>
          <w:lang w:val="en-US" w:eastAsia="zh-CN"/>
        </w:rPr>
      </w:pPr>
      <w:bookmarkStart w:id="4" w:name="bookmark12"/>
      <w:r>
        <w:rPr>
          <w:rFonts w:hint="eastAsia" w:ascii="方正小标宋简体" w:hAnsi="方正小标宋简体" w:eastAsia="方正小标宋简体" w:cs="方正小标宋简体"/>
          <w:color w:val="auto"/>
          <w:sz w:val="32"/>
          <w:szCs w:val="40"/>
          <w:lang w:val="en-US" w:eastAsia="zh-CN"/>
        </w:rPr>
        <w:t>第三章  加强全生命周期的中医药健康服务</w:t>
      </w:r>
      <w:bookmarkEnd w:id="4"/>
    </w:p>
    <w:p>
      <w:pPr>
        <w:pStyle w:val="10"/>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601" w:lineRule="exact"/>
        <w:ind w:left="0" w:right="0" w:firstLine="0"/>
        <w:jc w:val="center"/>
        <w:textAlignment w:val="auto"/>
        <w:rPr>
          <w:rFonts w:hint="eastAsia" w:ascii="黑体" w:hAnsi="黑体" w:eastAsia="黑体" w:cs="黑体"/>
          <w:b w:val="0"/>
          <w:bCs w:val="0"/>
          <w:kern w:val="2"/>
          <w:sz w:val="32"/>
          <w:szCs w:val="40"/>
          <w:u w:val="none"/>
          <w:lang w:val="en-US" w:eastAsia="zh-CN" w:bidi="ar-SA"/>
        </w:rPr>
      </w:pPr>
      <w:bookmarkStart w:id="5" w:name="bookmark13"/>
      <w:r>
        <w:rPr>
          <w:rFonts w:hint="eastAsia" w:ascii="黑体" w:hAnsi="黑体" w:eastAsia="黑体" w:cs="黑体"/>
          <w:b w:val="0"/>
          <w:bCs w:val="0"/>
          <w:kern w:val="2"/>
          <w:sz w:val="32"/>
          <w:szCs w:val="40"/>
          <w:u w:val="none"/>
          <w:lang w:val="en-US" w:eastAsia="zh-CN" w:bidi="ar-SA"/>
        </w:rPr>
        <w:t>第一节  强化中医药在健康服务中的特色优势</w:t>
      </w:r>
      <w:bookmarkEnd w:id="5"/>
    </w:p>
    <w:p>
      <w:pPr>
        <w:pStyle w:val="9"/>
        <w:keepNext w:val="0"/>
        <w:keepLines w:val="0"/>
        <w:widowControl w:val="0"/>
        <w:shd w:val="clear" w:color="auto" w:fill="auto"/>
        <w:bidi w:val="0"/>
        <w:spacing w:before="0" w:after="0" w:line="602" w:lineRule="exact"/>
        <w:ind w:left="0" w:right="0"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强化中医药诊疗能力。</w:t>
      </w:r>
      <w:r>
        <w:rPr>
          <w:rFonts w:hint="eastAsia" w:ascii="仿宋_GB2312" w:hAnsi="仿宋_GB2312" w:eastAsia="仿宋_GB2312" w:cs="仿宋_GB2312"/>
          <w:color w:val="000000"/>
          <w:spacing w:val="0"/>
          <w:w w:val="100"/>
          <w:position w:val="0"/>
          <w:sz w:val="32"/>
          <w:szCs w:val="32"/>
          <w:shd w:val="clear" w:color="auto" w:fill="auto"/>
        </w:rPr>
        <w:t>强化中医医院临床救治能力，</w:t>
      </w:r>
      <w:r>
        <w:rPr>
          <w:rFonts w:hint="eastAsia" w:ascii="仿宋_GB2312" w:hAnsi="仿宋_GB2312" w:eastAsia="仿宋_GB2312" w:cs="仿宋_GB2312"/>
          <w:color w:val="000000"/>
          <w:spacing w:val="0"/>
          <w:w w:val="100"/>
          <w:position w:val="0"/>
          <w:sz w:val="32"/>
          <w:szCs w:val="32"/>
          <w:shd w:val="clear" w:color="auto" w:fill="auto"/>
          <w:lang w:eastAsia="zh-CN"/>
        </w:rPr>
        <w:t>加强中医特色专科建设，创建一批省级重点、特色专科，大力发挥区域内中医重点专科作用</w:t>
      </w:r>
      <w:r>
        <w:rPr>
          <w:rFonts w:hint="eastAsia" w:ascii="仿宋_GB2312" w:hAnsi="仿宋_GB2312" w:eastAsia="仿宋_GB2312" w:cs="仿宋_GB2312"/>
          <w:color w:val="000000"/>
          <w:spacing w:val="0"/>
          <w:w w:val="100"/>
          <w:position w:val="0"/>
          <w:sz w:val="32"/>
          <w:szCs w:val="32"/>
          <w:shd w:val="clear" w:color="auto" w:fill="auto"/>
        </w:rPr>
        <w:t>。制定完善并推广实施一批中医优势病种诊疗方案，逐步提高重大疑难疾病诊疗能力。实施中医优势病种强优提质工程，提升中医预防、诊疗和康复服务能力</w:t>
      </w:r>
      <w:r>
        <w:rPr>
          <w:rFonts w:hint="eastAsia" w:ascii="仿宋_GB2312" w:hAnsi="仿宋_GB2312" w:eastAsia="仿宋_GB2312" w:cs="仿宋_GB2312"/>
          <w:color w:val="000000"/>
          <w:spacing w:val="0"/>
          <w:w w:val="100"/>
          <w:position w:val="0"/>
          <w:sz w:val="32"/>
          <w:szCs w:val="32"/>
          <w:shd w:val="clear" w:color="auto" w:fill="auto"/>
          <w:lang w:eastAsia="zh-CN"/>
        </w:rPr>
        <w:t>。</w:t>
      </w:r>
      <w:r>
        <w:rPr>
          <w:rFonts w:hint="eastAsia" w:ascii="仿宋_GB2312" w:hAnsi="仿宋_GB2312" w:eastAsia="仿宋_GB2312" w:cs="仿宋_GB2312"/>
          <w:color w:val="000000"/>
          <w:spacing w:val="0"/>
          <w:w w:val="100"/>
          <w:position w:val="0"/>
          <w:sz w:val="32"/>
          <w:szCs w:val="32"/>
          <w:shd w:val="clear" w:color="auto" w:fill="auto"/>
        </w:rPr>
        <w:t>加强中药药事管理，落实处方点评制度，促进合理使用中药。大力发展中医非药物疗法，充分发挥其在常见病、多发病和慢性病防治中的独特作用。加强护理人员中医药知识与技能培训，开展中医护理门诊试点，提高中医特色护理能力。</w:t>
      </w:r>
    </w:p>
    <w:p>
      <w:pPr>
        <w:pStyle w:val="9"/>
        <w:keepNext w:val="0"/>
        <w:keepLines w:val="0"/>
        <w:widowControl w:val="0"/>
        <w:shd w:val="clear" w:color="auto" w:fill="auto"/>
        <w:bidi w:val="0"/>
        <w:spacing w:before="0" w:after="0" w:line="602" w:lineRule="exact"/>
        <w:ind w:left="0" w:right="0" w:firstLine="660"/>
        <w:jc w:val="both"/>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b/>
          <w:bCs/>
          <w:color w:val="000000"/>
          <w:spacing w:val="0"/>
          <w:w w:val="100"/>
          <w:position w:val="0"/>
          <w:sz w:val="32"/>
          <w:szCs w:val="32"/>
          <w:shd w:val="clear" w:color="auto" w:fill="auto"/>
        </w:rPr>
        <w:t>提升中医药治未病能力。</w:t>
      </w:r>
      <w:r>
        <w:rPr>
          <w:rFonts w:hint="eastAsia" w:ascii="仿宋_GB2312" w:hAnsi="仿宋_GB2312" w:eastAsia="仿宋_GB2312" w:cs="仿宋_GB2312"/>
          <w:color w:val="000000"/>
          <w:spacing w:val="0"/>
          <w:w w:val="100"/>
          <w:position w:val="0"/>
          <w:sz w:val="32"/>
          <w:szCs w:val="32"/>
          <w:shd w:val="clear" w:color="auto" w:fill="auto"/>
          <w:lang w:eastAsia="zh-CN"/>
        </w:rPr>
        <w:t>发挥中医药在治未病中的主导作用，</w:t>
      </w:r>
      <w:r>
        <w:rPr>
          <w:rFonts w:hint="eastAsia" w:ascii="仿宋_GB2312" w:hAnsi="仿宋_GB2312" w:eastAsia="仿宋_GB2312" w:cs="仿宋_GB2312"/>
          <w:color w:val="000000"/>
          <w:spacing w:val="0"/>
          <w:w w:val="100"/>
          <w:position w:val="0"/>
          <w:sz w:val="32"/>
          <w:szCs w:val="32"/>
          <w:shd w:val="clear" w:color="auto" w:fill="auto"/>
        </w:rPr>
        <w:t>实施中医药健康促进行动，推进中医治未病健康工程升级</w:t>
      </w:r>
      <w:r>
        <w:rPr>
          <w:rFonts w:hint="eastAsia" w:ascii="仿宋_GB2312" w:hAnsi="仿宋_GB2312" w:eastAsia="仿宋_GB2312" w:cs="仿宋_GB2312"/>
          <w:color w:val="000000"/>
          <w:spacing w:val="0"/>
          <w:w w:val="100"/>
          <w:position w:val="0"/>
          <w:sz w:val="32"/>
          <w:szCs w:val="32"/>
          <w:shd w:val="clear" w:color="auto" w:fill="auto"/>
          <w:lang w:eastAsia="zh-CN"/>
        </w:rPr>
        <w:t>，积极构建中医治未病预防保健新模式，建立健全中医特色明显、技术适宜、形式多样、服务规范的中医治未病预防保健服务体系</w:t>
      </w:r>
      <w:r>
        <w:rPr>
          <w:rFonts w:hint="eastAsia" w:ascii="仿宋_GB2312" w:hAnsi="仿宋_GB2312" w:eastAsia="仿宋_GB2312" w:cs="仿宋_GB2312"/>
          <w:color w:val="000000"/>
          <w:spacing w:val="0"/>
          <w:w w:val="100"/>
          <w:position w:val="0"/>
          <w:sz w:val="32"/>
          <w:szCs w:val="32"/>
          <w:shd w:val="clear" w:color="auto" w:fill="auto"/>
        </w:rPr>
        <w:t>。</w:t>
      </w:r>
      <w:r>
        <w:rPr>
          <w:rFonts w:hint="eastAsia" w:ascii="仿宋_GB2312" w:hAnsi="仿宋_GB2312" w:eastAsia="仿宋_GB2312" w:cs="仿宋_GB2312"/>
          <w:color w:val="000000"/>
          <w:spacing w:val="0"/>
          <w:w w:val="100"/>
          <w:position w:val="0"/>
          <w:sz w:val="32"/>
          <w:szCs w:val="32"/>
          <w:shd w:val="clear" w:color="auto" w:fill="auto"/>
          <w:lang w:eastAsia="zh-CN"/>
        </w:rPr>
        <w:t>启动市级治未病中心建设，完善</w:t>
      </w:r>
      <w:r>
        <w:rPr>
          <w:rFonts w:hint="eastAsia" w:ascii="仿宋_GB2312" w:hAnsi="仿宋_GB2312" w:eastAsia="仿宋_GB2312" w:cs="仿宋_GB2312"/>
          <w:color w:val="000000"/>
          <w:spacing w:val="0"/>
          <w:w w:val="100"/>
          <w:position w:val="0"/>
          <w:sz w:val="32"/>
          <w:szCs w:val="32"/>
          <w:shd w:val="clear" w:color="auto" w:fill="auto"/>
        </w:rPr>
        <w:t>二级以上中医医院治未病科室建设，健全质量控制体系，探索构建治未病特色健康管理服务系统，将中医治未病理念融入疾病防控全过程。</w:t>
      </w:r>
      <w:r>
        <w:rPr>
          <w:rFonts w:hint="eastAsia" w:ascii="仿宋_GB2312" w:hAnsi="仿宋_GB2312" w:eastAsia="仿宋_GB2312" w:cs="仿宋_GB2312"/>
          <w:color w:val="000000"/>
          <w:spacing w:val="0"/>
          <w:w w:val="100"/>
          <w:position w:val="0"/>
          <w:sz w:val="32"/>
          <w:szCs w:val="32"/>
          <w:shd w:val="clear" w:color="auto" w:fill="auto"/>
          <w:lang w:eastAsia="zh-CN"/>
        </w:rPr>
        <w:t>以各地中医院治未病科为基地，</w:t>
      </w:r>
      <w:r>
        <w:rPr>
          <w:rFonts w:hint="eastAsia" w:ascii="仿宋_GB2312" w:hAnsi="仿宋_GB2312" w:eastAsia="仿宋_GB2312" w:cs="仿宋_GB2312"/>
          <w:color w:val="auto"/>
          <w:sz w:val="32"/>
          <w:szCs w:val="32"/>
          <w:shd w:val="clear" w:color="auto" w:fill="auto"/>
        </w:rPr>
        <w:t>延伸</w:t>
      </w:r>
      <w:r>
        <w:rPr>
          <w:rFonts w:hint="eastAsia" w:ascii="仿宋_GB2312" w:hAnsi="仿宋_GB2312" w:eastAsia="仿宋_GB2312" w:cs="仿宋_GB2312"/>
          <w:color w:val="auto"/>
          <w:sz w:val="32"/>
          <w:szCs w:val="32"/>
          <w:shd w:val="clear" w:color="auto" w:fill="auto"/>
          <w:lang w:eastAsia="zh-CN"/>
        </w:rPr>
        <w:t>至</w:t>
      </w:r>
      <w:r>
        <w:rPr>
          <w:rFonts w:hint="eastAsia" w:ascii="仿宋_GB2312" w:hAnsi="仿宋_GB2312" w:eastAsia="仿宋_GB2312" w:cs="仿宋_GB2312"/>
          <w:color w:val="auto"/>
          <w:sz w:val="32"/>
          <w:szCs w:val="32"/>
          <w:shd w:val="clear" w:color="auto" w:fill="auto"/>
        </w:rPr>
        <w:t>乡镇，指导各乡镇</w:t>
      </w:r>
      <w:r>
        <w:rPr>
          <w:rFonts w:hint="eastAsia" w:ascii="仿宋_GB2312" w:hAnsi="仿宋_GB2312" w:eastAsia="仿宋_GB2312" w:cs="仿宋_GB2312"/>
          <w:b w:val="0"/>
          <w:bCs/>
          <w:color w:val="auto"/>
          <w:sz w:val="32"/>
          <w:szCs w:val="32"/>
          <w:shd w:val="clear" w:color="auto" w:fill="auto"/>
        </w:rPr>
        <w:t>卫生院</w:t>
      </w:r>
      <w:r>
        <w:rPr>
          <w:rFonts w:hint="eastAsia" w:ascii="仿宋_GB2312" w:hAnsi="仿宋_GB2312" w:eastAsia="仿宋_GB2312" w:cs="仿宋_GB2312"/>
          <w:b w:val="0"/>
          <w:bCs/>
          <w:color w:val="auto"/>
          <w:sz w:val="32"/>
          <w:szCs w:val="32"/>
          <w:shd w:val="clear" w:color="auto" w:fill="auto"/>
          <w:lang w:eastAsia="zh-CN"/>
        </w:rPr>
        <w:t>进行中医健康教育和健康服务管理，扎实</w:t>
      </w:r>
      <w:r>
        <w:rPr>
          <w:rFonts w:hint="eastAsia" w:ascii="仿宋_GB2312" w:hAnsi="仿宋_GB2312" w:eastAsia="仿宋_GB2312" w:cs="仿宋_GB2312"/>
          <w:b w:val="0"/>
          <w:bCs/>
          <w:color w:val="auto"/>
          <w:sz w:val="32"/>
          <w:szCs w:val="32"/>
          <w:shd w:val="clear" w:color="auto" w:fill="auto"/>
        </w:rPr>
        <w:t>开展“治未病”项目</w:t>
      </w:r>
      <w:r>
        <w:rPr>
          <w:rFonts w:hint="eastAsia" w:ascii="仿宋_GB2312" w:hAnsi="仿宋_GB2312" w:eastAsia="仿宋_GB2312" w:cs="仿宋_GB2312"/>
          <w:b w:val="0"/>
          <w:bCs/>
          <w:color w:val="auto"/>
          <w:sz w:val="32"/>
          <w:szCs w:val="32"/>
          <w:shd w:val="clear" w:color="auto" w:fill="auto"/>
          <w:lang w:eastAsia="zh-CN"/>
        </w:rPr>
        <w:t>，实现全市中医“治未病”服务网络全覆盖。</w:t>
      </w:r>
      <w:r>
        <w:rPr>
          <w:rFonts w:hint="eastAsia" w:ascii="仿宋_GB2312" w:hAnsi="仿宋_GB2312" w:eastAsia="仿宋_GB2312" w:cs="仿宋_GB2312"/>
          <w:color w:val="000000"/>
          <w:spacing w:val="0"/>
          <w:w w:val="100"/>
          <w:position w:val="0"/>
          <w:sz w:val="32"/>
          <w:szCs w:val="32"/>
          <w:shd w:val="clear" w:color="auto" w:fill="auto"/>
        </w:rPr>
        <w:t>鼓励家庭医生提供中医治未病签约服务。继续实施癌症中西医结合防治行动，加快构建癌症中医药防治网络。</w:t>
      </w:r>
    </w:p>
    <w:p>
      <w:pPr>
        <w:pStyle w:val="9"/>
        <w:keepNext w:val="0"/>
        <w:keepLines w:val="0"/>
        <w:widowControl w:val="0"/>
        <w:shd w:val="clear" w:color="auto" w:fill="auto"/>
        <w:bidi w:val="0"/>
        <w:spacing w:before="0" w:after="0" w:line="602" w:lineRule="exact"/>
        <w:ind w:left="0" w:right="0" w:firstLine="660"/>
        <w:jc w:val="both"/>
        <w:rPr>
          <w:rFonts w:hint="eastAsia" w:ascii="仿宋_GB2312" w:hAnsi="仿宋_GB2312" w:eastAsia="仿宋_GB2312" w:cs="仿宋_GB2312"/>
          <w:color w:val="000000"/>
          <w:spacing w:val="0"/>
          <w:w w:val="100"/>
          <w:position w:val="0"/>
          <w:sz w:val="32"/>
          <w:szCs w:val="32"/>
          <w:shd w:val="clear" w:color="auto" w:fill="auto"/>
          <w:lang w:eastAsia="zh-CN"/>
        </w:rPr>
      </w:pPr>
      <w:r>
        <w:rPr>
          <w:rFonts w:hint="eastAsia" w:ascii="仿宋_GB2312" w:hAnsi="仿宋_GB2312" w:eastAsia="仿宋_GB2312" w:cs="仿宋_GB2312"/>
          <w:b/>
          <w:bCs/>
          <w:color w:val="000000"/>
          <w:spacing w:val="0"/>
          <w:w w:val="100"/>
          <w:position w:val="0"/>
          <w:sz w:val="32"/>
          <w:szCs w:val="32"/>
          <w:shd w:val="clear" w:color="auto" w:fill="auto"/>
        </w:rPr>
        <w:t>提高中医药康复服务水平。</w:t>
      </w:r>
      <w:r>
        <w:rPr>
          <w:rFonts w:hint="eastAsia" w:ascii="仿宋_GB2312" w:hAnsi="仿宋_GB2312" w:eastAsia="仿宋_GB2312" w:cs="仿宋_GB2312"/>
          <w:color w:val="000000"/>
          <w:spacing w:val="0"/>
          <w:w w:val="100"/>
          <w:position w:val="0"/>
          <w:sz w:val="32"/>
          <w:szCs w:val="32"/>
          <w:shd w:val="clear" w:color="auto" w:fill="auto"/>
        </w:rPr>
        <w:t>实施中医药康复服务能力提升工程，</w:t>
      </w:r>
      <w:r>
        <w:rPr>
          <w:rFonts w:hint="eastAsia" w:ascii="仿宋_GB2312" w:hAnsi="仿宋_GB2312" w:eastAsia="仿宋_GB2312" w:cs="仿宋_GB2312"/>
          <w:color w:val="000000"/>
          <w:spacing w:val="0"/>
          <w:w w:val="100"/>
          <w:position w:val="0"/>
          <w:sz w:val="32"/>
          <w:szCs w:val="32"/>
          <w:shd w:val="clear" w:color="auto" w:fill="auto"/>
          <w:lang w:eastAsia="zh-CN"/>
        </w:rPr>
        <w:t>实现全市县级</w:t>
      </w:r>
      <w:r>
        <w:rPr>
          <w:rFonts w:hint="eastAsia" w:ascii="仿宋_GB2312" w:hAnsi="仿宋_GB2312" w:eastAsia="仿宋_GB2312" w:cs="仿宋_GB2312"/>
          <w:color w:val="000000"/>
          <w:spacing w:val="0"/>
          <w:w w:val="100"/>
          <w:position w:val="0"/>
          <w:sz w:val="32"/>
          <w:szCs w:val="32"/>
          <w:shd w:val="clear" w:color="auto" w:fill="auto"/>
        </w:rPr>
        <w:t>中医院康复科</w:t>
      </w:r>
      <w:r>
        <w:rPr>
          <w:rFonts w:hint="eastAsia" w:ascii="仿宋_GB2312" w:hAnsi="仿宋_GB2312" w:eastAsia="仿宋_GB2312" w:cs="仿宋_GB2312"/>
          <w:color w:val="000000"/>
          <w:spacing w:val="0"/>
          <w:w w:val="100"/>
          <w:position w:val="0"/>
          <w:sz w:val="32"/>
          <w:szCs w:val="32"/>
          <w:shd w:val="clear" w:color="auto" w:fill="auto"/>
          <w:lang w:eastAsia="zh-CN"/>
        </w:rPr>
        <w:t>设置全覆盖</w:t>
      </w:r>
      <w:r>
        <w:rPr>
          <w:rFonts w:hint="eastAsia" w:ascii="仿宋_GB2312" w:hAnsi="仿宋_GB2312" w:eastAsia="仿宋_GB2312" w:cs="仿宋_GB2312"/>
          <w:color w:val="000000"/>
          <w:spacing w:val="0"/>
          <w:w w:val="100"/>
          <w:position w:val="0"/>
          <w:sz w:val="32"/>
          <w:szCs w:val="32"/>
          <w:shd w:val="clear" w:color="auto" w:fill="auto"/>
        </w:rPr>
        <w:t>。康复医院全部设置传统康复治疗室，其它提供康复服务的医疗机构普遍能够提供中医药服务。探索有利于发挥中医药优势的康复服务模式，加强中医康复服务管理。</w:t>
      </w:r>
      <w:r>
        <w:rPr>
          <w:rFonts w:hint="eastAsia" w:ascii="仿宋_GB2312" w:hAnsi="仿宋_GB2312" w:eastAsia="仿宋_GB2312" w:cs="仿宋_GB2312"/>
          <w:color w:val="000000"/>
          <w:spacing w:val="0"/>
          <w:w w:val="100"/>
          <w:position w:val="0"/>
          <w:sz w:val="32"/>
          <w:szCs w:val="32"/>
          <w:shd w:val="clear" w:color="auto" w:fill="auto"/>
          <w:lang w:eastAsia="zh-CN"/>
        </w:rPr>
        <w:t>强化中医药与公共卫生服务、康复护理、健康管理等服务相结合，推进中医药技术和方法融入慢性病患者、重点人群健康管理和市民健康生活方式。</w:t>
      </w:r>
    </w:p>
    <w:p>
      <w:pPr>
        <w:pStyle w:val="9"/>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602" w:lineRule="exact"/>
        <w:ind w:left="0" w:leftChars="0" w:right="0" w:firstLine="0" w:firstLineChars="0"/>
        <w:jc w:val="center"/>
        <w:textAlignment w:val="auto"/>
        <w:rPr>
          <w:rFonts w:hint="eastAsia" w:ascii="黑体" w:hAnsi="黑体" w:eastAsia="黑体" w:cs="黑体"/>
          <w:b w:val="0"/>
          <w:bCs w:val="0"/>
          <w:kern w:val="2"/>
          <w:sz w:val="32"/>
          <w:szCs w:val="40"/>
          <w:u w:val="none"/>
          <w:lang w:val="en-US" w:eastAsia="zh-CN" w:bidi="ar-SA"/>
        </w:rPr>
      </w:pPr>
      <w:r>
        <w:rPr>
          <w:rFonts w:hint="eastAsia" w:ascii="黑体" w:hAnsi="黑体" w:eastAsia="黑体" w:cs="黑体"/>
          <w:b w:val="0"/>
          <w:bCs w:val="0"/>
          <w:kern w:val="2"/>
          <w:sz w:val="32"/>
          <w:szCs w:val="40"/>
          <w:u w:val="none"/>
          <w:lang w:val="en-US" w:eastAsia="zh-CN" w:bidi="ar-SA"/>
        </w:rPr>
        <w:t>第二节  提升中医药公共卫生应急能力</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b/>
          <w:bCs/>
          <w:color w:val="000000"/>
          <w:spacing w:val="0"/>
          <w:w w:val="100"/>
          <w:position w:val="0"/>
          <w:sz w:val="32"/>
          <w:szCs w:val="32"/>
          <w:shd w:val="clear" w:color="auto" w:fill="auto"/>
        </w:rPr>
        <w:t>完善中医药参与应急的制度保障</w:t>
      </w:r>
      <w:r>
        <w:rPr>
          <w:rFonts w:hint="eastAsia" w:ascii="仿宋_GB2312" w:hAnsi="仿宋_GB2312" w:eastAsia="仿宋_GB2312" w:cs="仿宋_GB2312"/>
          <w:b/>
          <w:bCs/>
          <w:color w:val="000000"/>
          <w:spacing w:val="0"/>
          <w:w w:val="100"/>
          <w:position w:val="0"/>
          <w:sz w:val="32"/>
          <w:szCs w:val="32"/>
          <w:shd w:val="clear" w:color="auto" w:fill="auto"/>
          <w:lang w:eastAsia="zh-CN"/>
        </w:rPr>
        <w:t>。</w:t>
      </w:r>
      <w:r>
        <w:rPr>
          <w:rFonts w:hint="eastAsia" w:ascii="仿宋_GB2312" w:hAnsi="仿宋_GB2312" w:eastAsia="仿宋_GB2312" w:cs="仿宋_GB2312"/>
          <w:b w:val="0"/>
          <w:bCs w:val="0"/>
          <w:color w:val="000000"/>
          <w:spacing w:val="0"/>
          <w:w w:val="100"/>
          <w:position w:val="0"/>
          <w:sz w:val="32"/>
          <w:szCs w:val="32"/>
          <w:shd w:val="clear" w:color="auto" w:fill="auto"/>
        </w:rPr>
        <w:t>健全中医药参与新发突发传染病防治和公共卫生事件应急处置的机制，将中医药</w:t>
      </w:r>
      <w:r>
        <w:rPr>
          <w:rFonts w:hint="eastAsia" w:ascii="仿宋_GB2312" w:hAnsi="仿宋_GB2312" w:eastAsia="仿宋_GB2312" w:cs="仿宋_GB2312"/>
          <w:color w:val="000000"/>
          <w:spacing w:val="0"/>
          <w:w w:val="100"/>
          <w:position w:val="0"/>
          <w:sz w:val="32"/>
          <w:szCs w:val="32"/>
          <w:shd w:val="clear" w:color="auto" w:fill="auto"/>
        </w:rPr>
        <w:t>防治措施全面融入突发公共卫生事件救治预案和技术方案，</w:t>
      </w:r>
      <w:r>
        <w:rPr>
          <w:rFonts w:hint="eastAsia" w:ascii="仿宋_GB2312" w:hAnsi="仿宋_GB2312" w:eastAsia="仿宋_GB2312" w:cs="仿宋_GB2312"/>
          <w:color w:val="000000"/>
          <w:spacing w:val="0"/>
          <w:w w:val="100"/>
          <w:position w:val="0"/>
          <w:sz w:val="32"/>
          <w:szCs w:val="32"/>
          <w:shd w:val="clear" w:color="auto" w:fill="auto"/>
          <w:lang w:eastAsia="zh-CN"/>
        </w:rPr>
        <w:t>提升中医药应对突发公共卫生事件的能力，</w:t>
      </w:r>
      <w:r>
        <w:rPr>
          <w:rFonts w:hint="eastAsia" w:ascii="仿宋_GB2312" w:hAnsi="仿宋_GB2312" w:eastAsia="仿宋_GB2312" w:cs="仿宋_GB2312"/>
          <w:color w:val="000000"/>
          <w:spacing w:val="0"/>
          <w:w w:val="100"/>
          <w:position w:val="0"/>
          <w:sz w:val="32"/>
          <w:szCs w:val="32"/>
          <w:shd w:val="clear" w:color="auto" w:fill="auto"/>
        </w:rPr>
        <w:t>确保中医药第一时间响应，在预防、治疗和康复全过程发挥作用。构建市、县</w:t>
      </w:r>
      <w:r>
        <w:rPr>
          <w:rFonts w:hint="eastAsia" w:ascii="仿宋_GB2312" w:hAnsi="仿宋_GB2312" w:eastAsia="仿宋_GB2312" w:cs="仿宋_GB2312"/>
          <w:color w:val="000000"/>
          <w:spacing w:val="0"/>
          <w:w w:val="100"/>
          <w:position w:val="0"/>
          <w:sz w:val="32"/>
          <w:szCs w:val="32"/>
          <w:shd w:val="clear" w:color="auto" w:fill="auto"/>
          <w:lang w:eastAsia="zh-CN"/>
        </w:rPr>
        <w:t>、镇</w:t>
      </w:r>
      <w:r>
        <w:rPr>
          <w:rFonts w:hint="eastAsia" w:ascii="仿宋_GB2312" w:hAnsi="仿宋_GB2312" w:eastAsia="仿宋_GB2312" w:cs="仿宋_GB2312"/>
          <w:color w:val="000000"/>
          <w:spacing w:val="0"/>
          <w:w w:val="100"/>
          <w:position w:val="0"/>
          <w:sz w:val="32"/>
          <w:szCs w:val="32"/>
          <w:shd w:val="clear" w:color="auto" w:fill="auto"/>
        </w:rPr>
        <w:t>三级联动中西医结合应急救治体系，发挥中医药在新发突发传染病等重大公共卫生事件救治及重大自然灾害、事故的紧急医学救援中的独特作用。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b/>
          <w:bCs/>
          <w:color w:val="000000"/>
          <w:spacing w:val="0"/>
          <w:w w:val="100"/>
          <w:position w:val="0"/>
          <w:sz w:val="32"/>
          <w:szCs w:val="32"/>
          <w:shd w:val="clear" w:color="auto" w:fill="auto"/>
          <w:lang w:eastAsia="zh-CN"/>
        </w:rPr>
        <w:t>加强中医药应急工作的能力建设。</w:t>
      </w:r>
      <w:r>
        <w:rPr>
          <w:rFonts w:hint="eastAsia" w:ascii="仿宋_GB2312" w:hAnsi="仿宋_GB2312" w:eastAsia="仿宋_GB2312" w:cs="仿宋_GB2312"/>
          <w:color w:val="000000"/>
          <w:spacing w:val="0"/>
          <w:w w:val="100"/>
          <w:position w:val="0"/>
          <w:sz w:val="32"/>
          <w:szCs w:val="32"/>
          <w:shd w:val="clear" w:color="auto" w:fill="auto"/>
        </w:rPr>
        <w:t>加强中医医院应对突发公共卫生事件救治能力建设</w:t>
      </w:r>
      <w:r>
        <w:rPr>
          <w:rFonts w:hint="eastAsia" w:ascii="仿宋_GB2312" w:hAnsi="仿宋_GB2312" w:eastAsia="仿宋_GB2312" w:cs="仿宋_GB2312"/>
          <w:color w:val="000000"/>
          <w:spacing w:val="0"/>
          <w:w w:val="100"/>
          <w:position w:val="0"/>
          <w:sz w:val="32"/>
          <w:szCs w:val="32"/>
          <w:shd w:val="clear" w:color="auto" w:fill="auto"/>
          <w:lang w:eastAsia="zh-CN"/>
        </w:rPr>
        <w:t>，</w:t>
      </w:r>
      <w:r>
        <w:rPr>
          <w:rFonts w:hint="eastAsia" w:ascii="仿宋_GB2312" w:hAnsi="仿宋_GB2312" w:eastAsia="仿宋_GB2312" w:cs="仿宋_GB2312"/>
          <w:color w:val="000000"/>
          <w:spacing w:val="0"/>
          <w:w w:val="100"/>
          <w:position w:val="0"/>
          <w:sz w:val="32"/>
          <w:szCs w:val="32"/>
          <w:shd w:val="clear" w:color="auto" w:fill="auto"/>
        </w:rPr>
        <w:t>加强呼吸、检验、影像等相关科室建设，提升综合救治能力，加快海丰、陆丰和陆河县三家公立中医医院发热诊室规范化建设，逐步将海丰县中医医院发热诊室升级建设成为发热门诊，提高全市县域中医药疫病救治能力。加强传染病定点医院的中医药服务能力建设，提升突发公共卫生事件中西医协同救治能力。强化中医药人才公共卫生应急和重症救治能力培养。建立中医药应急物资的储备机制，加强中医药物资保供力度。</w:t>
      </w:r>
    </w:p>
    <w:p>
      <w:pPr>
        <w:pStyle w:val="9"/>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602"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黑体" w:hAnsi="黑体" w:eastAsia="黑体" w:cs="黑体"/>
          <w:b w:val="0"/>
          <w:bCs w:val="0"/>
          <w:kern w:val="2"/>
          <w:sz w:val="32"/>
          <w:szCs w:val="40"/>
          <w:u w:val="none"/>
          <w:lang w:val="en-US" w:eastAsia="zh-CN" w:bidi="ar-SA"/>
        </w:rPr>
        <w:t>第三节  提高中西医结合水平</w:t>
      </w:r>
    </w:p>
    <w:p>
      <w:pPr>
        <w:pStyle w:val="9"/>
        <w:keepNext w:val="0"/>
        <w:keepLines w:val="0"/>
        <w:widowControl w:val="0"/>
        <w:shd w:val="clear" w:color="auto" w:fill="auto"/>
        <w:bidi w:val="0"/>
        <w:spacing w:before="0" w:after="0" w:line="602" w:lineRule="exact"/>
        <w:ind w:left="0" w:right="0" w:firstLine="660"/>
        <w:jc w:val="both"/>
        <w:rPr>
          <w:rFonts w:hint="eastAsia" w:ascii="仿宋_GB2312" w:hAnsi="仿宋_GB2312" w:eastAsia="仿宋_GB2312" w:cs="仿宋_GB2312"/>
          <w:color w:val="000000"/>
          <w:spacing w:val="0"/>
          <w:w w:val="100"/>
          <w:position w:val="0"/>
          <w:sz w:val="32"/>
          <w:szCs w:val="32"/>
          <w:shd w:val="clear" w:color="auto" w:fill="auto"/>
          <w:lang w:eastAsia="zh-CN"/>
        </w:rPr>
      </w:pPr>
      <w:r>
        <w:rPr>
          <w:rFonts w:hint="eastAsia" w:ascii="仿宋_GB2312" w:hAnsi="仿宋_GB2312" w:eastAsia="仿宋_GB2312" w:cs="仿宋_GB2312"/>
          <w:color w:val="000000"/>
          <w:spacing w:val="0"/>
          <w:w w:val="100"/>
          <w:position w:val="0"/>
          <w:sz w:val="32"/>
          <w:szCs w:val="32"/>
          <w:shd w:val="clear" w:color="auto" w:fill="auto"/>
        </w:rPr>
        <w:t>加强中西医结合医院、中西医结合学科专科建设，</w:t>
      </w:r>
      <w:r>
        <w:rPr>
          <w:rFonts w:hint="eastAsia" w:ascii="仿宋_GB2312" w:hAnsi="仿宋_GB2312" w:eastAsia="仿宋_GB2312" w:cs="仿宋_GB2312"/>
          <w:color w:val="000000"/>
          <w:spacing w:val="0"/>
          <w:w w:val="100"/>
          <w:position w:val="0"/>
          <w:sz w:val="32"/>
          <w:szCs w:val="32"/>
          <w:shd w:val="clear" w:color="auto" w:fill="auto"/>
          <w:lang w:eastAsia="zh-CN"/>
        </w:rPr>
        <w:t>在综合医院、传染病医院、专科医院等逐步</w:t>
      </w:r>
      <w:r>
        <w:rPr>
          <w:rFonts w:hint="eastAsia" w:ascii="仿宋_GB2312" w:hAnsi="仿宋_GB2312" w:eastAsia="仿宋_GB2312" w:cs="仿宋_GB2312"/>
          <w:color w:val="000000"/>
          <w:spacing w:val="0"/>
          <w:w w:val="100"/>
          <w:position w:val="0"/>
          <w:sz w:val="32"/>
          <w:szCs w:val="32"/>
          <w:shd w:val="clear" w:color="auto" w:fill="auto"/>
        </w:rPr>
        <w:t>推广</w:t>
      </w:r>
      <w:r>
        <w:rPr>
          <w:rFonts w:hint="eastAsia" w:ascii="仿宋_GB2312" w:hAnsi="仿宋_GB2312" w:eastAsia="仿宋_GB2312" w:cs="仿宋_GB2312"/>
          <w:color w:val="000000"/>
          <w:spacing w:val="0"/>
          <w:w w:val="100"/>
          <w:position w:val="0"/>
          <w:sz w:val="32"/>
          <w:szCs w:val="32"/>
          <w:shd w:val="clear" w:color="auto" w:fill="auto"/>
          <w:lang w:eastAsia="zh-CN"/>
        </w:rPr>
        <w:t>“有机制、有团队、有措施、有成效”的</w:t>
      </w:r>
      <w:r>
        <w:rPr>
          <w:rFonts w:hint="eastAsia" w:ascii="仿宋_GB2312" w:hAnsi="仿宋_GB2312" w:eastAsia="仿宋_GB2312" w:cs="仿宋_GB2312"/>
          <w:color w:val="000000"/>
          <w:spacing w:val="0"/>
          <w:w w:val="100"/>
          <w:position w:val="0"/>
          <w:sz w:val="32"/>
          <w:szCs w:val="32"/>
          <w:shd w:val="clear" w:color="auto" w:fill="auto"/>
        </w:rPr>
        <w:t>中西医结合医疗模式，将建立中西医协同的多学科诊疗体系纳入非中医医院章程，将中西医联合查房、会诊纳入医院管理制度。鼓励支持医院间、科室间和医联体内部开展中西医协作，为患者提供中西医结合诊疗服务。</w:t>
      </w:r>
      <w:r>
        <w:rPr>
          <w:rFonts w:hint="eastAsia" w:ascii="仿宋_GB2312" w:hAnsi="仿宋_GB2312" w:eastAsia="仿宋_GB2312" w:cs="仿宋_GB2312"/>
          <w:color w:val="000000"/>
          <w:spacing w:val="0"/>
          <w:w w:val="100"/>
          <w:position w:val="0"/>
          <w:sz w:val="32"/>
          <w:szCs w:val="32"/>
          <w:shd w:val="clear" w:color="auto" w:fill="auto"/>
          <w:lang w:eastAsia="zh-CN"/>
        </w:rPr>
        <w:t>鼓励有条件的综合医院转型建设中西医结合医院，鼓励新建中西医结合医院。</w:t>
      </w:r>
      <w:r>
        <w:rPr>
          <w:rFonts w:hint="eastAsia" w:ascii="仿宋_GB2312" w:hAnsi="仿宋_GB2312" w:eastAsia="仿宋_GB2312" w:cs="仿宋_GB2312"/>
          <w:color w:val="000000"/>
          <w:spacing w:val="0"/>
          <w:w w:val="100"/>
          <w:position w:val="0"/>
          <w:sz w:val="32"/>
          <w:szCs w:val="32"/>
          <w:shd w:val="clear" w:color="auto" w:fill="auto"/>
        </w:rPr>
        <w:t>加强综合医院、妇幼保健院及专科医院各临床科室中医师配备，打造中西医结合团队，开展中西医联合诊疗。积极推进临床医师中医药专业知识轮训，逐步做到“能西会中”。开展新发突发传染病、重大疑难疾病和常见病多发病等中西医联合攻关，形成一批中西医结合诊疗指南。</w:t>
      </w:r>
    </w:p>
    <w:p>
      <w:pPr>
        <w:pStyle w:val="9"/>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602" w:lineRule="exact"/>
        <w:ind w:left="0" w:leftChars="0" w:right="0" w:firstLine="0" w:firstLineChars="0"/>
        <w:jc w:val="center"/>
        <w:textAlignment w:val="auto"/>
        <w:rPr>
          <w:rFonts w:hint="eastAsia" w:ascii="黑体" w:hAnsi="黑体" w:eastAsia="黑体" w:cs="黑体"/>
          <w:b w:val="0"/>
          <w:bCs w:val="0"/>
          <w:kern w:val="2"/>
          <w:sz w:val="32"/>
          <w:szCs w:val="40"/>
          <w:u w:val="none"/>
          <w:lang w:val="en-US" w:eastAsia="zh-CN" w:bidi="ar-SA"/>
        </w:rPr>
      </w:pPr>
      <w:r>
        <w:rPr>
          <w:rFonts w:hint="eastAsia" w:ascii="黑体" w:hAnsi="黑体" w:eastAsia="黑体" w:cs="黑体"/>
          <w:b w:val="0"/>
          <w:bCs w:val="0"/>
          <w:kern w:val="2"/>
          <w:sz w:val="32"/>
          <w:szCs w:val="40"/>
          <w:u w:val="none"/>
          <w:lang w:val="en-US" w:eastAsia="zh-CN" w:bidi="ar-SA"/>
        </w:rPr>
        <w:t>第四节  发展中医药健康养老能力</w:t>
      </w:r>
    </w:p>
    <w:p>
      <w:pPr>
        <w:pStyle w:val="9"/>
        <w:keepNext w:val="0"/>
        <w:keepLines w:val="0"/>
        <w:widowControl w:val="0"/>
        <w:shd w:val="clear" w:color="auto" w:fill="auto"/>
        <w:bidi w:val="0"/>
        <w:spacing w:before="0" w:after="0" w:line="602" w:lineRule="exact"/>
        <w:ind w:left="0" w:right="0" w:firstLine="660"/>
        <w:jc w:val="both"/>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强化中医药与养老服务衔接，推进中医药健康养老向农村、社区、家庭下沉。</w:t>
      </w:r>
      <w:r>
        <w:rPr>
          <w:rFonts w:hint="eastAsia" w:ascii="仿宋_GB2312" w:hAnsi="仿宋_GB2312" w:eastAsia="仿宋_GB2312" w:cs="仿宋_GB2312"/>
          <w:color w:val="000000"/>
          <w:spacing w:val="0"/>
          <w:w w:val="100"/>
          <w:position w:val="0"/>
          <w:sz w:val="32"/>
          <w:szCs w:val="32"/>
          <w:shd w:val="clear" w:color="auto" w:fill="auto"/>
          <w:lang w:eastAsia="zh-CN"/>
        </w:rPr>
        <w:t>支持</w:t>
      </w:r>
      <w:r>
        <w:rPr>
          <w:rFonts w:hint="eastAsia" w:ascii="仿宋_GB2312" w:hAnsi="仿宋_GB2312" w:eastAsia="仿宋_GB2312" w:cs="仿宋_GB2312"/>
          <w:color w:val="000000"/>
          <w:spacing w:val="0"/>
          <w:w w:val="100"/>
          <w:position w:val="0"/>
          <w:sz w:val="32"/>
          <w:szCs w:val="32"/>
          <w:shd w:val="clear" w:color="auto" w:fill="auto"/>
        </w:rPr>
        <w:t>二级以上公立中医医院开设老年病科，增加老年病床数量，开展老年病、慢性病防治和康复护理。支持二级以上中医医院与养老机构合作共建、组建医疗养老联合体，</w:t>
      </w:r>
      <w:r>
        <w:rPr>
          <w:rFonts w:hint="eastAsia" w:ascii="仿宋_GB2312" w:hAnsi="仿宋_GB2312" w:eastAsia="仿宋_GB2312" w:cs="仿宋_GB2312"/>
          <w:sz w:val="32"/>
          <w:szCs w:val="32"/>
          <w:shd w:val="clear" w:color="auto" w:fill="auto"/>
        </w:rPr>
        <w:t>鼓励基层医疗卫生机构与养老服务机构开展多种形式的合作，以老年病、慢性病为重点，开展融合中医特色健康管理的老年人养生保健、医疗、康复、护理服务，促进</w:t>
      </w:r>
      <w:r>
        <w:rPr>
          <w:rFonts w:hint="eastAsia" w:ascii="仿宋_GB2312" w:hAnsi="仿宋_GB2312" w:eastAsia="仿宋_GB2312" w:cs="仿宋_GB2312"/>
          <w:sz w:val="32"/>
          <w:szCs w:val="32"/>
          <w:shd w:val="clear" w:color="auto" w:fill="auto"/>
          <w:lang w:eastAsia="zh-CN"/>
        </w:rPr>
        <w:t>社区</w:t>
      </w:r>
      <w:r>
        <w:rPr>
          <w:rFonts w:hint="eastAsia" w:ascii="仿宋_GB2312" w:hAnsi="仿宋_GB2312" w:eastAsia="仿宋_GB2312" w:cs="仿宋_GB2312"/>
          <w:sz w:val="32"/>
          <w:szCs w:val="32"/>
          <w:shd w:val="clear" w:color="auto" w:fill="auto"/>
        </w:rPr>
        <w:t>与</w:t>
      </w:r>
      <w:r>
        <w:rPr>
          <w:rFonts w:hint="eastAsia" w:ascii="仿宋_GB2312" w:hAnsi="仿宋_GB2312" w:eastAsia="仿宋_GB2312" w:cs="仿宋_GB2312"/>
          <w:sz w:val="32"/>
          <w:szCs w:val="32"/>
          <w:shd w:val="clear" w:color="auto" w:fill="auto"/>
          <w:lang w:eastAsia="zh-CN"/>
        </w:rPr>
        <w:t>居家</w:t>
      </w:r>
      <w:r>
        <w:rPr>
          <w:rFonts w:hint="eastAsia" w:ascii="仿宋_GB2312" w:hAnsi="仿宋_GB2312" w:eastAsia="仿宋_GB2312" w:cs="仿宋_GB2312"/>
          <w:sz w:val="32"/>
          <w:szCs w:val="32"/>
          <w:shd w:val="clear" w:color="auto" w:fill="auto"/>
        </w:rPr>
        <w:t>中医药健康养老结合。</w:t>
      </w:r>
      <w:r>
        <w:rPr>
          <w:rFonts w:hint="eastAsia" w:ascii="仿宋_GB2312" w:hAnsi="仿宋_GB2312" w:eastAsia="仿宋_GB2312" w:cs="仿宋_GB2312"/>
          <w:color w:val="000000"/>
          <w:spacing w:val="0"/>
          <w:w w:val="100"/>
          <w:position w:val="0"/>
          <w:sz w:val="32"/>
          <w:szCs w:val="32"/>
          <w:shd w:val="clear" w:color="auto" w:fill="auto"/>
        </w:rPr>
        <w:t>加强康复、护理、疗养等其他医疗机构中医药科室建设，争创国家</w:t>
      </w:r>
      <w:r>
        <w:rPr>
          <w:rFonts w:hint="eastAsia" w:ascii="仿宋_GB2312" w:hAnsi="仿宋_GB2312" w:eastAsia="仿宋_GB2312" w:cs="仿宋_GB2312"/>
          <w:color w:val="000000"/>
          <w:spacing w:val="0"/>
          <w:w w:val="100"/>
          <w:position w:val="0"/>
          <w:sz w:val="32"/>
          <w:szCs w:val="32"/>
          <w:shd w:val="clear" w:color="auto" w:fill="auto"/>
          <w:lang w:eastAsia="zh-CN"/>
        </w:rPr>
        <w:t>、省</w:t>
      </w:r>
      <w:r>
        <w:rPr>
          <w:rFonts w:hint="eastAsia" w:ascii="仿宋_GB2312" w:hAnsi="仿宋_GB2312" w:eastAsia="仿宋_GB2312" w:cs="仿宋_GB2312"/>
          <w:color w:val="000000"/>
          <w:spacing w:val="0"/>
          <w:w w:val="100"/>
          <w:position w:val="0"/>
          <w:sz w:val="32"/>
          <w:szCs w:val="32"/>
          <w:shd w:val="clear" w:color="auto" w:fill="auto"/>
        </w:rPr>
        <w:t>级中医药特色医养结合示范机构。</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56"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000000"/>
                <w:spacing w:val="0"/>
                <w:w w:val="100"/>
                <w:position w:val="0"/>
                <w:shd w:val="clear" w:color="auto" w:fill="auto"/>
                <w:vertAlign w:val="baseline"/>
                <w:lang w:val="en-US" w:eastAsia="zh-CN"/>
              </w:rPr>
            </w:pPr>
            <w:r>
              <w:rPr>
                <w:rFonts w:hint="eastAsia" w:ascii="黑体" w:hAnsi="黑体" w:eastAsia="黑体" w:cs="黑体"/>
                <w:b w:val="0"/>
                <w:bCs w:val="0"/>
                <w:color w:val="000000"/>
                <w:spacing w:val="0"/>
                <w:w w:val="100"/>
                <w:position w:val="0"/>
                <w:sz w:val="28"/>
                <w:szCs w:val="28"/>
                <w:shd w:val="clear" w:color="auto" w:fill="auto"/>
                <w:lang w:val="en-US" w:eastAsia="zh-CN"/>
              </w:rPr>
              <w:t>专栏3  全生命周期的中医药健康服务建设工程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Pr>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t>1.省级重点、特色专科建设</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color w:val="000000"/>
                <w:spacing w:val="0"/>
                <w:w w:val="100"/>
                <w:position w:val="0"/>
                <w:sz w:val="24"/>
                <w:szCs w:val="32"/>
                <w:shd w:val="clear" w:color="auto" w:fill="auto"/>
                <w:vertAlign w:val="baseline"/>
                <w:lang w:val="en-US" w:eastAsia="zh-CN"/>
              </w:rPr>
              <w:t>加强中医特色专科建设，创建一批省级重点、特色专科，大力发挥区域内中医重点专科优势，促进特色发展。</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t>2.中医治未病服务能力建设</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color w:val="000000"/>
                <w:spacing w:val="0"/>
                <w:w w:val="100"/>
                <w:position w:val="0"/>
                <w:sz w:val="24"/>
                <w:szCs w:val="32"/>
                <w:shd w:val="clear" w:color="auto" w:fill="auto"/>
                <w:vertAlign w:val="baseline"/>
                <w:lang w:val="en-US" w:eastAsia="zh-CN"/>
              </w:rPr>
              <w:t>建设市级中医治未病中心。推进中医治未病健康工程升级，积极构建中医治未病预防保健新模式，规范二级以上中医医院治未病科室建设，支持基层医疗卫生机构开展治未病服务，实现全市中医“治未病”服务网络全覆盖。</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t>3.基层中医药服务能力建设</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color w:val="000000"/>
                <w:spacing w:val="0"/>
                <w:w w:val="100"/>
                <w:position w:val="0"/>
                <w:sz w:val="24"/>
                <w:szCs w:val="32"/>
                <w:shd w:val="clear" w:color="auto" w:fill="auto"/>
                <w:vertAlign w:val="baseline"/>
                <w:lang w:val="en-US" w:eastAsia="zh-CN"/>
              </w:rPr>
              <w:t>支持县级中医医院开展“两专科一中心”建设。开展基层医疗卫生机构中医药服务能力提升建设，全面完成基层中医馆建设，并对全市乡镇卫生院和社区卫生服务中心等基层医疗卫生机构实施基层中医馆再提升工程。</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t>4.中医优势病种强优提质工程</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color w:val="000000"/>
                <w:spacing w:val="0"/>
                <w:w w:val="100"/>
                <w:position w:val="0"/>
                <w:sz w:val="24"/>
                <w:szCs w:val="32"/>
                <w:shd w:val="clear" w:color="auto" w:fill="auto"/>
                <w:vertAlign w:val="baseline"/>
                <w:lang w:val="en-US" w:eastAsia="zh-CN"/>
              </w:rPr>
              <w:t>充分发挥中医药特色和优势，实施中医优势病种强优提质工程，提升中医预防、诊疗和康复服务能力，发挥中医药在疫病防治中的独特优势。</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t>5.中医药康复服务能力提升工程</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color w:val="000000"/>
                <w:spacing w:val="0"/>
                <w:w w:val="100"/>
                <w:position w:val="0"/>
                <w:sz w:val="24"/>
                <w:szCs w:val="32"/>
                <w:shd w:val="clear" w:color="auto" w:fill="auto"/>
                <w:vertAlign w:val="baseline"/>
                <w:lang w:val="en-US" w:eastAsia="zh-CN"/>
              </w:rPr>
              <w:t>推进一批中医康复科建设，支持中医医院康复科、综合医院中医康复科和康复医院中医科室建设，实现全市县级中医院康复科设置全覆盖。</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t>6.中西医结合临床协作能力建设</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color w:val="000000"/>
                <w:spacing w:val="0"/>
                <w:w w:val="100"/>
                <w:position w:val="0"/>
                <w:sz w:val="24"/>
                <w:szCs w:val="32"/>
                <w:shd w:val="clear" w:color="auto" w:fill="auto"/>
                <w:vertAlign w:val="baseline"/>
                <w:lang w:val="en-US" w:eastAsia="zh-CN"/>
              </w:rPr>
              <w:t>加强中西医结合医院、中西医结合学科专科建设，实施好重大疑难疾病中西医联合攻关项目，推动中西医强强联合。鼓励有条件的综合医院转型建设中西医结合医院，鼓励新建中西医结合医院。</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t>7.重点人群中医药健康促进项目</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color w:val="000000"/>
                <w:spacing w:val="0"/>
                <w:w w:val="100"/>
                <w:position w:val="0"/>
                <w:sz w:val="24"/>
                <w:szCs w:val="32"/>
                <w:shd w:val="clear" w:color="auto" w:fill="auto"/>
                <w:vertAlign w:val="baseline"/>
                <w:lang w:val="en-US" w:eastAsia="zh-CN"/>
              </w:rPr>
              <w:t>支持二级以上中医医院老年医学科建设，完善老年医学科科室基础设施设备，推广应用老年期常见疾病中医诊疗方案和技术。鼓励基层医疗卫生机构开展融合中医特色健康管理的老年人养生保健、医疗、康复、护理服务，促进中医药与健康养老结合。</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t>8.公共卫生事件救治能力建设</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color w:val="000000"/>
                <w:spacing w:val="0"/>
                <w:w w:val="100"/>
                <w:position w:val="0"/>
                <w:shd w:val="clear" w:color="auto" w:fill="auto"/>
                <w:lang w:val="en-US" w:eastAsia="zh-CN"/>
              </w:rPr>
            </w:pPr>
            <w:r>
              <w:rPr>
                <w:rFonts w:hint="eastAsia" w:ascii="仿宋_GB2312" w:hAnsi="仿宋_GB2312" w:eastAsia="仿宋_GB2312" w:cs="仿宋_GB2312"/>
                <w:color w:val="000000"/>
                <w:spacing w:val="0"/>
                <w:w w:val="100"/>
                <w:position w:val="0"/>
                <w:sz w:val="24"/>
                <w:szCs w:val="32"/>
                <w:shd w:val="clear" w:color="auto" w:fill="auto"/>
              </w:rPr>
              <w:t>推进陆丰市中医医院发热门诊一体化建设、影像中心建设、功能科室升级建设、医院公用工程建设、门诊楼升级改造工程建设、远程医疗管理培训中心建设等升级改造。</w:t>
            </w:r>
            <w:r>
              <w:rPr>
                <w:rFonts w:hint="eastAsia" w:ascii="仿宋_GB2312" w:hAnsi="仿宋_GB2312" w:eastAsia="仿宋_GB2312" w:cs="仿宋_GB2312"/>
                <w:color w:val="000000"/>
                <w:spacing w:val="0"/>
                <w:w w:val="100"/>
                <w:position w:val="0"/>
                <w:sz w:val="24"/>
                <w:szCs w:val="32"/>
                <w:shd w:val="clear" w:color="auto" w:fill="auto"/>
                <w:lang w:eastAsia="zh-CN"/>
              </w:rPr>
              <w:t>推动完善</w:t>
            </w:r>
            <w:r>
              <w:rPr>
                <w:rFonts w:hint="eastAsia" w:ascii="仿宋_GB2312" w:hAnsi="仿宋_GB2312" w:eastAsia="仿宋_GB2312" w:cs="仿宋_GB2312"/>
                <w:color w:val="000000"/>
                <w:spacing w:val="0"/>
                <w:w w:val="100"/>
                <w:position w:val="0"/>
                <w:sz w:val="24"/>
                <w:szCs w:val="32"/>
                <w:shd w:val="clear" w:color="auto" w:fill="auto"/>
              </w:rPr>
              <w:t>陆河县中医院</w:t>
            </w:r>
            <w:r>
              <w:rPr>
                <w:rFonts w:hint="eastAsia" w:ascii="仿宋_GB2312" w:hAnsi="仿宋_GB2312" w:eastAsia="仿宋_GB2312" w:cs="仿宋_GB2312"/>
                <w:color w:val="000000"/>
                <w:spacing w:val="0"/>
                <w:w w:val="100"/>
                <w:position w:val="0"/>
                <w:sz w:val="24"/>
                <w:szCs w:val="32"/>
                <w:shd w:val="clear" w:color="auto" w:fill="auto"/>
                <w:lang w:eastAsia="zh-CN"/>
              </w:rPr>
              <w:t>能力建设</w:t>
            </w:r>
            <w:r>
              <w:rPr>
                <w:rFonts w:hint="eastAsia" w:ascii="仿宋_GB2312" w:hAnsi="仿宋_GB2312" w:eastAsia="仿宋_GB2312" w:cs="仿宋_GB2312"/>
                <w:color w:val="000000"/>
                <w:spacing w:val="0"/>
                <w:w w:val="100"/>
                <w:position w:val="0"/>
                <w:sz w:val="24"/>
                <w:szCs w:val="32"/>
                <w:shd w:val="clear" w:color="auto" w:fill="auto"/>
              </w:rPr>
              <w:t>，设置病床250张。推进海丰县中医医院感染科综合大楼建设，设置病床99张，设置发热门诊、血液透析室、非呼吸道感染病区、呼吸道感染病区、负压隔离病区、重症监护病区等。</w:t>
            </w: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方正小标宋简体" w:hAnsi="方正小标宋简体" w:eastAsia="方正小标宋简体" w:cs="方正小标宋简体"/>
          <w:color w:val="auto"/>
          <w:sz w:val="32"/>
          <w:szCs w:val="40"/>
          <w:highlight w:val="none"/>
          <w:lang w:val="en-US" w:eastAsia="zh-CN"/>
        </w:rPr>
      </w:pPr>
      <w:r>
        <w:rPr>
          <w:rFonts w:hint="eastAsia" w:ascii="方正小标宋简体" w:hAnsi="方正小标宋简体" w:eastAsia="方正小标宋简体" w:cs="方正小标宋简体"/>
          <w:color w:val="auto"/>
          <w:sz w:val="32"/>
          <w:szCs w:val="40"/>
          <w:highlight w:val="none"/>
          <w:lang w:val="en-US" w:eastAsia="zh-CN"/>
        </w:rPr>
        <w:t>第四章  加强中医药传承保护与科技创新</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b w:val="0"/>
          <w:bCs w:val="0"/>
          <w:kern w:val="2"/>
          <w:sz w:val="32"/>
          <w:szCs w:val="40"/>
          <w:highlight w:val="none"/>
          <w:u w:val="none"/>
          <w:lang w:val="en-US" w:eastAsia="zh-CN" w:bidi="ar-SA"/>
        </w:rPr>
      </w:pPr>
      <w:r>
        <w:rPr>
          <w:rFonts w:hint="eastAsia" w:ascii="黑体" w:hAnsi="黑体" w:eastAsia="黑体" w:cs="黑体"/>
          <w:b w:val="0"/>
          <w:bCs w:val="0"/>
          <w:kern w:val="2"/>
          <w:sz w:val="32"/>
          <w:szCs w:val="40"/>
          <w:highlight w:val="none"/>
          <w:u w:val="none"/>
          <w:lang w:val="en-US" w:eastAsia="zh-CN" w:bidi="ar-SA"/>
        </w:rPr>
        <w:t>第一节  加强中医药传承保护</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spacing w:val="0"/>
          <w:w w:val="100"/>
          <w:position w:val="0"/>
          <w:sz w:val="32"/>
          <w:szCs w:val="40"/>
          <w:highlight w:val="none"/>
          <w:shd w:val="clear" w:color="auto" w:fill="auto"/>
          <w:lang w:val="en-US" w:eastAsia="zh-CN"/>
        </w:rPr>
      </w:pPr>
      <w:r>
        <w:rPr>
          <w:rFonts w:hint="eastAsia" w:ascii="仿宋_GB2312" w:hAnsi="仿宋_GB2312" w:eastAsia="仿宋_GB2312" w:cs="仿宋_GB2312"/>
          <w:color w:val="000000"/>
          <w:spacing w:val="0"/>
          <w:w w:val="100"/>
          <w:position w:val="0"/>
          <w:sz w:val="32"/>
          <w:szCs w:val="40"/>
          <w:highlight w:val="none"/>
          <w:shd w:val="clear" w:color="auto" w:fill="auto"/>
          <w:lang w:val="en-US" w:eastAsia="zh-CN"/>
        </w:rPr>
        <w:t>开展名老中医药专家典型医案（教案）、处方收集整理，推进临床经验、老药工传统技艺传承研究，提炼总结学术思想观点和临床经验，系统继承当代名老中医专家学术思想和临床诊疗经验，形成相应的临床诊疗方案，推广应用于临床。鼓励名老中医申报学术观点和临床经验相关的科研课题。</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b w:val="0"/>
          <w:bCs w:val="0"/>
          <w:kern w:val="2"/>
          <w:sz w:val="32"/>
          <w:szCs w:val="40"/>
          <w:highlight w:val="none"/>
          <w:u w:val="none"/>
          <w:lang w:val="en-US" w:eastAsia="zh-CN" w:bidi="ar-SA"/>
        </w:rPr>
      </w:pPr>
      <w:r>
        <w:rPr>
          <w:rFonts w:hint="eastAsia" w:ascii="黑体" w:hAnsi="黑体" w:eastAsia="黑体" w:cs="黑体"/>
          <w:b w:val="0"/>
          <w:bCs w:val="0"/>
          <w:kern w:val="2"/>
          <w:sz w:val="32"/>
          <w:szCs w:val="40"/>
          <w:highlight w:val="none"/>
          <w:u w:val="none"/>
          <w:lang w:val="en-US" w:eastAsia="zh-CN" w:bidi="ar-SA"/>
        </w:rPr>
        <w:t>第二节  提升中医药科技创新能力</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spacing w:val="0"/>
          <w:w w:val="100"/>
          <w:position w:val="0"/>
          <w:sz w:val="32"/>
          <w:szCs w:val="40"/>
          <w:highlight w:val="none"/>
          <w:shd w:val="clear" w:color="auto" w:fill="auto"/>
          <w:lang w:val="en-US" w:eastAsia="zh-CN"/>
        </w:rPr>
      </w:pPr>
      <w:r>
        <w:rPr>
          <w:rFonts w:hint="eastAsia" w:ascii="仿宋_GB2312" w:hAnsi="仿宋_GB2312" w:eastAsia="仿宋_GB2312" w:cs="仿宋_GB2312"/>
          <w:color w:val="000000"/>
          <w:spacing w:val="0"/>
          <w:w w:val="100"/>
          <w:position w:val="0"/>
          <w:sz w:val="32"/>
          <w:szCs w:val="40"/>
          <w:highlight w:val="none"/>
          <w:shd w:val="clear" w:color="auto" w:fill="auto"/>
          <w:lang w:val="en-US" w:eastAsia="zh-CN"/>
        </w:rPr>
        <w:t>加强对重大疾病、重大传染病防治、治未病的联合攻关和对常见病、多发病、慢性病的中医药防治研究，形成可推广应用的诊疗方案、技术成果。鼓励中医药企业开展以经典复方、中医经方和医疗机构中药制剂为主要来源的研发创新，创制一批对中医优势病种临床价值大、规模效益明显的中药新品种，对已上市药物开发新的适应症，开展安全性研究和临床综合评价，推动高端中医医疗器械的研究、开发、生产和应用，提升产业自主创新能力。</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spacing w:val="0"/>
                <w:w w:val="100"/>
                <w:position w:val="0"/>
                <w:sz w:val="32"/>
                <w:szCs w:val="40"/>
                <w:highlight w:val="yellow"/>
                <w:shd w:val="clear" w:color="auto" w:fill="auto"/>
                <w:vertAlign w:val="baseline"/>
                <w:lang w:val="en-US" w:eastAsia="zh-CN"/>
              </w:rPr>
            </w:pPr>
            <w:r>
              <w:rPr>
                <w:rFonts w:hint="eastAsia" w:ascii="黑体" w:hAnsi="黑体" w:eastAsia="黑体" w:cs="黑体"/>
                <w:b w:val="0"/>
                <w:bCs w:val="0"/>
                <w:color w:val="000000"/>
                <w:spacing w:val="0"/>
                <w:w w:val="100"/>
                <w:position w:val="0"/>
                <w:sz w:val="28"/>
                <w:szCs w:val="28"/>
                <w:shd w:val="clear" w:color="auto" w:fill="auto"/>
                <w:lang w:val="en-US" w:eastAsia="zh-CN"/>
              </w:rPr>
              <w:t>专栏4  中医药传承创新工程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Pr>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t>1.中医药传承研究项目</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color w:val="000000"/>
                <w:spacing w:val="0"/>
                <w:w w:val="100"/>
                <w:position w:val="0"/>
                <w:sz w:val="24"/>
                <w:szCs w:val="32"/>
                <w:shd w:val="clear" w:color="auto" w:fill="auto"/>
                <w:vertAlign w:val="baseline"/>
                <w:lang w:val="en-US" w:eastAsia="zh-CN"/>
              </w:rPr>
              <w:t>开展名老中医学术思想传承项目、老药工传统技艺传承研究、古典医籍挖掘整理研究项目、中医药传统知识调查工作。</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t>2.中医药科研创新项目</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color w:val="000000"/>
                <w:spacing w:val="0"/>
                <w:w w:val="100"/>
                <w:position w:val="0"/>
                <w:highlight w:val="yellow"/>
                <w:shd w:val="clear" w:color="auto" w:fill="auto"/>
                <w:lang w:val="en-US" w:eastAsia="zh-CN"/>
              </w:rPr>
            </w:pPr>
            <w:r>
              <w:rPr>
                <w:rFonts w:hint="eastAsia" w:ascii="仿宋_GB2312" w:hAnsi="仿宋_GB2312" w:eastAsia="仿宋_GB2312" w:cs="仿宋_GB2312"/>
                <w:color w:val="000000"/>
                <w:spacing w:val="0"/>
                <w:w w:val="100"/>
                <w:position w:val="0"/>
                <w:sz w:val="24"/>
                <w:szCs w:val="32"/>
                <w:shd w:val="clear" w:color="auto" w:fill="auto"/>
                <w:vertAlign w:val="baseline"/>
                <w:lang w:val="en-US" w:eastAsia="zh-CN"/>
              </w:rPr>
              <w:t>推动中医药基础、临床和中药相关研究，支持中医药防治传染病研究。</w:t>
            </w: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方正小标宋简体" w:hAnsi="方正小标宋简体" w:eastAsia="方正小标宋简体" w:cs="方正小标宋简体"/>
          <w:color w:val="auto"/>
          <w:sz w:val="32"/>
          <w:szCs w:val="40"/>
          <w:lang w:val="en-US" w:eastAsia="zh-CN"/>
        </w:rPr>
      </w:pPr>
      <w:r>
        <w:rPr>
          <w:rFonts w:hint="eastAsia" w:ascii="方正小标宋简体" w:hAnsi="方正小标宋简体" w:eastAsia="方正小标宋简体" w:cs="方正小标宋简体"/>
          <w:color w:val="auto"/>
          <w:sz w:val="32"/>
          <w:szCs w:val="40"/>
          <w:lang w:val="en-US" w:eastAsia="zh-CN"/>
        </w:rPr>
        <w:t>第五章  推动中医药特色人才队伍建设</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b w:val="0"/>
          <w:bCs w:val="0"/>
          <w:kern w:val="2"/>
          <w:sz w:val="32"/>
          <w:szCs w:val="40"/>
          <w:u w:val="none"/>
          <w:lang w:val="en-US" w:eastAsia="zh-CN" w:bidi="ar-SA"/>
        </w:rPr>
      </w:pPr>
      <w:r>
        <w:rPr>
          <w:rFonts w:hint="eastAsia" w:ascii="黑体" w:hAnsi="黑体" w:eastAsia="黑体" w:cs="黑体"/>
          <w:b w:val="0"/>
          <w:bCs w:val="0"/>
          <w:kern w:val="2"/>
          <w:sz w:val="32"/>
          <w:szCs w:val="40"/>
          <w:u w:val="none"/>
          <w:lang w:val="en-US" w:eastAsia="zh-CN" w:bidi="ar-SA"/>
        </w:rPr>
        <w:t>第一节  改革中医药人才培养模式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b w:val="0"/>
          <w:bCs w:val="0"/>
          <w:kern w:val="2"/>
          <w:sz w:val="32"/>
          <w:szCs w:val="40"/>
          <w:u w:val="none"/>
          <w:lang w:val="en-US" w:eastAsia="zh-CN" w:bidi="ar-SA"/>
        </w:rPr>
      </w:pPr>
      <w:r>
        <w:rPr>
          <w:rFonts w:hint="eastAsia" w:ascii="仿宋_GB2312" w:hAnsi="仿宋_GB2312" w:eastAsia="仿宋_GB2312" w:cs="仿宋_GB2312"/>
          <w:color w:val="000000"/>
          <w:spacing w:val="0"/>
          <w:w w:val="100"/>
          <w:position w:val="0"/>
          <w:sz w:val="32"/>
          <w:szCs w:val="40"/>
          <w:shd w:val="clear" w:color="auto" w:fill="auto"/>
          <w:lang w:val="en-US" w:eastAsia="zh-CN"/>
        </w:rPr>
        <w:t>强化中医药理论思维培养，深入推进中医师承教育，鼓励高层次中医专家建设名中医传承工作室，着力培养中医药传承人才。结合中医药专业技术人员岗位胜任能力建设要求和职业发展需求，依托高等院校，推进中医药继续教育，探索开展远程中医药继续教育，推进“西学中”教育，鼓励临床医学专业毕业生攻读中医专业学位，支持开展“西学中”人才培训、研修项目。</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b w:val="0"/>
          <w:bCs w:val="0"/>
          <w:kern w:val="2"/>
          <w:sz w:val="32"/>
          <w:szCs w:val="40"/>
          <w:u w:val="none"/>
          <w:lang w:val="en-US" w:eastAsia="zh-CN" w:bidi="ar-SA"/>
        </w:rPr>
      </w:pPr>
      <w:r>
        <w:rPr>
          <w:rFonts w:hint="eastAsia" w:ascii="黑体" w:hAnsi="黑体" w:eastAsia="黑体" w:cs="黑体"/>
          <w:b w:val="0"/>
          <w:bCs w:val="0"/>
          <w:kern w:val="2"/>
          <w:sz w:val="32"/>
          <w:szCs w:val="40"/>
          <w:u w:val="none"/>
          <w:lang w:val="en-US" w:eastAsia="zh-CN" w:bidi="ar-SA"/>
        </w:rPr>
        <w:t>第二节  夯实基层中医药人才队伍</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spacing w:val="0"/>
          <w:w w:val="100"/>
          <w:position w:val="0"/>
          <w:sz w:val="32"/>
          <w:szCs w:val="40"/>
          <w:shd w:val="clear" w:color="auto" w:fill="auto"/>
          <w:lang w:val="en-US" w:eastAsia="zh-CN"/>
        </w:rPr>
      </w:pPr>
      <w:r>
        <w:rPr>
          <w:rFonts w:hint="eastAsia" w:ascii="仿宋_GB2312" w:hAnsi="仿宋_GB2312" w:eastAsia="仿宋_GB2312" w:cs="仿宋_GB2312"/>
          <w:color w:val="000000"/>
          <w:spacing w:val="0"/>
          <w:w w:val="100"/>
          <w:position w:val="0"/>
          <w:sz w:val="32"/>
          <w:szCs w:val="40"/>
          <w:shd w:val="clear" w:color="auto" w:fill="auto"/>
          <w:lang w:val="en-US" w:eastAsia="zh-CN"/>
        </w:rPr>
        <w:t>推进中医类别全科医生转岗（岗位）培训、住院医师规范化培训、助理全科医生培训，继续实施农村订单定向免费医学生培养等基层人才培养工作。到2025年，基本实现城乡每万居民有0.8名合格的中医类别全科医生。依托现有医疗机构，继续开展基层名老中医药专家传承工作室建设。落实中医师承“薪火工程”，开展对口师承带教、铸造6名中医专家，带教培养10名基层中医药骨干人才。依托4个县级网络平台，开展县级中医骨干人才和基层在职在岗卫生技术人员中医药知识与技能培训，提升基层中医药医疗水平和服务水平。</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b w:val="0"/>
          <w:bCs w:val="0"/>
          <w:kern w:val="2"/>
          <w:sz w:val="32"/>
          <w:szCs w:val="40"/>
          <w:u w:val="none"/>
          <w:lang w:val="en-US" w:eastAsia="zh-CN" w:bidi="ar-SA"/>
        </w:rPr>
      </w:pPr>
      <w:r>
        <w:rPr>
          <w:rFonts w:hint="eastAsia" w:ascii="黑体" w:hAnsi="黑体" w:eastAsia="黑体" w:cs="黑体"/>
          <w:b w:val="0"/>
          <w:bCs w:val="0"/>
          <w:kern w:val="2"/>
          <w:sz w:val="32"/>
          <w:szCs w:val="40"/>
          <w:u w:val="none"/>
          <w:lang w:val="en-US" w:eastAsia="zh-CN" w:bidi="ar-SA"/>
        </w:rPr>
        <w:t>第三节  推进高层次中医药人才培养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b w:val="0"/>
          <w:bCs w:val="0"/>
          <w:kern w:val="2"/>
          <w:sz w:val="32"/>
          <w:szCs w:val="40"/>
          <w:u w:val="none"/>
          <w:lang w:val="en-US" w:eastAsia="zh-CN" w:bidi="ar-SA"/>
        </w:rPr>
      </w:pPr>
      <w:r>
        <w:rPr>
          <w:rFonts w:hint="eastAsia" w:ascii="仿宋_GB2312" w:hAnsi="仿宋_GB2312" w:eastAsia="仿宋_GB2312" w:cs="仿宋_GB2312"/>
          <w:b w:val="0"/>
          <w:bCs w:val="0"/>
          <w:kern w:val="2"/>
          <w:sz w:val="32"/>
          <w:szCs w:val="40"/>
          <w:highlight w:val="none"/>
          <w:u w:val="none"/>
          <w:lang w:val="en-US" w:eastAsia="zh-CN" w:bidi="ar-SA"/>
        </w:rPr>
        <w:t>推进国家岐黄学者、全国中医临床优秀人才研修项目、青年岐黄学者和省领军人才、省杰出青年中医药人才培养项目，</w:t>
      </w:r>
      <w:r>
        <w:rPr>
          <w:rFonts w:hint="eastAsia" w:ascii="仿宋_GB2312" w:hAnsi="仿宋_GB2312" w:eastAsia="仿宋_GB2312" w:cs="仿宋_GB2312"/>
          <w:b w:val="0"/>
          <w:bCs w:val="0"/>
          <w:kern w:val="2"/>
          <w:sz w:val="32"/>
          <w:szCs w:val="40"/>
          <w:u w:val="none"/>
          <w:lang w:val="en-US" w:eastAsia="zh-CN" w:bidi="ar-SA"/>
        </w:rPr>
        <w:t>落实葛洪中医药人才培养计划，培养造就一批对推动中医药发展发挥引领和带动作用的领军人才。实施名医银龄计划，引进一批各地退休名老中医，推动名医资源辐射基层。</w:t>
      </w:r>
      <w:r>
        <w:rPr>
          <w:rFonts w:hint="eastAsia" w:ascii="仿宋_GB2312" w:hAnsi="仿宋_GB2312" w:eastAsia="仿宋_GB2312" w:cs="仿宋_GB2312"/>
          <w:b w:val="0"/>
          <w:bCs w:val="0"/>
          <w:kern w:val="2"/>
          <w:sz w:val="32"/>
          <w:szCs w:val="40"/>
          <w:highlight w:val="none"/>
          <w:u w:val="none"/>
          <w:lang w:val="en-US" w:eastAsia="zh-CN" w:bidi="ar-SA"/>
        </w:rPr>
        <w:t>推进国家中医药应对重大公共卫生事件和中医疫病防治骨干人才库项目、中药特色技术传承人才培训项目、“西学中”骨干培训项目、中医护理骨干培训等项目。</w:t>
      </w:r>
      <w:r>
        <w:rPr>
          <w:rFonts w:hint="eastAsia" w:ascii="仿宋_GB2312" w:hAnsi="仿宋_GB2312" w:eastAsia="仿宋_GB2312" w:cs="仿宋_GB2312"/>
          <w:b w:val="0"/>
          <w:bCs w:val="0"/>
          <w:kern w:val="2"/>
          <w:sz w:val="32"/>
          <w:szCs w:val="40"/>
          <w:u w:val="none"/>
          <w:lang w:val="en-US" w:eastAsia="zh-CN" w:bidi="ar-SA"/>
        </w:rPr>
        <w:t>依托广州中医药大学资源、平台，持续开展中医人才专项培训、培养计划，培养高层次中医临床和科研人才，加强中医骨干、学科带头人和基层实用型中医药人才的培养。</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b w:val="0"/>
          <w:bCs w:val="0"/>
          <w:kern w:val="2"/>
          <w:sz w:val="32"/>
          <w:szCs w:val="40"/>
          <w:u w:val="none"/>
          <w:lang w:val="en-US" w:eastAsia="zh-CN" w:bidi="ar-SA"/>
        </w:rPr>
      </w:pPr>
      <w:r>
        <w:rPr>
          <w:rFonts w:hint="eastAsia" w:ascii="黑体" w:hAnsi="黑体" w:eastAsia="黑体" w:cs="黑体"/>
          <w:b w:val="0"/>
          <w:bCs w:val="0"/>
          <w:kern w:val="2"/>
          <w:sz w:val="32"/>
          <w:szCs w:val="40"/>
          <w:u w:val="none"/>
          <w:lang w:val="en-US" w:eastAsia="zh-CN" w:bidi="ar-SA"/>
        </w:rPr>
        <w:t>第四节  健全中医药人才评价和激励机制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kern w:val="2"/>
          <w:sz w:val="32"/>
          <w:szCs w:val="40"/>
          <w:u w:val="none"/>
          <w:lang w:val="en-US" w:eastAsia="zh-CN" w:bidi="ar-SA"/>
        </w:rPr>
      </w:pPr>
      <w:r>
        <w:rPr>
          <w:rFonts w:hint="eastAsia" w:ascii="仿宋_GB2312" w:hAnsi="仿宋_GB2312" w:eastAsia="仿宋_GB2312" w:cs="仿宋_GB2312"/>
          <w:b w:val="0"/>
          <w:bCs w:val="0"/>
          <w:kern w:val="2"/>
          <w:sz w:val="32"/>
          <w:szCs w:val="40"/>
          <w:u w:val="none"/>
          <w:lang w:val="en-US" w:eastAsia="zh-CN" w:bidi="ar-SA"/>
        </w:rPr>
        <w:t>建立符合中医药规律的人才评价标准，强化中医思维与临床能力，将中医药学才能、医德医风作为主要评价标准，将会看病、看好病作为中医医师的主要评价内容，中医药专业技术人员职称评聘注重业务能力和工作实绩。建立中医药人才表彰奖励长效机制。落实确有专长人员考核办法，加强中医（专长）医师培训和定期考核，促进民间特色技术疗法的传承发展。设置包括中医类别全科医生在内的基层紧缺专业特设岗位，提供中医药服务，引导和鼓励优秀中医药人才向基层流动，进一步稳定和发展基层中医全科医生队伍。</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56"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color w:val="000000"/>
                <w:spacing w:val="0"/>
                <w:w w:val="100"/>
                <w:position w:val="0"/>
                <w:sz w:val="28"/>
                <w:szCs w:val="28"/>
                <w:shd w:val="clear" w:color="auto" w:fill="auto"/>
                <w:lang w:val="en-US" w:eastAsia="zh-CN"/>
              </w:rPr>
            </w:pPr>
            <w:r>
              <w:rPr>
                <w:rFonts w:hint="eastAsia" w:ascii="黑体" w:hAnsi="黑体" w:eastAsia="黑体" w:cs="黑体"/>
                <w:b w:val="0"/>
                <w:bCs w:val="0"/>
                <w:color w:val="000000"/>
                <w:spacing w:val="0"/>
                <w:w w:val="100"/>
                <w:position w:val="0"/>
                <w:sz w:val="28"/>
                <w:szCs w:val="28"/>
                <w:shd w:val="clear" w:color="auto" w:fill="auto"/>
                <w:lang w:val="en-US" w:eastAsia="zh-CN"/>
              </w:rPr>
              <w:t>专栏5中医药特色人才队伍建设工程</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kern w:val="2"/>
                <w:sz w:val="32"/>
                <w:szCs w:val="40"/>
                <w:u w:val="none"/>
                <w:vertAlign w:val="baseline"/>
                <w:lang w:val="en-US" w:eastAsia="zh-CN" w:bidi="ar-SA"/>
              </w:rPr>
            </w:pPr>
            <w:r>
              <w:rPr>
                <w:rFonts w:hint="eastAsia" w:ascii="黑体" w:hAnsi="黑体" w:eastAsia="黑体" w:cs="黑体"/>
                <w:b w:val="0"/>
                <w:bCs w:val="0"/>
                <w:color w:val="000000"/>
                <w:spacing w:val="0"/>
                <w:w w:val="100"/>
                <w:position w:val="0"/>
                <w:sz w:val="28"/>
                <w:szCs w:val="28"/>
                <w:shd w:val="clear" w:color="auto" w:fill="auto"/>
                <w:lang w:val="en-US" w:eastAsia="zh-CN"/>
              </w:rPr>
              <w:t>（葛洪中医药人才培养计划）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Pr>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t>1.中医药高端人才支持项目</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b w:val="0"/>
                <w:bCs w:val="0"/>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b w:val="0"/>
                <w:bCs w:val="0"/>
                <w:color w:val="000000"/>
                <w:spacing w:val="0"/>
                <w:w w:val="100"/>
                <w:position w:val="0"/>
                <w:sz w:val="24"/>
                <w:szCs w:val="32"/>
                <w:shd w:val="clear" w:color="auto" w:fill="auto"/>
                <w:vertAlign w:val="baseline"/>
                <w:lang w:val="en-US" w:eastAsia="zh-CN"/>
              </w:rPr>
              <w:t>培养和造就4名中医药领军人才，开展名老中医药专家传承工作室建设，申报省名老中医药专家学术经验继承项目，建设中医药人才梯队，打造领军人才品牌。</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t>2.基层中医药骨干人才培养培训项目</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b w:val="0"/>
                <w:bCs w:val="0"/>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b w:val="0"/>
                <w:bCs w:val="0"/>
                <w:color w:val="000000"/>
                <w:spacing w:val="0"/>
                <w:w w:val="100"/>
                <w:position w:val="0"/>
                <w:sz w:val="24"/>
                <w:szCs w:val="32"/>
                <w:shd w:val="clear" w:color="auto" w:fill="auto"/>
                <w:vertAlign w:val="baseline"/>
                <w:lang w:val="en-US" w:eastAsia="zh-CN"/>
              </w:rPr>
              <w:t>实施中医师承“薪火工程”，争取省级名医名家开展对口师承带教，铸造6名中医专家，带教培养10名基层中医药骨干人才，推动名医资源辐射基层。配合省卫生健康委完成中医专业农村订单定向医学生培养和中医类别全科医生转岗（岗位）、助理全科医生培训。依托县级网络平台开展县级中医骨干人才和基层卫生技术人员中医药知识与技能培训。</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color w:val="000000"/>
                <w:spacing w:val="0"/>
                <w:w w:val="100"/>
                <w:position w:val="0"/>
                <w:sz w:val="24"/>
                <w:szCs w:val="32"/>
                <w:highlight w:val="none"/>
                <w:shd w:val="clear" w:color="auto" w:fill="auto"/>
                <w:vertAlign w:val="baseline"/>
                <w:lang w:val="en-US" w:eastAsia="zh-CN"/>
              </w:rPr>
            </w:pPr>
            <w:r>
              <w:rPr>
                <w:rFonts w:hint="eastAsia" w:ascii="仿宋_GB2312" w:hAnsi="仿宋_GB2312" w:eastAsia="仿宋_GB2312" w:cs="仿宋_GB2312"/>
                <w:b/>
                <w:bCs/>
                <w:color w:val="000000"/>
                <w:spacing w:val="0"/>
                <w:w w:val="100"/>
                <w:position w:val="0"/>
                <w:sz w:val="24"/>
                <w:szCs w:val="32"/>
                <w:highlight w:val="none"/>
                <w:shd w:val="clear" w:color="auto" w:fill="auto"/>
                <w:vertAlign w:val="baseline"/>
                <w:lang w:val="en-US" w:eastAsia="zh-CN"/>
              </w:rPr>
              <w:t>3.中医药特色人才培养平台建设项目</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b w:val="0"/>
                <w:bCs w:val="0"/>
                <w:kern w:val="2"/>
                <w:sz w:val="32"/>
                <w:szCs w:val="40"/>
                <w:u w:val="none"/>
                <w:vertAlign w:val="baseline"/>
                <w:lang w:val="en-US" w:eastAsia="zh-CN" w:bidi="ar-SA"/>
              </w:rPr>
            </w:pPr>
            <w:r>
              <w:rPr>
                <w:rFonts w:hint="eastAsia" w:ascii="仿宋_GB2312" w:hAnsi="仿宋_GB2312" w:eastAsia="仿宋_GB2312" w:cs="仿宋_GB2312"/>
                <w:b w:val="0"/>
                <w:bCs w:val="0"/>
                <w:color w:val="000000"/>
                <w:spacing w:val="0"/>
                <w:w w:val="100"/>
                <w:position w:val="0"/>
                <w:sz w:val="24"/>
                <w:szCs w:val="32"/>
                <w:highlight w:val="none"/>
                <w:shd w:val="clear" w:color="auto" w:fill="auto"/>
                <w:vertAlign w:val="baseline"/>
                <w:lang w:val="en-US" w:eastAsia="zh-CN"/>
              </w:rPr>
              <w:t>加强中医类别助理全科培训基地建设。加强中医住院医师规范化培训基地建设，重点做好实践技能培训中心建设和师资队伍培养。建设一批基层人才培养基地，提升中医药人才培养能力。</w:t>
            </w: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方正小标宋简体" w:hAnsi="方正小标宋简体" w:eastAsia="方正小标宋简体" w:cs="方正小标宋简体"/>
          <w:color w:val="auto"/>
          <w:sz w:val="32"/>
          <w:szCs w:val="40"/>
          <w:lang w:val="en-US" w:eastAsia="zh-CN"/>
        </w:rPr>
      </w:pPr>
      <w:r>
        <w:rPr>
          <w:rFonts w:hint="eastAsia" w:ascii="方正小标宋简体" w:hAnsi="方正小标宋简体" w:eastAsia="方正小标宋简体" w:cs="方正小标宋简体"/>
          <w:color w:val="auto"/>
          <w:sz w:val="32"/>
          <w:szCs w:val="40"/>
          <w:lang w:val="en-US" w:eastAsia="zh-CN"/>
        </w:rPr>
        <w:t>第六章  大力发展中医药健康产业</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仿宋_GB2312" w:hAnsi="仿宋_GB2312" w:eastAsia="仿宋_GB2312" w:cs="仿宋_GB2312"/>
          <w:b w:val="0"/>
          <w:bCs w:val="0"/>
          <w:kern w:val="2"/>
          <w:sz w:val="32"/>
          <w:szCs w:val="40"/>
          <w:highlight w:val="none"/>
          <w:u w:val="none"/>
          <w:lang w:val="en-US" w:eastAsia="zh-CN" w:bidi="ar-SA"/>
        </w:rPr>
      </w:pPr>
      <w:r>
        <w:rPr>
          <w:rFonts w:hint="eastAsia" w:ascii="黑体" w:hAnsi="黑体" w:eastAsia="黑体" w:cs="黑体"/>
          <w:b w:val="0"/>
          <w:bCs w:val="0"/>
          <w:kern w:val="2"/>
          <w:sz w:val="32"/>
          <w:szCs w:val="40"/>
          <w:highlight w:val="none"/>
          <w:u w:val="none"/>
          <w:lang w:val="en-US" w:eastAsia="zh-CN" w:bidi="ar-SA"/>
        </w:rPr>
        <w:t>第一节  健全中药质量保障体系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kern w:val="2"/>
          <w:sz w:val="32"/>
          <w:szCs w:val="40"/>
          <w:highlight w:val="yellow"/>
          <w:u w:val="none"/>
          <w:lang w:val="en-US" w:eastAsia="zh-CN" w:bidi="ar-SA"/>
        </w:rPr>
      </w:pPr>
      <w:r>
        <w:rPr>
          <w:rFonts w:hint="eastAsia" w:ascii="仿宋_GB2312" w:hAnsi="仿宋_GB2312" w:eastAsia="仿宋_GB2312" w:cs="仿宋_GB2312"/>
          <w:b w:val="0"/>
          <w:bCs w:val="0"/>
          <w:kern w:val="2"/>
          <w:sz w:val="32"/>
          <w:szCs w:val="40"/>
          <w:highlight w:val="none"/>
          <w:u w:val="none"/>
          <w:lang w:val="en-US" w:eastAsia="zh-CN" w:bidi="ar-SA"/>
        </w:rPr>
        <w:t>加强中药材资源保护与利用。加强岭南中药材产地土壤、水环境及中药材质量安全监管，规范中药材种植养殖、种源及全过程溯源管理。落实《广东省中药材标准》《广东省中药饮片炮制规范》《广东省中药配方颗粒标准》等地方药材标准和省级饮片炮制规范，推动中药饮片标准从单一的饮片质量检验标准向中药全产业链质量标准的转化。支持医疗机构根据临床用药需要开展中药饮片炮制和再加工的标准化研究。鼓励医疗机构在省级饮片炮制规范中对临床习用的具有地方炮制特色和沿用历史的品种进行补充。鼓励结合传统炮制方法和现代生产技术手段，开展中药饮片炮制技术研究，全面提升中药质量控制水平，促进医疗机构中药饮片调配的标准化和智能化。推进中药材全产业链发展和转化增值。培育名优中成药大品种，对中医药企业予以保护、建设和推广，打造岭南特色中药品牌。</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b w:val="0"/>
          <w:bCs w:val="0"/>
          <w:kern w:val="2"/>
          <w:sz w:val="32"/>
          <w:szCs w:val="40"/>
          <w:u w:val="none"/>
          <w:lang w:val="en-US" w:eastAsia="zh-CN" w:bidi="ar-SA"/>
        </w:rPr>
      </w:pPr>
      <w:r>
        <w:rPr>
          <w:rFonts w:hint="eastAsia" w:ascii="黑体" w:hAnsi="黑体" w:eastAsia="黑体" w:cs="黑体"/>
          <w:b w:val="0"/>
          <w:bCs w:val="0"/>
          <w:kern w:val="2"/>
          <w:sz w:val="32"/>
          <w:szCs w:val="40"/>
          <w:u w:val="none"/>
          <w:lang w:val="en-US" w:eastAsia="zh-CN" w:bidi="ar-SA"/>
        </w:rPr>
        <w:t>第二节  推动中医药健康服务产业高质量发展</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val="0"/>
          <w:bCs w:val="0"/>
          <w:kern w:val="2"/>
          <w:sz w:val="32"/>
          <w:szCs w:val="40"/>
          <w:u w:val="none"/>
          <w:lang w:val="en-US" w:eastAsia="zh-CN" w:bidi="ar-SA"/>
        </w:rPr>
      </w:pPr>
      <w:r>
        <w:rPr>
          <w:rFonts w:hint="eastAsia" w:ascii="仿宋_GB2312" w:hAnsi="仿宋_GB2312" w:eastAsia="仿宋_GB2312" w:cs="仿宋_GB2312"/>
          <w:b/>
          <w:bCs/>
          <w:kern w:val="2"/>
          <w:sz w:val="32"/>
          <w:szCs w:val="40"/>
          <w:highlight w:val="none"/>
          <w:u w:val="none"/>
          <w:lang w:val="en-US" w:eastAsia="zh-CN" w:bidi="ar-SA"/>
        </w:rPr>
        <w:t>大力发展中医药产业项目。</w:t>
      </w:r>
      <w:r>
        <w:rPr>
          <w:rFonts w:hint="eastAsia" w:ascii="仿宋_GB2312" w:hAnsi="仿宋_GB2312" w:eastAsia="仿宋_GB2312" w:cs="仿宋_GB2312"/>
          <w:kern w:val="0"/>
          <w:sz w:val="32"/>
          <w:szCs w:val="32"/>
        </w:rPr>
        <w:t>完善大健康产业结构，</w:t>
      </w:r>
      <w:r>
        <w:rPr>
          <w:rFonts w:hint="eastAsia" w:ascii="仿宋_GB2312" w:hAnsi="仿宋_GB2312" w:eastAsia="仿宋_GB2312" w:cs="仿宋_GB2312"/>
          <w:color w:val="auto"/>
          <w:spacing w:val="0"/>
          <w:sz w:val="32"/>
          <w:szCs w:val="32"/>
          <w:shd w:val="clear" w:color="auto" w:fill="auto"/>
          <w:lang w:eastAsia="zh-CN"/>
        </w:rPr>
        <w:t>加强中医药产业项目合作，</w:t>
      </w:r>
      <w:r>
        <w:rPr>
          <w:rFonts w:hint="eastAsia" w:ascii="仿宋_GB2312" w:eastAsia="仿宋_GB2312"/>
          <w:sz w:val="32"/>
          <w:szCs w:val="32"/>
        </w:rPr>
        <w:t>引进大型中医药项目，</w:t>
      </w:r>
      <w:r>
        <w:rPr>
          <w:rFonts w:hint="eastAsia" w:ascii="仿宋_GB2312" w:hAnsi="仿宋_GB2312" w:eastAsia="仿宋_GB2312" w:cs="仿宋_GB2312"/>
          <w:color w:val="auto"/>
          <w:spacing w:val="0"/>
          <w:sz w:val="32"/>
          <w:szCs w:val="32"/>
          <w:shd w:val="clear" w:color="auto" w:fill="auto"/>
          <w:lang w:eastAsia="zh-CN"/>
        </w:rPr>
        <w:t>大力发展中医药特色健康产业，创新机制体制，加快推进“中医药</w:t>
      </w:r>
      <w:r>
        <w:rPr>
          <w:rFonts w:hint="eastAsia" w:ascii="仿宋_GB2312" w:hAnsi="仿宋_GB2312" w:eastAsia="仿宋_GB2312" w:cs="仿宋_GB2312"/>
          <w:color w:val="auto"/>
          <w:spacing w:val="0"/>
          <w:sz w:val="32"/>
          <w:szCs w:val="32"/>
          <w:shd w:val="clear" w:color="auto" w:fill="auto"/>
          <w:lang w:val="en-US" w:eastAsia="zh-CN"/>
        </w:rPr>
        <w:t>+产业</w:t>
      </w:r>
      <w:r>
        <w:rPr>
          <w:rFonts w:hint="eastAsia" w:ascii="仿宋_GB2312" w:hAnsi="仿宋_GB2312" w:eastAsia="仿宋_GB2312" w:cs="仿宋_GB2312"/>
          <w:color w:val="auto"/>
          <w:spacing w:val="0"/>
          <w:sz w:val="32"/>
          <w:szCs w:val="32"/>
          <w:shd w:val="clear" w:color="auto" w:fill="auto"/>
          <w:lang w:eastAsia="zh-CN"/>
        </w:rPr>
        <w:t>”的融合发展。大力扶持江涛创新园和香雪制药等项目建设，加快在建项目早日建成投产形成规模，逐步做大做强我市中医药产业。</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val="0"/>
          <w:bCs w:val="0"/>
          <w:kern w:val="2"/>
          <w:sz w:val="32"/>
          <w:szCs w:val="40"/>
          <w:u w:val="none"/>
          <w:lang w:val="en-US" w:eastAsia="zh-CN" w:bidi="ar-SA"/>
        </w:rPr>
      </w:pPr>
      <w:r>
        <w:rPr>
          <w:rFonts w:hint="eastAsia" w:ascii="仿宋_GB2312" w:hAnsi="仿宋_GB2312" w:eastAsia="仿宋_GB2312" w:cs="仿宋_GB2312"/>
          <w:b/>
          <w:bCs/>
          <w:kern w:val="2"/>
          <w:sz w:val="32"/>
          <w:szCs w:val="40"/>
          <w:highlight w:val="none"/>
          <w:u w:val="none"/>
          <w:lang w:val="en-US" w:eastAsia="zh-CN" w:bidi="ar-SA"/>
        </w:rPr>
        <w:t>大力发展中医药养生保健服务。</w:t>
      </w:r>
      <w:r>
        <w:rPr>
          <w:rFonts w:hint="eastAsia" w:ascii="仿宋_GB2312" w:hAnsi="仿宋_GB2312" w:eastAsia="仿宋_GB2312" w:cs="仿宋_GB2312"/>
          <w:b w:val="0"/>
          <w:bCs w:val="0"/>
          <w:kern w:val="2"/>
          <w:sz w:val="32"/>
          <w:szCs w:val="40"/>
          <w:u w:val="none"/>
          <w:lang w:val="en-US" w:eastAsia="zh-CN" w:bidi="ar-SA"/>
        </w:rPr>
        <w:t>推广中医养生保健服务，促进中医健康状态辨识与评估、咨询指导、健康干预、健康管理等服务规范开展。推广中医药养生保健方法及太极拳、八段锦等中医传统运动，推动形成“医体结合”的健康服务模式。建立和完善中医养生保健服务的规范与标准。鼓励社会力量举办以老年人为主要服务对象的养生保健机构。</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val="0"/>
          <w:bCs w:val="0"/>
          <w:kern w:val="2"/>
          <w:sz w:val="32"/>
          <w:szCs w:val="40"/>
          <w:u w:val="none"/>
          <w:lang w:val="en-US" w:eastAsia="zh-CN" w:bidi="ar-SA"/>
        </w:rPr>
      </w:pPr>
      <w:r>
        <w:rPr>
          <w:rFonts w:hint="eastAsia" w:ascii="仿宋_GB2312" w:hAnsi="仿宋_GB2312" w:eastAsia="仿宋_GB2312" w:cs="仿宋_GB2312"/>
          <w:b/>
          <w:bCs/>
          <w:kern w:val="2"/>
          <w:sz w:val="32"/>
          <w:szCs w:val="40"/>
          <w:highlight w:val="none"/>
          <w:u w:val="none"/>
          <w:lang w:val="en-US" w:eastAsia="zh-CN" w:bidi="ar-SA"/>
        </w:rPr>
        <w:t>大力发展中医药健康旅游。</w:t>
      </w:r>
      <w:r>
        <w:rPr>
          <w:rFonts w:hint="eastAsia" w:ascii="仿宋_GB2312" w:hAnsi="仿宋_GB2312" w:eastAsia="仿宋_GB2312" w:cs="仿宋_GB2312"/>
          <w:b w:val="0"/>
          <w:bCs w:val="0"/>
          <w:kern w:val="2"/>
          <w:sz w:val="32"/>
          <w:szCs w:val="40"/>
          <w:u w:val="none"/>
          <w:lang w:val="en-US" w:eastAsia="zh-CN" w:bidi="ar-SA"/>
        </w:rPr>
        <w:t>助推我市“冬养汕尾·生态旅游示范区”创建工作，充分利用汕尾气候适宜、空气清新、交通便捷、风景优美的优势，发掘汕尾高质量的康养憩息资源，引进中医养生康复项目，推进生态气候旅游与康养休闲深度融合，助力“冬养汕尾”全域旅游长足发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kern w:val="2"/>
                <w:sz w:val="32"/>
                <w:szCs w:val="40"/>
                <w:u w:val="none"/>
                <w:vertAlign w:val="baseline"/>
                <w:lang w:val="en-US" w:eastAsia="zh-CN" w:bidi="ar-SA"/>
              </w:rPr>
            </w:pPr>
            <w:r>
              <w:rPr>
                <w:rFonts w:hint="eastAsia" w:ascii="黑体" w:hAnsi="黑体" w:eastAsia="黑体" w:cs="黑体"/>
                <w:b w:val="0"/>
                <w:bCs w:val="0"/>
                <w:color w:val="000000"/>
                <w:spacing w:val="0"/>
                <w:w w:val="100"/>
                <w:position w:val="0"/>
                <w:sz w:val="28"/>
                <w:szCs w:val="28"/>
                <w:shd w:val="clear" w:color="auto" w:fill="auto"/>
                <w:lang w:val="en-US" w:eastAsia="zh-CN"/>
              </w:rPr>
              <w:t>专栏6  中医药产业高质量发展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Pr>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t>1.发展中医药特色健康产业</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b w:val="0"/>
                <w:bCs w:val="0"/>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b w:val="0"/>
                <w:bCs w:val="0"/>
                <w:color w:val="000000"/>
                <w:spacing w:val="0"/>
                <w:w w:val="100"/>
                <w:position w:val="0"/>
                <w:sz w:val="24"/>
                <w:szCs w:val="32"/>
                <w:shd w:val="clear" w:color="auto" w:fill="auto"/>
                <w:vertAlign w:val="baseline"/>
                <w:lang w:val="en-US" w:eastAsia="zh-CN"/>
              </w:rPr>
              <w:t>加大力度引进和扶持高端合作主体，推进“中医药+产业”融合发展，建设研究与开发、企业技术与工程中心、生产基地于一体的大型现代化大健康产业链。大力扶持在建项目早日建成投产，推进中药智能物联配送平台、中医药大数据平台、基因检测及精准中医诊疗平台建设。</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t>2.打造一批中医养生康复项目</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b w:val="0"/>
                <w:bCs w:val="0"/>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b w:val="0"/>
                <w:bCs w:val="0"/>
                <w:color w:val="000000"/>
                <w:spacing w:val="0"/>
                <w:w w:val="100"/>
                <w:position w:val="0"/>
                <w:sz w:val="24"/>
                <w:szCs w:val="32"/>
                <w:shd w:val="clear" w:color="auto" w:fill="auto"/>
                <w:vertAlign w:val="baseline"/>
                <w:lang w:val="en-US" w:eastAsia="zh-CN"/>
              </w:rPr>
              <w:t>以“冬养汕尾·生态旅游示范区”创建工作为契机，打造一批融合中医药与旅游于一体的“中医药特色小镇”，串珠成链，形成“候鸟式”养老首选之地，推出中医药文旅主题线路和产品。</w:t>
            </w: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方正小标宋简体" w:hAnsi="方正小标宋简体" w:eastAsia="方正小标宋简体" w:cs="方正小标宋简体"/>
          <w:color w:val="auto"/>
          <w:sz w:val="32"/>
          <w:szCs w:val="40"/>
          <w:lang w:val="en-US" w:eastAsia="zh-CN"/>
        </w:rPr>
      </w:pPr>
      <w:bookmarkStart w:id="6" w:name="bookmark31"/>
      <w:r>
        <w:rPr>
          <w:rFonts w:hint="eastAsia" w:ascii="方正小标宋简体" w:hAnsi="方正小标宋简体" w:eastAsia="方正小标宋简体" w:cs="方正小标宋简体"/>
          <w:color w:val="auto"/>
          <w:sz w:val="32"/>
          <w:szCs w:val="40"/>
          <w:lang w:val="en-US" w:eastAsia="zh-CN"/>
        </w:rPr>
        <w:t>第七章  推进中医药文化繁荣发展</w:t>
      </w:r>
      <w:bookmarkEnd w:id="6"/>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b w:val="0"/>
          <w:bCs w:val="0"/>
          <w:kern w:val="2"/>
          <w:sz w:val="32"/>
          <w:szCs w:val="40"/>
          <w:u w:val="none"/>
          <w:lang w:val="en-US" w:eastAsia="zh-CN" w:bidi="ar-SA"/>
        </w:rPr>
      </w:pPr>
      <w:r>
        <w:rPr>
          <w:rFonts w:hint="eastAsia" w:ascii="黑体" w:hAnsi="黑体" w:eastAsia="黑体" w:cs="黑体"/>
          <w:b w:val="0"/>
          <w:bCs w:val="0"/>
          <w:kern w:val="2"/>
          <w:sz w:val="32"/>
          <w:szCs w:val="40"/>
          <w:u w:val="none"/>
          <w:lang w:val="en-US" w:eastAsia="zh-CN" w:bidi="ar-SA"/>
        </w:rPr>
        <w:t>第一节  挖掘传承中医药文化精髓</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深入挖掘和传承岭南中医药精华精髓，激活中医药文化资源，传承岭南中医药文化，不断提升中医药文化辐射力、影响力。加强名老中医生平事迹、医案及处方的整理和省名中医的学术思想及临床经验的推广。加强中医药继承与创新，收集整理民间验方技法。加强岭南中医药文化遗产保护,鼓励各地深入发掘本地区中医药文化历史，打造中医药文化地方特色品牌。</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b w:val="0"/>
          <w:bCs w:val="0"/>
          <w:kern w:val="2"/>
          <w:sz w:val="32"/>
          <w:szCs w:val="40"/>
          <w:u w:val="none"/>
          <w:lang w:val="en-US" w:eastAsia="zh-CN" w:bidi="ar-SA"/>
        </w:rPr>
      </w:pPr>
      <w:r>
        <w:rPr>
          <w:rFonts w:hint="eastAsia" w:ascii="黑体" w:hAnsi="黑体" w:eastAsia="黑体" w:cs="黑体"/>
          <w:b w:val="0"/>
          <w:bCs w:val="0"/>
          <w:kern w:val="2"/>
          <w:sz w:val="32"/>
          <w:szCs w:val="40"/>
          <w:u w:val="none"/>
          <w:lang w:val="en-US" w:eastAsia="zh-CN" w:bidi="ar-SA"/>
        </w:rPr>
        <w:t>第二节  推动中医药文化弘扬传播</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深化打造“大医精诚”中医药文化品牌，持续开展“中医药文化传播行动”等品牌活动，推进中医药健康文化进农村、进社区、进校园、进机关、进企业、进家庭，进一步加大中医药医疗保健知识的普及面，提升全市居民中医药健康文化素养水平。建设市级中医药文化科普宣传教育基地和中医药文化宣传平台，积极创建省级中医药文化宣传教育基地，形成完善的中医药文化宣传教育基地体系。建设市城区、海丰县、陆丰市示范性中医药健康文化知识角，提升人民群众中医药文化素养。</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b w:val="0"/>
          <w:bCs w:val="0"/>
          <w:kern w:val="2"/>
          <w:sz w:val="32"/>
          <w:szCs w:val="40"/>
          <w:u w:val="none"/>
          <w:lang w:val="en-US" w:eastAsia="zh-CN" w:bidi="ar-SA"/>
        </w:rPr>
      </w:pPr>
      <w:r>
        <w:rPr>
          <w:rFonts w:hint="eastAsia" w:ascii="黑体" w:hAnsi="黑体" w:eastAsia="黑体" w:cs="黑体"/>
          <w:b w:val="0"/>
          <w:bCs w:val="0"/>
          <w:kern w:val="2"/>
          <w:sz w:val="32"/>
          <w:szCs w:val="40"/>
          <w:u w:val="none"/>
          <w:lang w:val="en-US" w:eastAsia="zh-CN" w:bidi="ar-SA"/>
        </w:rPr>
        <w:t>第三节  推进中医药文化产业发展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推动中医药与文化产业融合发展，鼓励引导社会力量通过各种方式发展中医药文化产业，增加中医药文化产品和服务供给。开展中医药文化创意征集活动，激活中医药文创活力。推进中医药题材文化精品创作，积极引入社会力量策划推出中医药文化节目栏目，创作中医药文化纪录片、网络视频，鼓励引导广电、网络视听平台开办传播岭南中医药文化知识栏目。</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32"/>
                <w:szCs w:val="40"/>
                <w:vertAlign w:val="baseline"/>
                <w:lang w:val="en-US" w:eastAsia="zh-CN"/>
              </w:rPr>
            </w:pPr>
            <w:r>
              <w:rPr>
                <w:rFonts w:hint="eastAsia" w:ascii="黑体" w:hAnsi="黑体" w:eastAsia="黑体" w:cs="黑体"/>
                <w:b w:val="0"/>
                <w:bCs w:val="0"/>
                <w:color w:val="000000"/>
                <w:spacing w:val="0"/>
                <w:w w:val="100"/>
                <w:position w:val="0"/>
                <w:sz w:val="28"/>
                <w:szCs w:val="28"/>
                <w:shd w:val="clear" w:color="auto" w:fill="auto"/>
                <w:lang w:val="en-US" w:eastAsia="zh-CN"/>
              </w:rPr>
              <w:t>专栏7  大力弘扬传播中医药文化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Pr>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1</w:t>
            </w:r>
            <w:r>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t>.中医药文化内涵提升行动</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b w:val="0"/>
                <w:bCs w:val="0"/>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b w:val="0"/>
                <w:bCs w:val="0"/>
                <w:color w:val="000000"/>
                <w:spacing w:val="0"/>
                <w:w w:val="100"/>
                <w:position w:val="0"/>
                <w:sz w:val="24"/>
                <w:szCs w:val="32"/>
                <w:shd w:val="clear" w:color="auto" w:fill="auto"/>
                <w:vertAlign w:val="baseline"/>
                <w:lang w:val="en-US" w:eastAsia="zh-CN"/>
              </w:rPr>
              <w:t>加强中医药文化传播和交流合作，深化弘扬“大医精诚”，开展中医药科普宣传周、主题文化节、知识技能竞赛、义医义诊等形式多样的活动，传播科学准确的中医理念，充实文化内涵。</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t>2.中医药文化传播行动</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b w:val="0"/>
                <w:bCs w:val="0"/>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b w:val="0"/>
                <w:bCs w:val="0"/>
                <w:color w:val="000000"/>
                <w:spacing w:val="0"/>
                <w:w w:val="100"/>
                <w:position w:val="0"/>
                <w:sz w:val="24"/>
                <w:szCs w:val="32"/>
                <w:shd w:val="clear" w:color="auto" w:fill="auto"/>
                <w:vertAlign w:val="baseline"/>
                <w:lang w:val="en-US" w:eastAsia="zh-CN"/>
              </w:rPr>
              <w:t>建设市级中医药文化科普宣传教育基地和中医药文化宣传平台，积极创建省级中医药文化宣传教育基地，建设3个示范性中医药健康文化知识角。持续开展公民中医药健康文化素养水平监测。提升官方网站、官方微信公众号建设水平。</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t>3.中医药文化科普项目</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b w:val="0"/>
                <w:bCs w:val="0"/>
                <w:color w:val="000000"/>
                <w:spacing w:val="0"/>
                <w:w w:val="100"/>
                <w:position w:val="0"/>
                <w:sz w:val="24"/>
                <w:szCs w:val="32"/>
                <w:shd w:val="clear" w:color="auto" w:fill="auto"/>
                <w:vertAlign w:val="baseline"/>
                <w:lang w:val="en-US" w:eastAsia="zh-CN"/>
              </w:rPr>
              <w:t>加强中医药专题文艺创作，创作一批中医药文学、影视和网络视听作品，制作一批音视频等新媒体产品，推出一批中医药科普节目栏目。</w:t>
            </w: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方正小标宋简体" w:hAnsi="方正小标宋简体" w:eastAsia="方正小标宋简体" w:cs="方正小标宋简体"/>
          <w:color w:val="auto"/>
          <w:sz w:val="32"/>
          <w:szCs w:val="40"/>
          <w:lang w:val="en-US" w:eastAsia="zh-CN"/>
        </w:rPr>
      </w:pPr>
      <w:r>
        <w:rPr>
          <w:rFonts w:hint="eastAsia" w:ascii="方正小标宋简体" w:hAnsi="方正小标宋简体" w:eastAsia="方正小标宋简体" w:cs="方正小标宋简体"/>
          <w:color w:val="auto"/>
          <w:sz w:val="32"/>
          <w:szCs w:val="40"/>
          <w:lang w:val="en-US" w:eastAsia="zh-CN"/>
        </w:rPr>
        <w:t>第八章  推进中医药改革创新</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b w:val="0"/>
          <w:bCs w:val="0"/>
          <w:kern w:val="2"/>
          <w:sz w:val="32"/>
          <w:szCs w:val="40"/>
          <w:u w:val="none"/>
          <w:lang w:val="en-US" w:eastAsia="zh-CN" w:bidi="ar-SA"/>
        </w:rPr>
      </w:pPr>
      <w:r>
        <w:rPr>
          <w:rFonts w:hint="eastAsia" w:ascii="黑体" w:hAnsi="黑体" w:eastAsia="黑体" w:cs="黑体"/>
          <w:b w:val="0"/>
          <w:bCs w:val="0"/>
          <w:kern w:val="2"/>
          <w:sz w:val="32"/>
          <w:szCs w:val="40"/>
          <w:u w:val="none"/>
          <w:lang w:val="en-US" w:eastAsia="zh-CN" w:bidi="ar-SA"/>
        </w:rPr>
        <w:t>第一节  完善中医药价格和医保政策</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kern w:val="2"/>
          <w:sz w:val="32"/>
          <w:szCs w:val="40"/>
          <w:u w:val="none"/>
          <w:lang w:val="en-US" w:eastAsia="zh-CN" w:bidi="ar-SA"/>
        </w:rPr>
      </w:pPr>
      <w:r>
        <w:rPr>
          <w:rFonts w:hint="eastAsia" w:ascii="仿宋_GB2312" w:hAnsi="仿宋_GB2312" w:eastAsia="仿宋_GB2312" w:cs="Times New Roman"/>
          <w:kern w:val="0"/>
          <w:sz w:val="32"/>
          <w:szCs w:val="32"/>
        </w:rPr>
        <w:t>推进</w:t>
      </w:r>
      <w:r>
        <w:rPr>
          <w:rFonts w:hint="eastAsia" w:ascii="仿宋_GB2312" w:hAnsi="仿宋_GB2312" w:eastAsia="仿宋_GB2312" w:cs="Times New Roman"/>
          <w:kern w:val="0"/>
          <w:sz w:val="32"/>
          <w:szCs w:val="32"/>
          <w:lang w:eastAsia="zh-CN"/>
        </w:rPr>
        <w:t>优化</w:t>
      </w:r>
      <w:r>
        <w:rPr>
          <w:rFonts w:hint="eastAsia" w:ascii="仿宋_GB2312" w:hAnsi="仿宋_GB2312" w:eastAsia="仿宋_GB2312" w:cs="仿宋_GB2312"/>
          <w:b w:val="0"/>
          <w:bCs w:val="0"/>
          <w:kern w:val="2"/>
          <w:sz w:val="32"/>
          <w:szCs w:val="40"/>
          <w:u w:val="none"/>
          <w:lang w:val="en-US" w:eastAsia="zh-CN" w:bidi="ar-SA"/>
        </w:rPr>
        <w:t>中医医疗服务价格政策，充分考虑中医医疗服务特点，完善分级定价政策，落实医疗服务价格动态调整机制，将符合条件的中医医疗服务项目纳入调价范围。积极推动医疗机构炮制使用的中药饮片、中药制剂实行自主定价。开展中医药服务医保支付方式改革，建立健全具有中医药特点的医保支付体系。医保支付政策向基层中医医疗机构倾斜，支持基层医疗机构开展中医药服务。优化中医药医保目录管理，按照国家省、统一部署，及时将符合条件的中成药、中药饮片、中药类医院制剂纳入医保药品目录，支持将符合条件的中医诊疗项目纳入医保诊疗项目目录。</w:t>
      </w:r>
      <w:r>
        <w:rPr>
          <w:rFonts w:hint="eastAsia" w:ascii="仿宋_GB2312" w:hAnsi="仿宋_GB2312" w:eastAsia="仿宋_GB2312" w:cs="Times New Roman"/>
          <w:kern w:val="0"/>
          <w:sz w:val="32"/>
          <w:szCs w:val="32"/>
        </w:rPr>
        <w:t>完善中医药预防保健服务项目和内容，将符合条件的中药和中医治疗项目按规定纳入到基本医疗基金支付范围。</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b w:val="0"/>
          <w:bCs w:val="0"/>
          <w:kern w:val="2"/>
          <w:sz w:val="32"/>
          <w:szCs w:val="40"/>
          <w:u w:val="none"/>
          <w:lang w:val="en-US" w:eastAsia="zh-CN" w:bidi="ar-SA"/>
        </w:rPr>
      </w:pPr>
      <w:r>
        <w:rPr>
          <w:rFonts w:hint="eastAsia" w:ascii="黑体" w:hAnsi="黑体" w:eastAsia="黑体" w:cs="黑体"/>
          <w:b w:val="0"/>
          <w:bCs w:val="0"/>
          <w:kern w:val="2"/>
          <w:sz w:val="32"/>
          <w:szCs w:val="40"/>
          <w:u w:val="none"/>
          <w:lang w:val="en-US" w:eastAsia="zh-CN" w:bidi="ar-SA"/>
        </w:rPr>
        <w:t>第二节  建设中医药综合改革试点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kern w:val="2"/>
          <w:sz w:val="32"/>
          <w:szCs w:val="40"/>
          <w:u w:val="none"/>
          <w:lang w:val="en-US" w:eastAsia="zh-CN" w:bidi="ar-SA"/>
        </w:rPr>
      </w:pPr>
      <w:r>
        <w:rPr>
          <w:rFonts w:hint="eastAsia" w:ascii="仿宋_GB2312" w:hAnsi="仿宋_GB2312" w:eastAsia="仿宋_GB2312" w:cs="仿宋_GB2312"/>
          <w:b w:val="0"/>
          <w:bCs w:val="0"/>
          <w:color w:val="000000"/>
          <w:spacing w:val="0"/>
          <w:w w:val="100"/>
          <w:position w:val="0"/>
          <w:sz w:val="32"/>
          <w:szCs w:val="32"/>
          <w:shd w:val="clear" w:color="auto" w:fill="auto"/>
          <w:vertAlign w:val="baseline"/>
          <w:lang w:val="en-US" w:eastAsia="zh-CN"/>
        </w:rPr>
        <w:t>以省建设“国家中医药综合改革示范区”为契机，</w:t>
      </w:r>
      <w:r>
        <w:rPr>
          <w:rFonts w:hint="eastAsia" w:ascii="仿宋_GB2312" w:hAnsi="仿宋_GB2312" w:eastAsia="仿宋_GB2312" w:cs="仿宋_GB2312"/>
          <w:b w:val="0"/>
          <w:bCs w:val="0"/>
          <w:kern w:val="2"/>
          <w:sz w:val="32"/>
          <w:szCs w:val="40"/>
          <w:u w:val="none"/>
          <w:lang w:val="en-US" w:eastAsia="zh-CN" w:bidi="ar-SA"/>
        </w:rPr>
        <w:t>针对亟须突破的改革重点和难点，重点开展中医药服务模式、管理方式、产业发展、文化建设、质量监管等主题的探索创新，打造群众认可的中医药品牌，切实解决制约我市中医药发展的体制机制性问题，推动中医药事业和产业高质量发展，为推进中医药治理体系和治理能力现代化创造可复制可推广的汕尾经验。</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b w:val="0"/>
          <w:bCs w:val="0"/>
          <w:kern w:val="2"/>
          <w:sz w:val="32"/>
          <w:szCs w:val="40"/>
          <w:u w:val="none"/>
          <w:lang w:val="en-US" w:eastAsia="zh-CN" w:bidi="ar-SA"/>
        </w:rPr>
      </w:pPr>
      <w:r>
        <w:rPr>
          <w:rFonts w:hint="eastAsia" w:ascii="黑体" w:hAnsi="黑体" w:eastAsia="黑体" w:cs="黑体"/>
          <w:b w:val="0"/>
          <w:bCs w:val="0"/>
          <w:kern w:val="2"/>
          <w:sz w:val="32"/>
          <w:szCs w:val="40"/>
          <w:u w:val="none"/>
          <w:lang w:val="en-US" w:eastAsia="zh-CN" w:bidi="ar-SA"/>
        </w:rPr>
        <w:t>第三节  构建适合中医药传承创新发展的评价体系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kern w:val="2"/>
          <w:sz w:val="32"/>
          <w:szCs w:val="40"/>
          <w:u w:val="none"/>
          <w:lang w:val="en-US" w:eastAsia="zh-CN" w:bidi="ar-SA"/>
        </w:rPr>
      </w:pPr>
      <w:r>
        <w:rPr>
          <w:rFonts w:hint="eastAsia" w:ascii="仿宋_GB2312" w:hAnsi="仿宋_GB2312" w:eastAsia="仿宋_GB2312" w:cs="仿宋_GB2312"/>
          <w:b w:val="0"/>
          <w:bCs w:val="0"/>
          <w:kern w:val="2"/>
          <w:sz w:val="32"/>
          <w:szCs w:val="40"/>
          <w:u w:val="none"/>
          <w:lang w:val="en-US" w:eastAsia="zh-CN" w:bidi="ar-SA"/>
        </w:rPr>
        <w:t>兼顾现代科学基本要求和中医药自身特点，坚持宏观和微观结合，定性和定量结合，形成科学的评价体系。完善符合中医医院实际的中医医院管理指南、中医药特色评价指南、绩效考核评价体系等。建立传统评价指标与现代临床评价指标并行、融合的中医临床评价体系。完善对中医临床专业人员以临床医疗医技水平、实践操作能力和工作业绩为主的职称评聘、技能鉴定等制度。建立注重中医理论指导、解决临床实际问题的科研规划、组织、验收等管理机制和评价体系。</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kern w:val="2"/>
                <w:sz w:val="32"/>
                <w:szCs w:val="40"/>
                <w:u w:val="none"/>
                <w:vertAlign w:val="baseline"/>
                <w:lang w:val="en-US" w:eastAsia="zh-CN" w:bidi="ar-SA"/>
              </w:rPr>
            </w:pPr>
            <w:r>
              <w:rPr>
                <w:rFonts w:hint="eastAsia" w:ascii="黑体" w:hAnsi="黑体" w:eastAsia="黑体" w:cs="黑体"/>
                <w:b w:val="0"/>
                <w:bCs w:val="0"/>
                <w:kern w:val="2"/>
                <w:sz w:val="28"/>
                <w:szCs w:val="36"/>
                <w:u w:val="none"/>
                <w:vertAlign w:val="baseline"/>
                <w:lang w:val="en-US" w:eastAsia="zh-CN" w:bidi="ar-SA"/>
              </w:rPr>
              <w:t>专栏8  推进中医药改革创新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Pr>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t>1.中医药综合改革试点建设</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b w:val="0"/>
                <w:bCs w:val="0"/>
                <w:kern w:val="2"/>
                <w:sz w:val="32"/>
                <w:szCs w:val="40"/>
                <w:u w:val="none"/>
                <w:vertAlign w:val="baseline"/>
                <w:lang w:val="en-US" w:eastAsia="zh-CN" w:bidi="ar-SA"/>
              </w:rPr>
            </w:pPr>
            <w:r>
              <w:rPr>
                <w:rFonts w:hint="eastAsia" w:ascii="仿宋_GB2312" w:hAnsi="仿宋_GB2312" w:eastAsia="仿宋_GB2312" w:cs="仿宋_GB2312"/>
                <w:b w:val="0"/>
                <w:bCs w:val="0"/>
                <w:color w:val="000000"/>
                <w:spacing w:val="0"/>
                <w:w w:val="100"/>
                <w:position w:val="0"/>
                <w:sz w:val="24"/>
                <w:szCs w:val="32"/>
                <w:shd w:val="clear" w:color="auto" w:fill="auto"/>
                <w:vertAlign w:val="baseline"/>
                <w:lang w:val="en-US" w:eastAsia="zh-CN"/>
              </w:rPr>
              <w:t>以省建设“国家中医药综合改革示范区”为契机，在我市积极布局中医药服务模式、管理方式、产业发展、文化建设、质量监管等方面的改革试点，力争到2025年形成更加规范的中医药服务体系和服务模式、支撑有力的中医药人才培养和科技创新机制、高质量的中医药产业发展格局、健全高效的中医药管理体制和监管机制。</w:t>
            </w: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jc w:val="center"/>
        <w:textAlignment w:val="auto"/>
        <w:rPr>
          <w:rFonts w:hint="eastAsia" w:ascii="仿宋_GB2312" w:hAnsi="仿宋_GB2312" w:eastAsia="仿宋_GB2312" w:cs="仿宋_GB2312"/>
          <w:b w:val="0"/>
          <w:bCs w:val="0"/>
          <w:kern w:val="2"/>
          <w:sz w:val="32"/>
          <w:szCs w:val="40"/>
          <w:highlight w:val="none"/>
          <w:u w:val="none"/>
          <w:lang w:val="en-US" w:eastAsia="zh-CN" w:bidi="ar-SA"/>
        </w:rPr>
      </w:pPr>
      <w:r>
        <w:rPr>
          <w:rFonts w:hint="eastAsia" w:ascii="方正小标宋简体" w:hAnsi="方正小标宋简体" w:eastAsia="方正小标宋简体" w:cs="方正小标宋简体"/>
          <w:color w:val="auto"/>
          <w:sz w:val="32"/>
          <w:szCs w:val="40"/>
          <w:highlight w:val="none"/>
          <w:lang w:val="en-US" w:eastAsia="zh-CN"/>
        </w:rPr>
        <w:t>第九章  强化中医药发展的支撑保障</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b w:val="0"/>
          <w:bCs w:val="0"/>
          <w:kern w:val="2"/>
          <w:sz w:val="32"/>
          <w:szCs w:val="40"/>
          <w:highlight w:val="none"/>
          <w:u w:val="none"/>
          <w:lang w:val="en-US" w:eastAsia="zh-CN" w:bidi="ar-SA"/>
        </w:rPr>
      </w:pPr>
      <w:r>
        <w:rPr>
          <w:rFonts w:hint="eastAsia" w:ascii="黑体" w:hAnsi="黑体" w:eastAsia="黑体" w:cs="黑体"/>
          <w:b w:val="0"/>
          <w:bCs w:val="0"/>
          <w:kern w:val="2"/>
          <w:sz w:val="32"/>
          <w:szCs w:val="40"/>
          <w:highlight w:val="none"/>
          <w:u w:val="none"/>
          <w:lang w:val="en-US" w:eastAsia="zh-CN" w:bidi="ar-SA"/>
        </w:rPr>
        <w:t>第一节  提升中医药信息化水平</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val="0"/>
          <w:bCs w:val="0"/>
          <w:kern w:val="2"/>
          <w:sz w:val="32"/>
          <w:szCs w:val="40"/>
          <w:highlight w:val="none"/>
          <w:u w:val="none"/>
          <w:lang w:val="en-US" w:eastAsia="zh-CN" w:bidi="ar-SA"/>
        </w:rPr>
      </w:pPr>
      <w:r>
        <w:rPr>
          <w:rFonts w:hint="eastAsia" w:ascii="仿宋_GB2312" w:hAnsi="仿宋_GB2312" w:eastAsia="仿宋_GB2312" w:cs="仿宋_GB2312"/>
          <w:b/>
          <w:bCs/>
          <w:kern w:val="2"/>
          <w:sz w:val="32"/>
          <w:szCs w:val="40"/>
          <w:highlight w:val="none"/>
          <w:u w:val="none"/>
          <w:lang w:val="en-US" w:eastAsia="zh-CN" w:bidi="ar-SA"/>
        </w:rPr>
        <w:t>加强信息化支撑能力建设。</w:t>
      </w:r>
      <w:r>
        <w:rPr>
          <w:rFonts w:hint="eastAsia" w:ascii="仿宋_GB2312" w:hAnsi="仿宋_GB2312" w:eastAsia="仿宋_GB2312" w:cs="仿宋_GB2312"/>
          <w:b w:val="0"/>
          <w:bCs w:val="0"/>
          <w:kern w:val="2"/>
          <w:sz w:val="32"/>
          <w:szCs w:val="40"/>
          <w:highlight w:val="none"/>
          <w:u w:val="none"/>
          <w:lang w:val="en-US" w:eastAsia="zh-CN" w:bidi="ar-SA"/>
        </w:rPr>
        <w:t>推进市级中医医院建成后信息互联互通标准化和电子病历系统应用，推进中医馆健康信息平台和中医药适宜技术推广网络视频平台建设。强化中医药信息化人才队伍建设。推进县级中医医院信息化标准建设，提升基层中医医院互联网中医药服务能力。加强关键信息基础设施、数据应用服务的安全防护，增强自主可控技术应用。持续推进“互联网+医疗健康” “五个一服务行动”，推动中医医疗机构“一体化”共享、“一站式”结算等服务，推动中医药与互联网深度融合发展。</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val="0"/>
          <w:bCs w:val="0"/>
          <w:kern w:val="2"/>
          <w:sz w:val="32"/>
          <w:szCs w:val="40"/>
          <w:highlight w:val="none"/>
          <w:u w:val="none"/>
          <w:lang w:val="en-US" w:eastAsia="zh-CN" w:bidi="ar-SA"/>
        </w:rPr>
      </w:pPr>
      <w:r>
        <w:rPr>
          <w:rFonts w:hint="eastAsia" w:ascii="仿宋_GB2312" w:hAnsi="仿宋_GB2312" w:eastAsia="仿宋_GB2312" w:cs="仿宋_GB2312"/>
          <w:b/>
          <w:bCs/>
          <w:kern w:val="2"/>
          <w:sz w:val="32"/>
          <w:szCs w:val="40"/>
          <w:highlight w:val="none"/>
          <w:u w:val="none"/>
          <w:lang w:val="en-US" w:eastAsia="zh-CN" w:bidi="ar-SA"/>
        </w:rPr>
        <w:t>推进中医医院示范性智慧化建设。</w:t>
      </w:r>
      <w:r>
        <w:rPr>
          <w:rFonts w:hint="eastAsia" w:ascii="仿宋_GB2312" w:hAnsi="仿宋_GB2312" w:eastAsia="仿宋_GB2312" w:cs="仿宋_GB2312"/>
          <w:b w:val="0"/>
          <w:bCs w:val="0"/>
          <w:kern w:val="2"/>
          <w:sz w:val="32"/>
          <w:szCs w:val="40"/>
          <w:highlight w:val="none"/>
          <w:u w:val="none"/>
          <w:lang w:val="en-US" w:eastAsia="zh-CN" w:bidi="ar-SA"/>
        </w:rPr>
        <w:t>以智慧中医药服务、智慧中医特色诊疗和智慧中医医院管理为重点，积极推进示范性智慧中医医院建设。推动新一代信息技术在中医药健康服务中的试点应用研究。鼓励中医智能辅助诊疗系统等具有中医药特色信息系统的研发应用。强化中医医院数据管理，推动患者健康管理信息与诊疗信息融合，推进区域信息互认共享。不断提高中医医院信息化建设水平，积极开展电子病历系统应用水平分级评价和医院信息互联互通标准化成熟度测评。积极探索将互联网技术与中医健康服务相结合，实施“互联网+中医药”、“人工智能+中医服务”建设，推广移动医疗、智慧医疗、智慧中药房等新型服务模式。</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b w:val="0"/>
          <w:bCs w:val="0"/>
          <w:kern w:val="2"/>
          <w:sz w:val="32"/>
          <w:szCs w:val="40"/>
          <w:highlight w:val="none"/>
          <w:u w:val="none"/>
          <w:lang w:val="en-US" w:eastAsia="zh-CN" w:bidi="ar-SA"/>
        </w:rPr>
      </w:pPr>
      <w:r>
        <w:rPr>
          <w:rFonts w:hint="eastAsia" w:ascii="黑体" w:hAnsi="黑体" w:eastAsia="黑体" w:cs="黑体"/>
          <w:b w:val="0"/>
          <w:bCs w:val="0"/>
          <w:kern w:val="2"/>
          <w:sz w:val="32"/>
          <w:szCs w:val="40"/>
          <w:highlight w:val="none"/>
          <w:u w:val="none"/>
          <w:lang w:val="en-US" w:eastAsia="zh-CN" w:bidi="ar-SA"/>
        </w:rPr>
        <w:t>第二节  健全中医药法规体系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kern w:val="2"/>
          <w:sz w:val="32"/>
          <w:szCs w:val="40"/>
          <w:highlight w:val="none"/>
          <w:u w:val="none"/>
          <w:lang w:val="en-US" w:eastAsia="zh-CN" w:bidi="ar-SA"/>
        </w:rPr>
      </w:pPr>
      <w:r>
        <w:rPr>
          <w:rFonts w:hint="eastAsia" w:ascii="仿宋_GB2312" w:hAnsi="仿宋_GB2312" w:eastAsia="仿宋_GB2312" w:cs="仿宋_GB2312"/>
          <w:b w:val="0"/>
          <w:bCs w:val="0"/>
          <w:kern w:val="2"/>
          <w:sz w:val="32"/>
          <w:szCs w:val="40"/>
          <w:highlight w:val="none"/>
          <w:u w:val="none"/>
          <w:lang w:val="en-US" w:eastAsia="zh-CN" w:bidi="ar-SA"/>
        </w:rPr>
        <w:t>贯彻落实《广东省中医药条例》。建立健全适合中医药发展的政策机制，开展中医药改革、中药产业发展、中医医院运营管理等领域的重大理论、战略、政策问题研究。落实《中共中央国务院关于促进中医药传承创新发展的意见》《关于加快中医药特色发展的若干政策措施》《广东省委省政府关于促进中医药传承创新发展的若干措施》要求，推动各县区在中医药方面的资金投入及政策倾斜，加强对贯彻落实工作的统筹协调和督促指导。</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kern w:val="2"/>
                <w:sz w:val="32"/>
                <w:szCs w:val="40"/>
                <w:highlight w:val="none"/>
                <w:u w:val="none"/>
                <w:vertAlign w:val="baseline"/>
                <w:lang w:val="en-US" w:eastAsia="zh-CN" w:bidi="ar-SA"/>
              </w:rPr>
            </w:pPr>
            <w:r>
              <w:rPr>
                <w:rFonts w:hint="eastAsia" w:ascii="黑体" w:hAnsi="黑体" w:eastAsia="黑体" w:cs="黑体"/>
                <w:b w:val="0"/>
                <w:bCs w:val="0"/>
                <w:kern w:val="2"/>
                <w:sz w:val="28"/>
                <w:szCs w:val="36"/>
                <w:u w:val="none"/>
                <w:vertAlign w:val="baseline"/>
                <w:lang w:val="en-US" w:eastAsia="zh-CN" w:bidi="ar-SA"/>
              </w:rPr>
              <w:t>专栏9  中医药支撑保障建设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Pr>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t>1.基层中医药信息化能力提升项目</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b w:val="0"/>
                <w:bCs w:val="0"/>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b w:val="0"/>
                <w:bCs w:val="0"/>
                <w:color w:val="000000"/>
                <w:spacing w:val="0"/>
                <w:w w:val="100"/>
                <w:position w:val="0"/>
                <w:sz w:val="24"/>
                <w:szCs w:val="32"/>
                <w:shd w:val="clear" w:color="auto" w:fill="auto"/>
                <w:vertAlign w:val="baseline"/>
                <w:lang w:val="en-US" w:eastAsia="zh-CN"/>
              </w:rPr>
              <w:t>升级改造中医馆健康信息平台，扩大中医馆联通范围。以县级中医医院为重点，提升基层中医药医疗机构信息化水平。</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t>2.中医药标准制定与推广</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b w:val="0"/>
                <w:bCs w:val="0"/>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b w:val="0"/>
                <w:bCs w:val="0"/>
                <w:color w:val="000000"/>
                <w:spacing w:val="0"/>
                <w:w w:val="100"/>
                <w:position w:val="0"/>
                <w:sz w:val="24"/>
                <w:szCs w:val="32"/>
                <w:shd w:val="clear" w:color="auto" w:fill="auto"/>
                <w:vertAlign w:val="baseline"/>
                <w:lang w:val="en-US" w:eastAsia="zh-CN"/>
              </w:rPr>
              <w:t>加强中医药标准化建设，建立中医药标准化工作推进和落实机制。完善中药饮片炮制规范，促进医疗机构中药饮片调配的标准化和现代化。</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pPr>
            <w:r>
              <w:rPr>
                <w:rFonts w:hint="eastAsia" w:ascii="仿宋_GB2312" w:hAnsi="仿宋_GB2312" w:eastAsia="仿宋_GB2312" w:cs="仿宋_GB2312"/>
                <w:b/>
                <w:bCs/>
                <w:color w:val="000000"/>
                <w:spacing w:val="0"/>
                <w:w w:val="100"/>
                <w:position w:val="0"/>
                <w:sz w:val="24"/>
                <w:szCs w:val="32"/>
                <w:shd w:val="clear" w:color="auto" w:fill="auto"/>
                <w:vertAlign w:val="baseline"/>
                <w:lang w:val="en-US" w:eastAsia="zh-CN"/>
              </w:rPr>
              <w:t>3.中医药监督能力建设</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b w:val="0"/>
                <w:bCs w:val="0"/>
                <w:kern w:val="2"/>
                <w:sz w:val="32"/>
                <w:szCs w:val="40"/>
                <w:highlight w:val="none"/>
                <w:u w:val="none"/>
                <w:vertAlign w:val="baseline"/>
                <w:lang w:val="en-US" w:eastAsia="zh-CN" w:bidi="ar-SA"/>
              </w:rPr>
            </w:pPr>
            <w:r>
              <w:rPr>
                <w:rFonts w:hint="eastAsia" w:ascii="仿宋_GB2312" w:hAnsi="仿宋_GB2312" w:eastAsia="仿宋_GB2312" w:cs="仿宋_GB2312"/>
                <w:b w:val="0"/>
                <w:bCs w:val="0"/>
                <w:color w:val="000000"/>
                <w:spacing w:val="0"/>
                <w:w w:val="100"/>
                <w:position w:val="0"/>
                <w:sz w:val="24"/>
                <w:szCs w:val="32"/>
                <w:shd w:val="clear" w:color="auto" w:fill="auto"/>
                <w:vertAlign w:val="baseline"/>
                <w:lang w:val="en-US" w:eastAsia="zh-CN"/>
              </w:rPr>
              <w:t>开展虚假违法中医医疗广告的整治，建立健全会商机制，提高处置与中医药监督管理有关的突发事件的能力水平。加强中医药监督人员培训，提高专业水平和业务能力。</w:t>
            </w: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jc w:val="center"/>
        <w:textAlignment w:val="auto"/>
        <w:rPr>
          <w:rFonts w:hint="eastAsia" w:ascii="仿宋_GB2312" w:hAnsi="仿宋_GB2312" w:eastAsia="仿宋_GB2312" w:cs="仿宋_GB2312"/>
          <w:b w:val="0"/>
          <w:bCs w:val="0"/>
          <w:kern w:val="2"/>
          <w:sz w:val="32"/>
          <w:szCs w:val="40"/>
          <w:u w:val="none"/>
          <w:lang w:val="en-US" w:eastAsia="zh-CN" w:bidi="ar-SA"/>
        </w:rPr>
      </w:pPr>
      <w:r>
        <w:rPr>
          <w:rFonts w:hint="eastAsia" w:ascii="方正小标宋简体" w:hAnsi="方正小标宋简体" w:eastAsia="方正小标宋简体" w:cs="方正小标宋简体"/>
          <w:color w:val="auto"/>
          <w:sz w:val="32"/>
          <w:szCs w:val="40"/>
          <w:lang w:val="en-US" w:eastAsia="zh-CN"/>
        </w:rPr>
        <w:t>第十章  强化组织实施</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jc w:val="center"/>
        <w:textAlignment w:val="auto"/>
        <w:rPr>
          <w:rFonts w:hint="eastAsia" w:ascii="仿宋_GB2312" w:hAnsi="仿宋_GB2312" w:eastAsia="仿宋_GB2312" w:cs="仿宋_GB2312"/>
          <w:b w:val="0"/>
          <w:bCs w:val="0"/>
          <w:kern w:val="2"/>
          <w:sz w:val="32"/>
          <w:szCs w:val="40"/>
          <w:u w:val="none"/>
          <w:lang w:val="en-US" w:eastAsia="zh-CN" w:bidi="ar-SA"/>
        </w:rPr>
      </w:pPr>
      <w:r>
        <w:rPr>
          <w:rFonts w:hint="eastAsia" w:ascii="黑体" w:hAnsi="黑体" w:eastAsia="黑体" w:cs="黑体"/>
          <w:b w:val="0"/>
          <w:bCs w:val="0"/>
          <w:kern w:val="2"/>
          <w:sz w:val="32"/>
          <w:szCs w:val="40"/>
          <w:u w:val="none"/>
          <w:lang w:val="en-US" w:eastAsia="zh-CN" w:bidi="ar-SA"/>
        </w:rPr>
        <w:t>第一节  加强组织领导</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kern w:val="2"/>
          <w:sz w:val="32"/>
          <w:szCs w:val="40"/>
          <w:u w:val="none"/>
          <w:lang w:val="en-US" w:eastAsia="zh-CN" w:bidi="ar-SA"/>
        </w:rPr>
      </w:pPr>
      <w:r>
        <w:rPr>
          <w:rFonts w:hint="eastAsia" w:ascii="仿宋_GB2312" w:hAnsi="仿宋_GB2312" w:eastAsia="仿宋_GB2312" w:cs="仿宋_GB2312"/>
          <w:b w:val="0"/>
          <w:bCs w:val="0"/>
          <w:kern w:val="2"/>
          <w:sz w:val="32"/>
          <w:szCs w:val="40"/>
          <w:u w:val="none"/>
          <w:lang w:val="en-US" w:eastAsia="zh-CN" w:bidi="ar-SA"/>
        </w:rPr>
        <w:t>完善中医药工作跨部门协调机制，建立并完善中医药强市建设联席会议办公室的统筹职能，协同各有关部门扎实推动规划各项工作落实，促进规划目标顺利实现。依据《中医药法》和《广东省中医药条例》有关规定建立健全中医药管理体系，要明确承担中医药管理职能的机构，合理配置人员力量。</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jc w:val="center"/>
        <w:textAlignment w:val="auto"/>
        <w:rPr>
          <w:rFonts w:hint="eastAsia" w:ascii="仿宋_GB2312" w:hAnsi="仿宋_GB2312" w:eastAsia="仿宋_GB2312" w:cs="仿宋_GB2312"/>
          <w:b w:val="0"/>
          <w:bCs w:val="0"/>
          <w:kern w:val="2"/>
          <w:sz w:val="32"/>
          <w:szCs w:val="40"/>
          <w:u w:val="none"/>
          <w:lang w:val="en-US" w:eastAsia="zh-CN" w:bidi="ar-SA"/>
        </w:rPr>
      </w:pPr>
      <w:r>
        <w:rPr>
          <w:rFonts w:hint="eastAsia" w:ascii="黑体" w:hAnsi="黑体" w:eastAsia="黑体" w:cs="黑体"/>
          <w:b w:val="0"/>
          <w:bCs w:val="0"/>
          <w:kern w:val="2"/>
          <w:sz w:val="32"/>
          <w:szCs w:val="40"/>
          <w:u w:val="none"/>
          <w:lang w:val="en-US" w:eastAsia="zh-CN" w:bidi="ar-SA"/>
        </w:rPr>
        <w:t>第二节  加强投入保障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kern w:val="2"/>
          <w:sz w:val="32"/>
          <w:szCs w:val="40"/>
          <w:u w:val="none"/>
          <w:lang w:val="en-US" w:eastAsia="zh-CN" w:bidi="ar-SA"/>
        </w:rPr>
      </w:pPr>
      <w:r>
        <w:rPr>
          <w:rFonts w:hint="eastAsia" w:ascii="仿宋_GB2312" w:hAnsi="仿宋_GB2312" w:eastAsia="仿宋_GB2312" w:cs="仿宋_GB2312"/>
          <w:b w:val="0"/>
          <w:bCs w:val="0"/>
          <w:kern w:val="2"/>
          <w:sz w:val="32"/>
          <w:szCs w:val="40"/>
          <w:u w:val="none"/>
          <w:lang w:val="en-US" w:eastAsia="zh-CN" w:bidi="ar-SA"/>
        </w:rPr>
        <w:t>建立持续稳定的中医药发展多元化投入机制，各级政府在卫生健康投入中统筹安排中医药事业发展经费并加大支持力度。落实政府对公立中医医院的办医主体责任，落实基本建设、设备购置、重点学科发展、人才培养等政府投入政策。充分发挥开发性金融在中医药发展重点领域、薄弱环节融资融智优势，探索多元化投融资模式，创新产业基金等金融产品支持中医药领域示范、试点项目落地。</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jc w:val="center"/>
        <w:textAlignment w:val="auto"/>
        <w:rPr>
          <w:rFonts w:hint="eastAsia" w:ascii="仿宋_GB2312" w:hAnsi="仿宋_GB2312" w:eastAsia="仿宋_GB2312" w:cs="仿宋_GB2312"/>
          <w:b w:val="0"/>
          <w:bCs w:val="0"/>
          <w:kern w:val="2"/>
          <w:sz w:val="32"/>
          <w:szCs w:val="40"/>
          <w:u w:val="none"/>
          <w:lang w:val="en-US" w:eastAsia="zh-CN" w:bidi="ar-SA"/>
        </w:rPr>
      </w:pPr>
      <w:r>
        <w:rPr>
          <w:rFonts w:hint="eastAsia" w:ascii="黑体" w:hAnsi="黑体" w:eastAsia="黑体" w:cs="黑体"/>
          <w:b w:val="0"/>
          <w:bCs w:val="0"/>
          <w:kern w:val="2"/>
          <w:sz w:val="32"/>
          <w:szCs w:val="40"/>
          <w:u w:val="none"/>
          <w:lang w:val="en-US" w:eastAsia="zh-CN" w:bidi="ar-SA"/>
        </w:rPr>
        <w:t>第三节  加强宣传引导</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kern w:val="2"/>
          <w:sz w:val="32"/>
          <w:szCs w:val="40"/>
          <w:u w:val="none"/>
          <w:lang w:val="en-US" w:eastAsia="zh-CN" w:bidi="ar-SA"/>
        </w:rPr>
      </w:pPr>
      <w:r>
        <w:rPr>
          <w:rFonts w:hint="eastAsia" w:ascii="仿宋_GB2312" w:hAnsi="仿宋_GB2312" w:eastAsia="仿宋_GB2312" w:cs="仿宋_GB2312"/>
          <w:b w:val="0"/>
          <w:bCs w:val="0"/>
          <w:kern w:val="2"/>
          <w:sz w:val="32"/>
          <w:szCs w:val="40"/>
          <w:u w:val="none"/>
          <w:lang w:val="en-US" w:eastAsia="zh-CN" w:bidi="ar-SA"/>
        </w:rPr>
        <w:t>大力宣传中医药传承创新发展、进展成效，加大正面宣传力度，提升全社会对中医药的认可度，营造良好社会氛围。及时总结提炼地方好的做法和经验，加强典型报道,发挥示范引领作用。</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jc w:val="center"/>
        <w:textAlignment w:val="auto"/>
        <w:rPr>
          <w:rFonts w:hint="eastAsia" w:ascii="黑体" w:hAnsi="黑体" w:eastAsia="黑体" w:cs="黑体"/>
          <w:b w:val="0"/>
          <w:bCs w:val="0"/>
          <w:kern w:val="2"/>
          <w:sz w:val="32"/>
          <w:szCs w:val="40"/>
          <w:u w:val="none"/>
          <w:lang w:val="en-US" w:eastAsia="zh-CN" w:bidi="ar-SA"/>
        </w:rPr>
      </w:pPr>
      <w:r>
        <w:rPr>
          <w:rFonts w:hint="eastAsia" w:ascii="黑体" w:hAnsi="黑体" w:eastAsia="黑体" w:cs="黑体"/>
          <w:b w:val="0"/>
          <w:bCs w:val="0"/>
          <w:kern w:val="2"/>
          <w:sz w:val="32"/>
          <w:szCs w:val="40"/>
          <w:u w:val="none"/>
          <w:lang w:val="en-US" w:eastAsia="zh-CN" w:bidi="ar-SA"/>
        </w:rPr>
        <w:t>第四节  健全实施机制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kern w:val="2"/>
          <w:sz w:val="32"/>
          <w:szCs w:val="40"/>
          <w:u w:val="none"/>
          <w:lang w:val="en-US" w:eastAsia="zh-CN" w:bidi="ar-SA"/>
        </w:rPr>
      </w:pPr>
      <w:r>
        <w:rPr>
          <w:rFonts w:hint="eastAsia" w:ascii="仿宋_GB2312" w:hAnsi="仿宋_GB2312" w:eastAsia="仿宋_GB2312" w:cs="仿宋_GB2312"/>
          <w:b w:val="0"/>
          <w:bCs w:val="0"/>
          <w:kern w:val="2"/>
          <w:sz w:val="32"/>
          <w:szCs w:val="40"/>
          <w:u w:val="none"/>
          <w:lang w:val="en-US" w:eastAsia="zh-CN" w:bidi="ar-SA"/>
        </w:rPr>
        <w:t>建立中医药规划体系，加强与国家级、省级规划衔接。落实国家中医药管理局规划管理办法，强化规划编制实施的制度保障。建立规划监测评价机制，科学制定规划任务部门分工方案和监测评估方案，及时对规划实施进度和效果进行中期、末期评估，监督重大工程、重大项目、重大改革举措的执行情况，及时发现并解决实施中的重要问题，确保规划顺利实施。</w:t>
      </w:r>
    </w:p>
    <w:sectPr>
      <w:footerReference r:id="rId4" w:type="default"/>
      <w:pgSz w:w="11906" w:h="16838"/>
      <w:pgMar w:top="1440" w:right="1633" w:bottom="1440" w:left="1633"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A5E91"/>
    <w:rsid w:val="012D740C"/>
    <w:rsid w:val="03081FF6"/>
    <w:rsid w:val="03693DB4"/>
    <w:rsid w:val="038C1D45"/>
    <w:rsid w:val="053372AB"/>
    <w:rsid w:val="13475760"/>
    <w:rsid w:val="15B54CB0"/>
    <w:rsid w:val="16606538"/>
    <w:rsid w:val="1AEF1A1E"/>
    <w:rsid w:val="1B744CE5"/>
    <w:rsid w:val="1B83041C"/>
    <w:rsid w:val="1C2D294B"/>
    <w:rsid w:val="1F5A5E91"/>
    <w:rsid w:val="21F77C09"/>
    <w:rsid w:val="267C78E7"/>
    <w:rsid w:val="27814D31"/>
    <w:rsid w:val="2FF34966"/>
    <w:rsid w:val="30000DE1"/>
    <w:rsid w:val="310333F3"/>
    <w:rsid w:val="31BC4235"/>
    <w:rsid w:val="32553F2D"/>
    <w:rsid w:val="34E16140"/>
    <w:rsid w:val="35853FF0"/>
    <w:rsid w:val="370454A4"/>
    <w:rsid w:val="3BC1419E"/>
    <w:rsid w:val="3FCE1341"/>
    <w:rsid w:val="40CB27AA"/>
    <w:rsid w:val="4308271F"/>
    <w:rsid w:val="43262F01"/>
    <w:rsid w:val="43845382"/>
    <w:rsid w:val="4D543359"/>
    <w:rsid w:val="4FC79551"/>
    <w:rsid w:val="53B11C08"/>
    <w:rsid w:val="554F3221"/>
    <w:rsid w:val="56F713BF"/>
    <w:rsid w:val="59CA0C82"/>
    <w:rsid w:val="5CAD687D"/>
    <w:rsid w:val="604F2C07"/>
    <w:rsid w:val="608D0237"/>
    <w:rsid w:val="64865C34"/>
    <w:rsid w:val="65180AF8"/>
    <w:rsid w:val="65583549"/>
    <w:rsid w:val="748073A3"/>
    <w:rsid w:val="75B37D77"/>
    <w:rsid w:val="75D74B44"/>
    <w:rsid w:val="79016DCE"/>
    <w:rsid w:val="7D7144B5"/>
    <w:rsid w:val="7D7E68C8"/>
    <w:rsid w:val="7DFF6072"/>
    <w:rsid w:val="7E6F7BAC"/>
    <w:rsid w:val="7F6FB9D8"/>
    <w:rsid w:val="7F968EAA"/>
    <w:rsid w:val="F29DB229"/>
    <w:rsid w:val="FDFF62DB"/>
    <w:rsid w:val="FFD68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 text|3"/>
    <w:basedOn w:val="1"/>
    <w:qFormat/>
    <w:uiPriority w:val="0"/>
    <w:pPr>
      <w:widowControl w:val="0"/>
      <w:shd w:val="clear" w:color="auto" w:fill="FFFFFF"/>
      <w:spacing w:after="3820" w:line="706" w:lineRule="exact"/>
    </w:pPr>
    <w:rPr>
      <w:rFonts w:ascii="宋体" w:hAnsi="宋体" w:eastAsia="宋体" w:cs="宋体"/>
      <w:sz w:val="42"/>
      <w:szCs w:val="42"/>
      <w:u w:val="none"/>
      <w:lang w:val="zh-CN" w:eastAsia="zh-CN" w:bidi="zh-CN"/>
    </w:rPr>
  </w:style>
  <w:style w:type="paragraph" w:customStyle="1" w:styleId="8">
    <w:name w:val="Other|1"/>
    <w:basedOn w:val="1"/>
    <w:qFormat/>
    <w:uiPriority w:val="0"/>
    <w:pPr>
      <w:widowControl w:val="0"/>
      <w:shd w:val="clear" w:color="auto" w:fill="FFFFFF"/>
      <w:spacing w:after="120" w:line="422" w:lineRule="auto"/>
      <w:ind w:firstLine="400"/>
    </w:pPr>
    <w:rPr>
      <w:rFonts w:ascii="宋体" w:hAnsi="宋体" w:eastAsia="宋体" w:cs="宋体"/>
      <w:sz w:val="30"/>
      <w:szCs w:val="30"/>
      <w:u w:val="none"/>
      <w:lang w:val="zh-CN" w:eastAsia="zh-CN" w:bidi="zh-CN"/>
    </w:rPr>
  </w:style>
  <w:style w:type="paragraph" w:customStyle="1" w:styleId="9">
    <w:name w:val="Body text|1"/>
    <w:basedOn w:val="1"/>
    <w:qFormat/>
    <w:uiPriority w:val="0"/>
    <w:pPr>
      <w:widowControl w:val="0"/>
      <w:shd w:val="clear" w:color="auto" w:fill="FFFFFF"/>
      <w:spacing w:after="120" w:line="422" w:lineRule="auto"/>
      <w:ind w:firstLine="400"/>
    </w:pPr>
    <w:rPr>
      <w:rFonts w:ascii="宋体" w:hAnsi="宋体" w:eastAsia="宋体" w:cs="宋体"/>
      <w:sz w:val="30"/>
      <w:szCs w:val="30"/>
      <w:u w:val="none"/>
      <w:lang w:val="zh-CN" w:eastAsia="zh-CN" w:bidi="zh-CN"/>
    </w:rPr>
  </w:style>
  <w:style w:type="paragraph" w:customStyle="1" w:styleId="10">
    <w:name w:val="Heading #3|1"/>
    <w:basedOn w:val="1"/>
    <w:qFormat/>
    <w:uiPriority w:val="0"/>
    <w:pPr>
      <w:widowControl w:val="0"/>
      <w:shd w:val="clear" w:color="auto" w:fill="FFFFFF"/>
      <w:spacing w:after="220" w:line="600" w:lineRule="exact"/>
      <w:jc w:val="center"/>
      <w:outlineLvl w:val="2"/>
    </w:pPr>
    <w:rPr>
      <w:rFonts w:ascii="宋体" w:hAnsi="宋体" w:eastAsia="宋体" w:cs="宋体"/>
      <w:b/>
      <w:bCs/>
      <w:sz w:val="30"/>
      <w:szCs w:val="30"/>
      <w:u w:val="none"/>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14909</Words>
  <Characters>15393</Characters>
  <Lines>0</Lines>
  <Paragraphs>0</Paragraphs>
  <TotalTime>6</TotalTime>
  <ScaleCrop>false</ScaleCrop>
  <LinksUpToDate>false</LinksUpToDate>
  <CharactersWithSpaces>15584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2021-12-28T09:23:00Z</dcterms:created>
  <dc:creator>高瞻</dc:creator>
  <cp:lastModifiedBy>Punk·D·Ray</cp:lastModifiedBy>
  <cp:lastPrinted>2022-03-01T14:52:00Z</cp:lastPrinted>
  <dcterms:modified xsi:type="dcterms:W3CDTF">2022-03-29T08:33:05Z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E8F89DA9F0D242A398AF72A269DD53CC</vt:lpwstr>
  </property>
</Properties>
</file>