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附件</w:t>
      </w:r>
      <w:bookmarkStart w:id="0" w:name="_GoBack"/>
      <w:bookmarkEnd w:id="0"/>
    </w:p>
    <w:p>
      <w:pPr>
        <w:spacing w:line="72" w:lineRule="exact"/>
      </w:pPr>
    </w:p>
    <w:p>
      <w:pPr>
        <w:spacing w:line="72" w:lineRule="exact"/>
      </w:pPr>
    </w:p>
    <w:p>
      <w:pPr>
        <w:spacing w:line="72" w:lineRule="exact"/>
        <w:rPr>
          <w:rFonts w:hint="eastAsia" w:ascii="宋体" w:hAnsi="宋体" w:eastAsia="宋体" w:cs="宋体"/>
        </w:rPr>
      </w:pPr>
    </w:p>
    <w:p>
      <w:pPr>
        <w:spacing w:line="24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汕尾市公共服务“十四五”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期间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主要目标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和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任务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分工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清单（征求意见稿）</w:t>
      </w:r>
    </w:p>
    <w:p>
      <w:pPr>
        <w:spacing w:line="72" w:lineRule="exact"/>
      </w:pPr>
    </w:p>
    <w:p>
      <w:pPr>
        <w:spacing w:line="72" w:lineRule="exact"/>
      </w:pPr>
    </w:p>
    <w:p>
      <w:pPr>
        <w:spacing w:line="72" w:lineRule="exact"/>
      </w:pPr>
    </w:p>
    <w:tbl>
      <w:tblPr>
        <w:tblStyle w:val="5"/>
        <w:tblW w:w="929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1"/>
        <w:gridCol w:w="6194"/>
        <w:gridCol w:w="23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9291" w:type="dxa"/>
            <w:gridSpan w:val="3"/>
            <w:vAlign w:val="center"/>
          </w:tcPr>
          <w:p>
            <w:pPr>
              <w:spacing w:before="50" w:line="184" w:lineRule="auto"/>
              <w:ind w:firstLine="4217" w:firstLineChars="2100"/>
              <w:jc w:val="both"/>
              <w:rPr>
                <w:rFonts w:hint="eastAsia" w:ascii="黑体" w:hAnsi="黑体" w:eastAsia="黑体" w:cs="黑体"/>
                <w:spacing w:val="-5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-5"/>
                <w:sz w:val="21"/>
                <w:szCs w:val="21"/>
                <w:lang w:eastAsia="zh-CN"/>
              </w:rPr>
              <w:t>主要目标分工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1" w:type="dxa"/>
            <w:vAlign w:val="center"/>
          </w:tcPr>
          <w:p>
            <w:pPr>
              <w:spacing w:before="50" w:line="184" w:lineRule="auto"/>
              <w:ind w:firstLine="158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6194" w:type="dxa"/>
            <w:vAlign w:val="center"/>
          </w:tcPr>
          <w:p>
            <w:pPr>
              <w:spacing w:before="50" w:line="184" w:lineRule="auto"/>
              <w:ind w:firstLine="2693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</w:rPr>
              <w:t>主要指标</w:t>
            </w:r>
          </w:p>
        </w:tc>
        <w:tc>
          <w:tcPr>
            <w:tcW w:w="2376" w:type="dxa"/>
            <w:vAlign w:val="center"/>
          </w:tcPr>
          <w:p>
            <w:pPr>
              <w:spacing w:before="50" w:line="184" w:lineRule="auto"/>
              <w:ind w:firstLine="785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5"/>
                <w:sz w:val="21"/>
                <w:szCs w:val="21"/>
              </w:rPr>
              <w:t>责任单位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721" w:type="dxa"/>
            <w:vAlign w:val="center"/>
          </w:tcPr>
          <w:p>
            <w:pPr>
              <w:spacing w:before="89" w:line="180" w:lineRule="auto"/>
              <w:ind w:firstLine="329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1</w:t>
            </w:r>
          </w:p>
        </w:tc>
        <w:tc>
          <w:tcPr>
            <w:tcW w:w="6194" w:type="dxa"/>
            <w:vAlign w:val="center"/>
          </w:tcPr>
          <w:p>
            <w:pPr>
              <w:spacing w:before="38" w:line="208" w:lineRule="auto"/>
              <w:ind w:firstLine="111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人均预期寿命达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79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岁以上</w:t>
            </w:r>
          </w:p>
        </w:tc>
        <w:tc>
          <w:tcPr>
            <w:tcW w:w="2376" w:type="dxa"/>
            <w:vAlign w:val="center"/>
          </w:tcPr>
          <w:p>
            <w:pPr>
              <w:spacing w:before="38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721" w:type="dxa"/>
            <w:vAlign w:val="center"/>
          </w:tcPr>
          <w:p>
            <w:pPr>
              <w:spacing w:before="90" w:line="180" w:lineRule="auto"/>
              <w:ind w:firstLine="309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2</w:t>
            </w:r>
          </w:p>
        </w:tc>
        <w:tc>
          <w:tcPr>
            <w:tcW w:w="6194" w:type="dxa"/>
            <w:vAlign w:val="center"/>
          </w:tcPr>
          <w:p>
            <w:pPr>
              <w:spacing w:before="21" w:line="276" w:lineRule="exact"/>
              <w:ind w:firstLine="115"/>
              <w:jc w:val="both"/>
              <w:rPr>
                <w:rFonts w:hint="default" w:ascii="黑体" w:hAnsi="黑体" w:eastAsia="黑体" w:cs="黑体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常住人口城镇化率达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u w:val="none"/>
                <w:lang w:val="en-US" w:eastAsia="zh-CN"/>
              </w:rPr>
              <w:t>64.2%</w:t>
            </w:r>
          </w:p>
        </w:tc>
        <w:tc>
          <w:tcPr>
            <w:tcW w:w="2376" w:type="dxa"/>
            <w:vAlign w:val="center"/>
          </w:tcPr>
          <w:p>
            <w:pPr>
              <w:spacing w:before="38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发展改革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21" w:type="dxa"/>
            <w:vAlign w:val="center"/>
          </w:tcPr>
          <w:p>
            <w:pPr>
              <w:spacing w:before="91" w:line="180" w:lineRule="auto"/>
              <w:ind w:firstLine="313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3</w:t>
            </w:r>
          </w:p>
        </w:tc>
        <w:tc>
          <w:tcPr>
            <w:tcW w:w="6194" w:type="dxa"/>
            <w:vAlign w:val="center"/>
          </w:tcPr>
          <w:p>
            <w:pPr>
              <w:spacing w:before="38" w:line="208" w:lineRule="auto"/>
              <w:ind w:firstLine="11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每千人口拥有3岁以下婴幼儿托位数达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4.2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个</w:t>
            </w:r>
          </w:p>
        </w:tc>
        <w:tc>
          <w:tcPr>
            <w:tcW w:w="2376" w:type="dxa"/>
            <w:vAlign w:val="center"/>
          </w:tcPr>
          <w:p>
            <w:pPr>
              <w:spacing w:before="38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721" w:type="dxa"/>
            <w:vAlign w:val="center"/>
          </w:tcPr>
          <w:p>
            <w:pPr>
              <w:spacing w:before="89" w:line="180" w:lineRule="auto"/>
              <w:ind w:firstLine="30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4</w:t>
            </w:r>
          </w:p>
        </w:tc>
        <w:tc>
          <w:tcPr>
            <w:tcW w:w="6194" w:type="dxa"/>
            <w:vAlign w:val="center"/>
          </w:tcPr>
          <w:p>
            <w:pPr>
              <w:spacing w:before="19" w:line="276" w:lineRule="exact"/>
              <w:ind w:firstLine="11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eastAsia="zh-CN"/>
              </w:rPr>
              <w:t>以乡镇（街道）为单位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适龄儿童免疫规划疫苗接种率达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%以上</w:t>
            </w:r>
          </w:p>
        </w:tc>
        <w:tc>
          <w:tcPr>
            <w:tcW w:w="2376" w:type="dxa"/>
            <w:vAlign w:val="center"/>
          </w:tcPr>
          <w:p>
            <w:pPr>
              <w:spacing w:before="37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4" w:hRule="atLeast"/>
        </w:trPr>
        <w:tc>
          <w:tcPr>
            <w:tcW w:w="721" w:type="dxa"/>
            <w:vAlign w:val="center"/>
          </w:tcPr>
          <w:p>
            <w:pPr>
              <w:spacing w:line="303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61" w:line="180" w:lineRule="auto"/>
              <w:ind w:firstLine="314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5</w:t>
            </w:r>
          </w:p>
        </w:tc>
        <w:tc>
          <w:tcPr>
            <w:tcW w:w="6194" w:type="dxa"/>
            <w:vAlign w:val="center"/>
          </w:tcPr>
          <w:p>
            <w:pPr>
              <w:spacing w:line="247" w:lineRule="auto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69" w:line="208" w:lineRule="auto"/>
              <w:ind w:firstLine="108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孤儿和事实无人抚养儿童保障应保尽保</w:t>
            </w:r>
          </w:p>
        </w:tc>
        <w:tc>
          <w:tcPr>
            <w:tcW w:w="2376" w:type="dxa"/>
            <w:vAlign w:val="center"/>
          </w:tcPr>
          <w:p>
            <w:pPr>
              <w:spacing w:before="36" w:line="253" w:lineRule="auto"/>
              <w:ind w:left="113" w:right="166" w:firstLine="4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教育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、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民政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、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住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房城乡建设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、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721" w:type="dxa"/>
            <w:vAlign w:val="center"/>
          </w:tcPr>
          <w:p>
            <w:pPr>
              <w:spacing w:before="89" w:line="180" w:lineRule="auto"/>
              <w:ind w:firstLine="313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94" w:type="dxa"/>
            <w:vAlign w:val="center"/>
          </w:tcPr>
          <w:p>
            <w:pPr>
              <w:spacing w:before="19" w:line="276" w:lineRule="exact"/>
              <w:ind w:firstLine="109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普惠性幼儿园在园幼儿数比重稳定在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黑体" w:hAnsi="黑体" w:eastAsia="黑体" w:cs="黑体"/>
                <w:spacing w:val="-4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%以上</w:t>
            </w:r>
          </w:p>
        </w:tc>
        <w:tc>
          <w:tcPr>
            <w:tcW w:w="2376" w:type="dxa"/>
            <w:vAlign w:val="center"/>
          </w:tcPr>
          <w:p>
            <w:pPr>
              <w:spacing w:before="37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教育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7" w:hRule="atLeast"/>
        </w:trPr>
        <w:tc>
          <w:tcPr>
            <w:tcW w:w="721" w:type="dxa"/>
            <w:vAlign w:val="center"/>
          </w:tcPr>
          <w:p>
            <w:pPr>
              <w:spacing w:before="92" w:line="180" w:lineRule="auto"/>
              <w:ind w:firstLine="312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94" w:type="dxa"/>
            <w:vAlign w:val="center"/>
          </w:tcPr>
          <w:p>
            <w:pPr>
              <w:spacing w:before="19" w:line="276" w:lineRule="exact"/>
              <w:ind w:firstLine="115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九年义务教育巩固率稳定在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36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教育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3" w:hRule="atLeast"/>
        </w:trPr>
        <w:tc>
          <w:tcPr>
            <w:tcW w:w="721" w:type="dxa"/>
            <w:vAlign w:val="center"/>
          </w:tcPr>
          <w:p>
            <w:pPr>
              <w:spacing w:before="89" w:line="180" w:lineRule="auto"/>
              <w:ind w:firstLine="317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94" w:type="dxa"/>
            <w:vAlign w:val="center"/>
          </w:tcPr>
          <w:p>
            <w:pPr>
              <w:spacing w:before="19" w:line="276" w:lineRule="exact"/>
              <w:ind w:firstLine="115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高中阶段教育毛入学率稳定在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%以上</w:t>
            </w:r>
          </w:p>
        </w:tc>
        <w:tc>
          <w:tcPr>
            <w:tcW w:w="2376" w:type="dxa"/>
            <w:vAlign w:val="center"/>
          </w:tcPr>
          <w:p>
            <w:pPr>
              <w:spacing w:before="37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教育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9" w:hRule="atLeast"/>
        </w:trPr>
        <w:tc>
          <w:tcPr>
            <w:tcW w:w="721" w:type="dxa"/>
            <w:vAlign w:val="center"/>
          </w:tcPr>
          <w:p>
            <w:pPr>
              <w:spacing w:before="90" w:line="180" w:lineRule="auto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 xml:space="preserve">   9</w:t>
            </w:r>
          </w:p>
        </w:tc>
        <w:tc>
          <w:tcPr>
            <w:tcW w:w="6194" w:type="dxa"/>
            <w:vAlign w:val="center"/>
          </w:tcPr>
          <w:p>
            <w:pPr>
              <w:spacing w:before="37" w:line="208" w:lineRule="auto"/>
              <w:ind w:firstLine="115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劳动年龄人口平均受教育年限达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11.5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年</w:t>
            </w:r>
          </w:p>
        </w:tc>
        <w:tc>
          <w:tcPr>
            <w:tcW w:w="2376" w:type="dxa"/>
            <w:vAlign w:val="center"/>
          </w:tcPr>
          <w:p>
            <w:pPr>
              <w:spacing w:before="37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教育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5" w:hRule="atLeast"/>
        </w:trPr>
        <w:tc>
          <w:tcPr>
            <w:tcW w:w="721" w:type="dxa"/>
            <w:vAlign w:val="center"/>
          </w:tcPr>
          <w:p>
            <w:pPr>
              <w:spacing w:before="89" w:line="180" w:lineRule="auto"/>
              <w:ind w:firstLine="281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pacing w:val="-8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94" w:type="dxa"/>
            <w:vAlign w:val="center"/>
          </w:tcPr>
          <w:p>
            <w:pPr>
              <w:spacing w:before="37" w:line="208" w:lineRule="auto"/>
              <w:ind w:firstLine="111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零就业家庭动态清零</w:t>
            </w:r>
          </w:p>
        </w:tc>
        <w:tc>
          <w:tcPr>
            <w:tcW w:w="2376" w:type="dxa"/>
            <w:vAlign w:val="center"/>
          </w:tcPr>
          <w:p>
            <w:pPr>
              <w:spacing w:before="37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人力资源社会保障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6" w:hRule="atLeast"/>
        </w:trPr>
        <w:tc>
          <w:tcPr>
            <w:tcW w:w="721" w:type="dxa"/>
            <w:vAlign w:val="center"/>
          </w:tcPr>
          <w:p>
            <w:pPr>
              <w:spacing w:before="88" w:line="180" w:lineRule="auto"/>
              <w:ind w:firstLine="276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94" w:type="dxa"/>
            <w:vAlign w:val="center"/>
          </w:tcPr>
          <w:p>
            <w:pPr>
              <w:spacing w:before="36" w:line="208" w:lineRule="auto"/>
              <w:ind w:firstLine="93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“十四五”期间城镇新增就业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17.5万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人</w:t>
            </w:r>
          </w:p>
        </w:tc>
        <w:tc>
          <w:tcPr>
            <w:tcW w:w="2376" w:type="dxa"/>
            <w:vAlign w:val="center"/>
          </w:tcPr>
          <w:p>
            <w:pPr>
              <w:spacing w:before="36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人力资源社会保障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7" w:hRule="atLeast"/>
        </w:trPr>
        <w:tc>
          <w:tcPr>
            <w:tcW w:w="721" w:type="dxa"/>
            <w:vAlign w:val="center"/>
          </w:tcPr>
          <w:p>
            <w:pPr>
              <w:spacing w:before="88" w:line="180" w:lineRule="auto"/>
              <w:ind w:firstLine="276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94" w:type="dxa"/>
            <w:vAlign w:val="center"/>
          </w:tcPr>
          <w:p>
            <w:pPr>
              <w:spacing w:before="18" w:line="276" w:lineRule="exact"/>
              <w:ind w:firstLine="11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城镇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登记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失业率控制在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%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以内</w:t>
            </w:r>
          </w:p>
        </w:tc>
        <w:tc>
          <w:tcPr>
            <w:tcW w:w="2376" w:type="dxa"/>
            <w:vAlign w:val="center"/>
          </w:tcPr>
          <w:p>
            <w:pPr>
              <w:spacing w:before="35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人力资源社会保障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7" w:hRule="atLeast"/>
        </w:trPr>
        <w:tc>
          <w:tcPr>
            <w:tcW w:w="721" w:type="dxa"/>
            <w:vAlign w:val="center"/>
          </w:tcPr>
          <w:p>
            <w:pPr>
              <w:spacing w:before="88" w:line="180" w:lineRule="auto"/>
              <w:ind w:firstLine="276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94" w:type="dxa"/>
            <w:vAlign w:val="center"/>
          </w:tcPr>
          <w:p>
            <w:pPr>
              <w:spacing w:before="36" w:line="208" w:lineRule="auto"/>
              <w:ind w:firstLine="93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“十四五”期间开展补贴性职业技能培训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8万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人次</w:t>
            </w:r>
          </w:p>
        </w:tc>
        <w:tc>
          <w:tcPr>
            <w:tcW w:w="2376" w:type="dxa"/>
            <w:vAlign w:val="center"/>
          </w:tcPr>
          <w:p>
            <w:pPr>
              <w:spacing w:before="36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人力资源社会保障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50" w:hRule="atLeast"/>
        </w:trPr>
        <w:tc>
          <w:tcPr>
            <w:tcW w:w="721" w:type="dxa"/>
            <w:vAlign w:val="center"/>
          </w:tcPr>
          <w:p>
            <w:pPr>
              <w:spacing w:before="88" w:line="180" w:lineRule="auto"/>
              <w:ind w:firstLine="276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94" w:type="dxa"/>
            <w:vAlign w:val="center"/>
          </w:tcPr>
          <w:p>
            <w:pPr>
              <w:spacing w:before="36" w:line="208" w:lineRule="auto"/>
              <w:ind w:firstLine="115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失业保险参保人数达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14万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2376" w:type="dxa"/>
            <w:vAlign w:val="center"/>
          </w:tcPr>
          <w:p>
            <w:pPr>
              <w:spacing w:before="36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人力资源社会保障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7" w:hRule="atLeast"/>
        </w:trPr>
        <w:tc>
          <w:tcPr>
            <w:tcW w:w="721" w:type="dxa"/>
            <w:vAlign w:val="center"/>
          </w:tcPr>
          <w:p>
            <w:pPr>
              <w:spacing w:before="89" w:line="180" w:lineRule="auto"/>
              <w:ind w:firstLine="276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94" w:type="dxa"/>
            <w:vAlign w:val="center"/>
          </w:tcPr>
          <w:p>
            <w:pPr>
              <w:spacing w:before="36" w:line="208" w:lineRule="auto"/>
              <w:ind w:firstLine="112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工伤保险参保人数达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黑体" w:hAnsi="黑体" w:eastAsia="黑体" w:cs="黑体"/>
                <w:spacing w:val="-39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人</w:t>
            </w:r>
          </w:p>
        </w:tc>
        <w:tc>
          <w:tcPr>
            <w:tcW w:w="2376" w:type="dxa"/>
            <w:vAlign w:val="center"/>
          </w:tcPr>
          <w:p>
            <w:pPr>
              <w:spacing w:before="36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人力资源社会保障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8" w:hRule="atLeast"/>
        </w:trPr>
        <w:tc>
          <w:tcPr>
            <w:tcW w:w="721" w:type="dxa"/>
            <w:vAlign w:val="center"/>
          </w:tcPr>
          <w:p>
            <w:pPr>
              <w:spacing w:before="88" w:line="180" w:lineRule="auto"/>
              <w:ind w:firstLine="276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94" w:type="dxa"/>
            <w:vAlign w:val="center"/>
          </w:tcPr>
          <w:p>
            <w:pPr>
              <w:spacing w:before="36" w:line="208" w:lineRule="auto"/>
              <w:ind w:firstLine="111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社会保障卡持卡人数达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268万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人</w:t>
            </w:r>
          </w:p>
        </w:tc>
        <w:tc>
          <w:tcPr>
            <w:tcW w:w="2376" w:type="dxa"/>
            <w:vAlign w:val="center"/>
          </w:tcPr>
          <w:p>
            <w:pPr>
              <w:spacing w:before="36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人力资源社会保障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6" w:hRule="atLeast"/>
        </w:trPr>
        <w:tc>
          <w:tcPr>
            <w:tcW w:w="721" w:type="dxa"/>
            <w:vAlign w:val="center"/>
          </w:tcPr>
          <w:p>
            <w:pPr>
              <w:spacing w:before="87" w:line="180" w:lineRule="auto"/>
              <w:ind w:firstLine="276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94" w:type="dxa"/>
            <w:vAlign w:val="center"/>
          </w:tcPr>
          <w:p>
            <w:pPr>
              <w:spacing w:before="17" w:line="276" w:lineRule="exact"/>
              <w:ind w:firstLine="111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居民健康素养水平达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30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35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7" w:hRule="atLeast"/>
        </w:trPr>
        <w:tc>
          <w:tcPr>
            <w:tcW w:w="721" w:type="dxa"/>
            <w:vAlign w:val="center"/>
          </w:tcPr>
          <w:p>
            <w:pPr>
              <w:spacing w:before="86" w:line="180" w:lineRule="auto"/>
              <w:ind w:firstLine="276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pacing w:val="-6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94" w:type="dxa"/>
            <w:vAlign w:val="center"/>
          </w:tcPr>
          <w:p>
            <w:pPr>
              <w:spacing w:before="34" w:line="208" w:lineRule="auto"/>
              <w:ind w:firstLine="112"/>
              <w:jc w:val="both"/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孕产妇死亡率小于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8/10万人</w:t>
            </w:r>
          </w:p>
        </w:tc>
        <w:tc>
          <w:tcPr>
            <w:tcW w:w="2376" w:type="dxa"/>
            <w:vAlign w:val="center"/>
          </w:tcPr>
          <w:p>
            <w:pPr>
              <w:spacing w:before="34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18" w:hRule="atLeast"/>
        </w:trPr>
        <w:tc>
          <w:tcPr>
            <w:tcW w:w="721" w:type="dxa"/>
            <w:vAlign w:val="center"/>
          </w:tcPr>
          <w:p>
            <w:pPr>
              <w:spacing w:before="87" w:line="180" w:lineRule="auto"/>
              <w:ind w:firstLine="256"/>
              <w:jc w:val="both"/>
              <w:rPr>
                <w:rFonts w:hint="default" w:ascii="黑体" w:hAnsi="黑体" w:eastAsia="黑体" w:cs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6194" w:type="dxa"/>
            <w:vAlign w:val="center"/>
          </w:tcPr>
          <w:p>
            <w:pPr>
              <w:spacing w:before="35" w:line="208" w:lineRule="auto"/>
              <w:ind w:firstLine="112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5岁以下儿童死亡率小于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‰</w:t>
            </w:r>
          </w:p>
        </w:tc>
        <w:tc>
          <w:tcPr>
            <w:tcW w:w="2376" w:type="dxa"/>
            <w:vAlign w:val="center"/>
          </w:tcPr>
          <w:p>
            <w:pPr>
              <w:spacing w:before="35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0" w:hRule="atLeast"/>
        </w:trPr>
        <w:tc>
          <w:tcPr>
            <w:tcW w:w="721" w:type="dxa"/>
            <w:vAlign w:val="center"/>
          </w:tcPr>
          <w:p>
            <w:pPr>
              <w:spacing w:before="86" w:line="180" w:lineRule="auto"/>
              <w:ind w:firstLine="256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94" w:type="dxa"/>
            <w:vAlign w:val="center"/>
          </w:tcPr>
          <w:p>
            <w:pPr>
              <w:spacing w:before="35" w:line="208" w:lineRule="auto"/>
              <w:ind w:firstLine="11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每千人口拥有医疗机构床位数达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8.05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张</w:t>
            </w:r>
          </w:p>
        </w:tc>
        <w:tc>
          <w:tcPr>
            <w:tcW w:w="2376" w:type="dxa"/>
            <w:vAlign w:val="center"/>
          </w:tcPr>
          <w:p>
            <w:pPr>
              <w:spacing w:before="35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0" w:hRule="atLeast"/>
        </w:trPr>
        <w:tc>
          <w:tcPr>
            <w:tcW w:w="721" w:type="dxa"/>
            <w:vAlign w:val="center"/>
          </w:tcPr>
          <w:p>
            <w:pPr>
              <w:spacing w:before="87" w:line="180" w:lineRule="auto"/>
              <w:ind w:firstLine="256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94" w:type="dxa"/>
            <w:vAlign w:val="center"/>
          </w:tcPr>
          <w:p>
            <w:pPr>
              <w:spacing w:before="35" w:line="208" w:lineRule="auto"/>
              <w:ind w:firstLine="11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每千人口拥有注册护士数达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2.35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人</w:t>
            </w:r>
          </w:p>
        </w:tc>
        <w:tc>
          <w:tcPr>
            <w:tcW w:w="2376" w:type="dxa"/>
            <w:vAlign w:val="center"/>
          </w:tcPr>
          <w:p>
            <w:pPr>
              <w:spacing w:before="35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7" w:hRule="atLeast"/>
        </w:trPr>
        <w:tc>
          <w:tcPr>
            <w:tcW w:w="721" w:type="dxa"/>
            <w:vAlign w:val="center"/>
          </w:tcPr>
          <w:p>
            <w:pPr>
              <w:spacing w:before="87" w:line="180" w:lineRule="auto"/>
              <w:ind w:firstLine="256"/>
              <w:jc w:val="both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spacing w:val="-1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94" w:type="dxa"/>
            <w:vAlign w:val="center"/>
          </w:tcPr>
          <w:p>
            <w:pPr>
              <w:spacing w:before="35" w:line="208" w:lineRule="auto"/>
              <w:ind w:firstLine="110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每万人口拥有全科医师数达</w:t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spacing w:val="3"/>
                <w:sz w:val="21"/>
                <w:szCs w:val="21"/>
              </w:rPr>
              <w:t>人</w:t>
            </w:r>
          </w:p>
        </w:tc>
        <w:tc>
          <w:tcPr>
            <w:tcW w:w="2376" w:type="dxa"/>
            <w:vAlign w:val="center"/>
          </w:tcPr>
          <w:p>
            <w:pPr>
              <w:spacing w:before="35" w:line="208" w:lineRule="auto"/>
              <w:ind w:firstLine="117"/>
              <w:jc w:val="both"/>
              <w:rPr>
                <w:rFonts w:hint="eastAsia"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7" w:hRule="atLeast"/>
        </w:trPr>
        <w:tc>
          <w:tcPr>
            <w:tcW w:w="721" w:type="dxa"/>
            <w:vAlign w:val="center"/>
          </w:tcPr>
          <w:p>
            <w:pPr>
              <w:spacing w:before="86" w:line="180" w:lineRule="auto"/>
              <w:ind w:firstLine="256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194" w:type="dxa"/>
            <w:vAlign w:val="center"/>
          </w:tcPr>
          <w:p>
            <w:pPr>
              <w:spacing w:before="34" w:line="208" w:lineRule="auto"/>
              <w:ind w:firstLine="110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每千人口拥有执业（助理）医师数达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1.87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人</w:t>
            </w:r>
          </w:p>
        </w:tc>
        <w:tc>
          <w:tcPr>
            <w:tcW w:w="2376" w:type="dxa"/>
            <w:vAlign w:val="center"/>
          </w:tcPr>
          <w:p>
            <w:pPr>
              <w:spacing w:before="34" w:line="208" w:lineRule="auto"/>
              <w:ind w:firstLine="117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94" w:hRule="atLeast"/>
        </w:trPr>
        <w:tc>
          <w:tcPr>
            <w:tcW w:w="721" w:type="dxa"/>
            <w:vAlign w:val="center"/>
          </w:tcPr>
          <w:p>
            <w:pPr>
              <w:spacing w:before="87" w:line="180" w:lineRule="auto"/>
              <w:ind w:firstLine="256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194" w:type="dxa"/>
            <w:vAlign w:val="center"/>
          </w:tcPr>
          <w:p>
            <w:pPr>
              <w:spacing w:before="17" w:line="276" w:lineRule="exact"/>
              <w:ind w:firstLine="110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基本医疗保险参保率稳定在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95%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以上</w:t>
            </w:r>
          </w:p>
        </w:tc>
        <w:tc>
          <w:tcPr>
            <w:tcW w:w="2376" w:type="dxa"/>
            <w:vAlign w:val="center"/>
          </w:tcPr>
          <w:p>
            <w:pPr>
              <w:spacing w:before="34" w:line="208" w:lineRule="auto"/>
              <w:ind w:firstLine="117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市医疗保障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721" w:type="dxa"/>
            <w:vAlign w:val="center"/>
          </w:tcPr>
          <w:p>
            <w:pPr>
              <w:spacing w:before="88" w:line="180" w:lineRule="auto"/>
              <w:ind w:firstLine="256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194" w:type="dxa"/>
            <w:vAlign w:val="center"/>
          </w:tcPr>
          <w:p>
            <w:pPr>
              <w:spacing w:before="18" w:line="276" w:lineRule="exact"/>
              <w:ind w:firstLine="110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基本养老保险参保率达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95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37" w:line="208" w:lineRule="auto"/>
              <w:ind w:firstLine="117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人力资源社会保障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721" w:type="dxa"/>
            <w:vAlign w:val="center"/>
          </w:tcPr>
          <w:p>
            <w:pPr>
              <w:spacing w:before="88" w:line="180" w:lineRule="auto"/>
              <w:ind w:firstLine="256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94" w:type="dxa"/>
            <w:vAlign w:val="center"/>
          </w:tcPr>
          <w:p>
            <w:pPr>
              <w:spacing w:before="19" w:line="276" w:lineRule="exact"/>
              <w:ind w:firstLine="119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乡镇（街道）范围具备综合功能的养老服务设施覆盖率达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37" w:line="208" w:lineRule="auto"/>
              <w:ind w:firstLine="117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民政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21" w:type="dxa"/>
            <w:vAlign w:val="center"/>
          </w:tcPr>
          <w:p>
            <w:pPr>
              <w:spacing w:before="91" w:line="180" w:lineRule="auto"/>
              <w:ind w:firstLine="256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6194" w:type="dxa"/>
            <w:vAlign w:val="center"/>
          </w:tcPr>
          <w:p>
            <w:pPr>
              <w:spacing w:before="21" w:line="276" w:lineRule="exact"/>
              <w:ind w:firstLine="111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养老机构护理型床位占比达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%以上</w:t>
            </w:r>
          </w:p>
        </w:tc>
        <w:tc>
          <w:tcPr>
            <w:tcW w:w="2376" w:type="dxa"/>
            <w:vAlign w:val="center"/>
          </w:tcPr>
          <w:p>
            <w:pPr>
              <w:spacing w:before="38" w:line="208" w:lineRule="auto"/>
              <w:ind w:firstLine="117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民政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21" w:type="dxa"/>
            <w:vAlign w:val="center"/>
          </w:tcPr>
          <w:p>
            <w:pPr>
              <w:spacing w:before="91" w:line="180" w:lineRule="auto"/>
              <w:ind w:firstLine="256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2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6194" w:type="dxa"/>
            <w:vAlign w:val="center"/>
          </w:tcPr>
          <w:p>
            <w:pPr>
              <w:spacing w:before="39" w:line="208" w:lineRule="auto"/>
              <w:ind w:firstLine="111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新建城区、新建居住区配套建设养老服务设施达标率达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39" w:line="208" w:lineRule="auto"/>
              <w:ind w:firstLine="117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民政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5" w:hRule="atLeast"/>
        </w:trPr>
        <w:tc>
          <w:tcPr>
            <w:tcW w:w="721" w:type="dxa"/>
            <w:vAlign w:val="center"/>
          </w:tcPr>
          <w:p>
            <w:pPr>
              <w:spacing w:before="90" w:line="180" w:lineRule="auto"/>
              <w:ind w:firstLine="260"/>
              <w:jc w:val="both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6194" w:type="dxa"/>
            <w:vAlign w:val="center"/>
          </w:tcPr>
          <w:p>
            <w:pPr>
              <w:spacing w:before="20" w:line="276" w:lineRule="exact"/>
              <w:ind w:firstLine="111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65岁以上老人家庭医生签约服务覆盖率达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38" w:line="208" w:lineRule="auto"/>
              <w:ind w:firstLine="117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卫生健康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5" w:hRule="atLeast"/>
        </w:trPr>
        <w:tc>
          <w:tcPr>
            <w:tcW w:w="721" w:type="dxa"/>
            <w:vAlign w:val="center"/>
          </w:tcPr>
          <w:p>
            <w:pPr>
              <w:spacing w:before="91" w:line="180" w:lineRule="auto"/>
              <w:ind w:firstLine="260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194" w:type="dxa"/>
            <w:vAlign w:val="center"/>
          </w:tcPr>
          <w:p>
            <w:pPr>
              <w:spacing w:before="38" w:line="208" w:lineRule="auto"/>
              <w:ind w:firstLine="116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公共租赁住房累计保障户数达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3700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户</w:t>
            </w:r>
          </w:p>
        </w:tc>
        <w:tc>
          <w:tcPr>
            <w:tcW w:w="2376" w:type="dxa"/>
            <w:vAlign w:val="center"/>
          </w:tcPr>
          <w:p>
            <w:pPr>
              <w:spacing w:before="38" w:line="208" w:lineRule="auto"/>
              <w:ind w:firstLine="117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住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房城乡建设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7" w:hRule="atLeast"/>
        </w:trPr>
        <w:tc>
          <w:tcPr>
            <w:tcW w:w="721" w:type="dxa"/>
            <w:vAlign w:val="center"/>
          </w:tcPr>
          <w:p>
            <w:pPr>
              <w:spacing w:before="92" w:line="180" w:lineRule="auto"/>
              <w:ind w:firstLine="260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194" w:type="dxa"/>
            <w:vAlign w:val="center"/>
          </w:tcPr>
          <w:p>
            <w:pPr>
              <w:spacing w:before="40" w:line="208" w:lineRule="auto"/>
              <w:ind w:firstLine="111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符合条件的城镇低保低收入住房困难家庭公租房保障率达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40" w:line="208" w:lineRule="auto"/>
              <w:ind w:firstLine="117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住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房城乡建设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721" w:type="dxa"/>
            <w:vAlign w:val="center"/>
          </w:tcPr>
          <w:p>
            <w:pPr>
              <w:spacing w:before="93" w:line="180" w:lineRule="auto"/>
              <w:ind w:firstLine="260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194" w:type="dxa"/>
            <w:vAlign w:val="center"/>
          </w:tcPr>
          <w:p>
            <w:pPr>
              <w:spacing w:before="41" w:line="208" w:lineRule="auto"/>
              <w:ind w:firstLine="111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符合条件的农村低收入群体住房安全保障率达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41" w:line="208" w:lineRule="auto"/>
              <w:ind w:firstLine="117"/>
              <w:jc w:val="both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住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房城乡建设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721" w:type="dxa"/>
            <w:vAlign w:val="center"/>
          </w:tcPr>
          <w:p>
            <w:pPr>
              <w:spacing w:before="89" w:line="180" w:lineRule="auto"/>
              <w:ind w:firstLine="260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6194" w:type="dxa"/>
            <w:vAlign w:val="center"/>
          </w:tcPr>
          <w:p>
            <w:pPr>
              <w:spacing w:before="36" w:line="208" w:lineRule="auto"/>
              <w:ind w:firstLine="11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特殊困难老年人月探访率达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36" w:line="208" w:lineRule="auto"/>
              <w:ind w:firstLine="117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民政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721" w:type="dxa"/>
            <w:vAlign w:val="center"/>
          </w:tcPr>
          <w:p>
            <w:pPr>
              <w:spacing w:before="245" w:line="180" w:lineRule="auto"/>
              <w:ind w:firstLine="260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6194" w:type="dxa"/>
            <w:vAlign w:val="center"/>
          </w:tcPr>
          <w:p>
            <w:pPr>
              <w:spacing w:before="36" w:line="242" w:lineRule="auto"/>
              <w:ind w:left="110" w:leftChars="0" w:right="208" w:rightChars="0" w:hanging="17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1"/>
                <w:szCs w:val="21"/>
              </w:rPr>
              <w:t>“广东兜底民生服务社会工作双百工程”乡镇（街道）社工站覆</w:t>
            </w: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1"/>
                <w:szCs w:val="21"/>
              </w:rPr>
              <w:t>盖率达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5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193" w:line="208" w:lineRule="auto"/>
              <w:ind w:firstLine="117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民政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721" w:type="dxa"/>
            <w:vAlign w:val="center"/>
          </w:tcPr>
          <w:p>
            <w:pPr>
              <w:spacing w:before="89" w:line="180" w:lineRule="auto"/>
              <w:ind w:firstLine="260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6194" w:type="dxa"/>
            <w:vAlign w:val="center"/>
          </w:tcPr>
          <w:p>
            <w:pPr>
              <w:spacing w:before="20" w:line="276" w:lineRule="exact"/>
              <w:ind w:firstLine="128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困难残疾人生活补贴目标人群覆盖率达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92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37" w:line="208" w:lineRule="auto"/>
              <w:ind w:firstLine="117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</w:rPr>
              <w:t>民政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</w:rPr>
              <w:t>残联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721" w:type="dxa"/>
            <w:vAlign w:val="center"/>
          </w:tcPr>
          <w:p>
            <w:pPr>
              <w:spacing w:before="90" w:line="180" w:lineRule="auto"/>
              <w:ind w:firstLine="26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3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194" w:type="dxa"/>
            <w:vAlign w:val="center"/>
          </w:tcPr>
          <w:p>
            <w:pPr>
              <w:spacing w:before="20" w:line="276" w:lineRule="exact"/>
              <w:ind w:firstLine="111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重度残疾人护理补贴目标人群覆盖率达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89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39" w:line="208" w:lineRule="auto"/>
              <w:ind w:firstLine="117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</w:rPr>
              <w:t>民政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  <w:lang w:eastAsia="zh-CN"/>
              </w:rPr>
              <w:t>局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</w:rPr>
              <w:t>残联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721" w:type="dxa"/>
            <w:vAlign w:val="center"/>
          </w:tcPr>
          <w:p>
            <w:pPr>
              <w:spacing w:before="91" w:line="180" w:lineRule="auto"/>
              <w:ind w:firstLine="255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6194" w:type="dxa"/>
            <w:vAlign w:val="center"/>
          </w:tcPr>
          <w:p>
            <w:pPr>
              <w:spacing w:before="21" w:line="276" w:lineRule="exact"/>
              <w:ind w:firstLine="11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残疾人基本康复服务覆盖率达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85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40" w:line="208" w:lineRule="auto"/>
              <w:ind w:firstLine="117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9"/>
                <w:sz w:val="21"/>
                <w:szCs w:val="21"/>
              </w:rPr>
              <w:t>残联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721" w:type="dxa"/>
            <w:vAlign w:val="center"/>
          </w:tcPr>
          <w:p>
            <w:pPr>
              <w:spacing w:before="92" w:line="180" w:lineRule="auto"/>
              <w:ind w:firstLine="255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6194" w:type="dxa"/>
            <w:vAlign w:val="center"/>
          </w:tcPr>
          <w:p>
            <w:pPr>
              <w:spacing w:before="39" w:line="208" w:lineRule="auto"/>
              <w:ind w:firstLine="111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符合接收安置条件的退役军人安置率保持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100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39" w:line="208" w:lineRule="auto"/>
              <w:ind w:firstLine="117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退役军人事务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721" w:type="dxa"/>
            <w:vAlign w:val="center"/>
          </w:tcPr>
          <w:p>
            <w:pPr>
              <w:spacing w:before="92" w:line="180" w:lineRule="auto"/>
              <w:ind w:firstLine="255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6194" w:type="dxa"/>
            <w:vAlign w:val="center"/>
          </w:tcPr>
          <w:p>
            <w:pPr>
              <w:spacing w:before="39" w:line="208" w:lineRule="auto"/>
              <w:ind w:firstLine="11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每万人公共文化设施面积达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1306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平方米</w:t>
            </w:r>
          </w:p>
        </w:tc>
        <w:tc>
          <w:tcPr>
            <w:tcW w:w="2376" w:type="dxa"/>
            <w:vAlign w:val="center"/>
          </w:tcPr>
          <w:p>
            <w:pPr>
              <w:spacing w:before="39" w:line="208" w:lineRule="auto"/>
              <w:ind w:firstLine="117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市文化广电旅游体育局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721" w:type="dxa"/>
            <w:vAlign w:val="center"/>
          </w:tcPr>
          <w:p>
            <w:pPr>
              <w:spacing w:before="91" w:line="180" w:lineRule="auto"/>
              <w:ind w:firstLine="255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6194" w:type="dxa"/>
            <w:vAlign w:val="center"/>
          </w:tcPr>
          <w:p>
            <w:pPr>
              <w:spacing w:before="38" w:line="208" w:lineRule="auto"/>
              <w:ind w:firstLine="111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人均体育场地面积达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-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2.6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pacing w:val="-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376" w:type="dxa"/>
            <w:vAlign w:val="center"/>
          </w:tcPr>
          <w:p>
            <w:pPr>
              <w:spacing w:before="38" w:line="208" w:lineRule="auto"/>
              <w:ind w:firstLine="117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市文化广电旅游体育局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9" w:hRule="atLeast"/>
        </w:trPr>
        <w:tc>
          <w:tcPr>
            <w:tcW w:w="721" w:type="dxa"/>
            <w:vAlign w:val="center"/>
          </w:tcPr>
          <w:p>
            <w:pPr>
              <w:spacing w:before="90" w:line="180" w:lineRule="auto"/>
              <w:ind w:firstLine="255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6194" w:type="dxa"/>
            <w:vAlign w:val="center"/>
          </w:tcPr>
          <w:p>
            <w:pPr>
              <w:spacing w:before="21" w:line="275" w:lineRule="exact"/>
              <w:ind w:firstLine="13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国民体质测定标准合格率达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93.5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%</w:t>
            </w:r>
          </w:p>
        </w:tc>
        <w:tc>
          <w:tcPr>
            <w:tcW w:w="2376" w:type="dxa"/>
            <w:vAlign w:val="center"/>
          </w:tcPr>
          <w:p>
            <w:pPr>
              <w:spacing w:before="38" w:line="208" w:lineRule="auto"/>
              <w:ind w:firstLine="117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市文化广电旅游体育局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9" w:hRule="atLeast"/>
        </w:trPr>
        <w:tc>
          <w:tcPr>
            <w:tcW w:w="721" w:type="dxa"/>
            <w:vAlign w:val="center"/>
          </w:tcPr>
          <w:p>
            <w:pPr>
              <w:spacing w:before="90" w:line="180" w:lineRule="auto"/>
              <w:ind w:firstLine="255" w:firstLineChars="0"/>
              <w:jc w:val="both"/>
              <w:rPr>
                <w:rFonts w:hint="default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6194" w:type="dxa"/>
            <w:vAlign w:val="center"/>
          </w:tcPr>
          <w:p>
            <w:pPr>
              <w:spacing w:before="20" w:line="276" w:lineRule="exact"/>
              <w:ind w:firstLine="11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应急广播主动发布终端人口覆盖率达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1"/>
                <w:sz w:val="21"/>
                <w:szCs w:val="21"/>
              </w:rPr>
              <w:t>%以上</w:t>
            </w:r>
          </w:p>
        </w:tc>
        <w:tc>
          <w:tcPr>
            <w:tcW w:w="2376" w:type="dxa"/>
            <w:vAlign w:val="center"/>
          </w:tcPr>
          <w:p>
            <w:pPr>
              <w:spacing w:before="39" w:line="208" w:lineRule="auto"/>
              <w:ind w:firstLine="117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eastAsia="zh-CN"/>
              </w:rPr>
              <w:t>市文化广电旅游体育局</w:t>
            </w:r>
          </w:p>
        </w:tc>
      </w:tr>
    </w:tbl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</w:rPr>
      </w:pPr>
    </w:p>
    <w:p>
      <w:pPr>
        <w:rPr>
          <w:rFonts w:hint="eastAsia" w:ascii="仿宋" w:hAnsi="仿宋" w:eastAsia="仿宋" w:cs="仿宋"/>
          <w:sz w:val="21"/>
        </w:rPr>
      </w:pPr>
    </w:p>
    <w:tbl>
      <w:tblPr>
        <w:tblStyle w:val="5"/>
        <w:tblpPr w:leftFromText="180" w:rightFromText="180" w:vertAnchor="text" w:horzAnchor="page" w:tblpX="1310" w:tblpY="25"/>
        <w:tblOverlap w:val="never"/>
        <w:tblW w:w="9300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5986"/>
        <w:gridCol w:w="26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3" w:hRule="atLeast"/>
        </w:trPr>
        <w:tc>
          <w:tcPr>
            <w:tcW w:w="9300" w:type="dxa"/>
            <w:gridSpan w:val="3"/>
            <w:vAlign w:val="center"/>
          </w:tcPr>
          <w:p>
            <w:pPr>
              <w:tabs>
                <w:tab w:val="left" w:pos="4481"/>
              </w:tabs>
              <w:spacing w:before="103" w:line="230" w:lineRule="auto"/>
              <w:ind w:left="980" w:right="254" w:hanging="727"/>
              <w:jc w:val="center"/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  <w:lang w:eastAsia="zh-CN"/>
              </w:rPr>
              <w:t>主要任务分工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0" w:type="dxa"/>
            <w:vAlign w:val="top"/>
          </w:tcPr>
          <w:p>
            <w:pPr>
              <w:spacing w:line="262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  <w:p>
            <w:pPr>
              <w:spacing w:before="68" w:line="184" w:lineRule="auto"/>
              <w:ind w:firstLine="158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</w:rPr>
              <w:t>序号</w:t>
            </w:r>
          </w:p>
        </w:tc>
        <w:tc>
          <w:tcPr>
            <w:tcW w:w="5986" w:type="dxa"/>
            <w:vAlign w:val="top"/>
          </w:tcPr>
          <w:p>
            <w:pPr>
              <w:spacing w:line="262" w:lineRule="auto"/>
              <w:jc w:val="left"/>
              <w:rPr>
                <w:rFonts w:hint="eastAsia" w:ascii="仿宋" w:hAnsi="仿宋" w:eastAsia="仿宋" w:cs="仿宋"/>
                <w:b/>
                <w:bCs/>
                <w:sz w:val="21"/>
              </w:rPr>
            </w:pPr>
          </w:p>
          <w:p>
            <w:pPr>
              <w:spacing w:before="68" w:line="184" w:lineRule="auto"/>
              <w:ind w:firstLine="2693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sz w:val="21"/>
                <w:szCs w:val="21"/>
              </w:rPr>
              <w:t>主要任务</w:t>
            </w:r>
          </w:p>
        </w:tc>
        <w:tc>
          <w:tcPr>
            <w:tcW w:w="2604" w:type="dxa"/>
            <w:vAlign w:val="top"/>
          </w:tcPr>
          <w:p>
            <w:pPr>
              <w:spacing w:before="53" w:line="184" w:lineRule="auto"/>
              <w:ind w:firstLine="785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1"/>
                <w:szCs w:val="21"/>
              </w:rPr>
              <w:t>责任单位</w:t>
            </w:r>
          </w:p>
          <w:p>
            <w:pPr>
              <w:spacing w:before="103" w:line="230" w:lineRule="auto"/>
              <w:ind w:left="980" w:right="254" w:hanging="727"/>
              <w:jc w:val="lef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3"/>
                <w:sz w:val="21"/>
                <w:szCs w:val="21"/>
              </w:rPr>
              <w:t>（排第一的为牵头单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pacing w:val="-6"/>
                <w:sz w:val="21"/>
                <w:szCs w:val="21"/>
              </w:rPr>
              <w:t>位）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10" w:type="dxa"/>
            <w:vAlign w:val="top"/>
          </w:tcPr>
          <w:p>
            <w:pPr>
              <w:spacing w:before="61" w:line="180" w:lineRule="auto"/>
              <w:ind w:firstLine="261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促进基本公共服务均等可及。加强标准化建设，提升均等化水平，促进服务便利可及。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市发展改革局、市财政局，相关行业主管部门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10" w:type="dxa"/>
            <w:vAlign w:val="top"/>
          </w:tcPr>
          <w:p>
            <w:pPr>
              <w:spacing w:before="61" w:line="180" w:lineRule="auto"/>
              <w:ind w:firstLine="261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扩大适度普惠公共服务供给。发挥政府主导作用，培育多元供给主体，加强重点领域普惠公共服务供给。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市发展改革局、市财政局，相关行业主管部门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710" w:type="dxa"/>
            <w:vAlign w:val="top"/>
          </w:tcPr>
          <w:p>
            <w:pPr>
              <w:spacing w:before="61" w:line="180" w:lineRule="auto"/>
              <w:ind w:firstLine="261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</w:p>
          <w:p>
            <w:pPr>
              <w:spacing w:before="61" w:line="180" w:lineRule="auto"/>
              <w:ind w:firstLine="261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拓展多样化个性化生活服务。逐步放宽市场准入，加强对外交流合作，推进品牌化发展。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市发展改革局、市商务局、市市场监管局，相关行业主管部门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41" w:hRule="atLeast"/>
        </w:trPr>
        <w:tc>
          <w:tcPr>
            <w:tcW w:w="710" w:type="dxa"/>
            <w:vAlign w:val="top"/>
          </w:tcPr>
          <w:p>
            <w:pPr>
              <w:spacing w:before="61" w:line="180" w:lineRule="auto"/>
              <w:ind w:firstLine="261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</w:p>
          <w:p>
            <w:pPr>
              <w:spacing w:before="61" w:line="180" w:lineRule="auto"/>
              <w:ind w:firstLine="261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保持人口总量势能优势。增强生育政策包容性，切实降低生养子女成本，提高流动人口服务管理水平，加强人口发展预测。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市发展改革局、市卫生健康局、市公安局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7" w:hRule="atLeast"/>
        </w:trPr>
        <w:tc>
          <w:tcPr>
            <w:tcW w:w="710" w:type="dxa"/>
            <w:vAlign w:val="top"/>
          </w:tcPr>
          <w:p>
            <w:pPr>
              <w:spacing w:before="61" w:line="180" w:lineRule="auto"/>
              <w:ind w:firstLine="261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47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持续优化人口空间布局。加快推进以人为核心的新型城镇化，不断深化户籍制度改革，不断完善区域人口布局。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市发展改革局、市公安局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710" w:type="dxa"/>
            <w:vAlign w:val="top"/>
          </w:tcPr>
          <w:p>
            <w:pPr>
              <w:spacing w:before="61" w:line="180" w:lineRule="auto"/>
              <w:ind w:firstLine="261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48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推动“公共资源随人走”。提高制度统筹能力，建立资源投入挂钩机制，优化城乡公共资源布局。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市发展改革局、市财政局、市自然资源局，市委编办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4" w:hRule="atLeast"/>
        </w:trPr>
        <w:tc>
          <w:tcPr>
            <w:tcW w:w="710" w:type="dxa"/>
            <w:vAlign w:val="top"/>
          </w:tcPr>
          <w:p>
            <w:pPr>
              <w:spacing w:line="303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before="61" w:line="180" w:lineRule="auto"/>
              <w:ind w:firstLine="261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实施公共服务补短板工程。完善统筹协调机制，强化公共服务内生动力，强化公共服务 区域合作机制。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市发展改革局、市财政局、相关行业主管部门，各县（市、区）人民政府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03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before="61" w:line="180" w:lineRule="auto"/>
              <w:ind w:firstLine="261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实施乡村公共服务提升工程。健全城乡融合发展机制，完善乡村公共服务网络，加强乡村公共服务人才队伍建设。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市农业农村局、市发展改革局，市委组织部， 相关行业主管部门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16" w:line="180" w:lineRule="auto"/>
              <w:ind w:firstLine="261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提升优孕优生水平。综合防控出生缺陷，强化孕育健康服务。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市卫生健康局，市妇联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5" w:line="180" w:lineRule="auto"/>
              <w:ind w:firstLine="261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加快普惠托育发展。增强家庭照护能力，拓展社区托育服务，规范发展托育服务机构。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市卫生健康局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1" w:hRule="atLeast"/>
        </w:trPr>
        <w:tc>
          <w:tcPr>
            <w:tcW w:w="710" w:type="dxa"/>
            <w:vAlign w:val="top"/>
          </w:tcPr>
          <w:p>
            <w:pPr>
              <w:spacing w:before="248" w:line="180" w:lineRule="auto"/>
              <w:ind w:firstLine="261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促进儿童健康成长。提升儿童健康服务水平，加强儿童关爱保障服务。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市民政局、市卫生健康局，团市委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710" w:type="dxa"/>
            <w:vAlign w:val="top"/>
          </w:tcPr>
          <w:p>
            <w:pPr>
              <w:spacing w:before="247" w:line="180" w:lineRule="auto"/>
              <w:ind w:firstLine="261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提升养老服务能力。提升居家社区养老品质，强化养老机构服务能力，推进医养康养融合发展。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市民政局、市卫生健康局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01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before="61" w:line="180" w:lineRule="auto"/>
              <w:ind w:firstLine="261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扩大为老服务供给。完善多层次养老保险制度，加强养老助老服务，加快发展银发经济。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市人力资源社会保障   局、市民政局、市卫生健康局、市工业和信息化局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9" w:line="180" w:lineRule="auto"/>
              <w:ind w:firstLine="260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推进基础教育公平优质发展。大力增加学位供给，全面提升教育质量，促进教育资源均衡，完善招生考试制度。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市教育局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9" w:line="180" w:lineRule="auto"/>
              <w:ind w:firstLine="260" w:firstLineChars="0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推动职业教育提内涵强服务。构建现代职业教育体系，提升职业教育内涵。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市教育局、市人力资源社会保障局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9" w:line="180" w:lineRule="auto"/>
              <w:ind w:firstLine="260" w:firstLineChars="0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推动高等教育分类发展。推动高等教育普及发展，提升高等教育育人水平。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市教育局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9" w:line="180" w:lineRule="auto"/>
              <w:ind w:firstLine="260" w:firstLineChars="0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加快终身教育发展。推动继续教育提升发展，大力发展社区教育和老年教育，打造开放畅通的人才成长通道。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市教育局、市人力资源社会保障局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9" w:line="180" w:lineRule="auto"/>
              <w:ind w:firstLine="260" w:firstLineChars="0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鼓励社会力量投入教育。发展教育培训服务业，深化民办教育分类管理改革，实施民办学校规范达标和品牌提升计划。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市教育局、市人力资源社会保障局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04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before="60" w:line="180" w:lineRule="auto"/>
              <w:ind w:firstLine="260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强化就业优先政策。稳定和扩大就业增长点，加强公共就业创业服务，健全终身职业技能培训体系，完善兜底安置和失业预警机制，积极开发老龄人力资源。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市人力资源社会保障   局、市发展改革局、市教育局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9" w:line="180" w:lineRule="auto"/>
              <w:ind w:firstLine="260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完善促进就业的社会保险制度。完善失业保险制度，完善工伤保险制度，构建新业态用工和社保制度。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02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before="61" w:line="180" w:lineRule="auto"/>
              <w:ind w:firstLine="260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加快现代人力资源服务业发展。建设现代化人力资源服务体系，加强人力资源服务产业园建设，实施人力资源服务骨干企业培育工程。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right="166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市人力资源社会保障局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8" w:line="180" w:lineRule="auto"/>
              <w:ind w:firstLine="260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6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构建就业导向收入增长机制。深化收入分配制度改革，促进劳动者工资合理增长，逐步缩小区域城乡收入差距。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市人力资源社会保障 局、市发展改革局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02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before="61" w:line="180" w:lineRule="auto"/>
              <w:ind w:firstLine="260" w:firstLineChars="0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65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增强公共卫生服务能力。加强疾病预防控制服务体系建设，加强重大疫情救治体系建设，完善基本公共卫生服务体系，提升卫生应急能力。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right="166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市卫生健康局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85" w:line="180" w:lineRule="auto"/>
              <w:ind w:firstLine="259" w:firstLineChars="0"/>
              <w:jc w:val="left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推动优质医疗资源均衡发展。优化省域优质医疗资源布局，大力提升县域医疗服务能力，改善优化医疗卫生服务。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right="166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市卫生健康局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10" w:type="dxa"/>
            <w:vAlign w:val="top"/>
          </w:tcPr>
          <w:p>
            <w:pPr>
              <w:spacing w:line="248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before="61" w:line="180" w:lineRule="auto"/>
              <w:ind w:firstLine="259" w:firstLineChars="0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67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提升中医药服务能力。加强中医药诊疗机构内涵建设，强化中医药保护传承，推进中医药创新发展。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right="166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市卫生健康局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50" w:lineRule="auto"/>
              <w:jc w:val="left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</w:rPr>
            </w:pPr>
          </w:p>
          <w:p>
            <w:pPr>
              <w:spacing w:before="60" w:line="180" w:lineRule="auto"/>
              <w:ind w:firstLine="259" w:firstLineChars="0"/>
              <w:jc w:val="left"/>
              <w:rPr>
                <w:rFonts w:hint="default" w:ascii="黑体" w:hAnsi="黑体" w:eastAsia="黑体" w:cs="黑体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2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210" w:leftChars="100" w:right="166" w:firstLine="0" w:firstLineChars="0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深化医药卫生体制改革。深化分级诊疗制度改革，强化公立医院 绩效考核改革，完善医疗保障制度，完善药品供应保障制度，规范发展社会办医。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right="166"/>
              <w:jc w:val="both"/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  <w:lang w:eastAsia="zh-CN"/>
              </w:rPr>
              <w:t>市卫生健康局、市医疗保障</w:t>
            </w:r>
            <w:r>
              <w:rPr>
                <w:rFonts w:hint="eastAsia" w:ascii="黑体" w:hAnsi="黑体" w:eastAsia="黑体" w:cs="黑体"/>
                <w:b w:val="0"/>
                <w:bCs w:val="0"/>
                <w:spacing w:val="-3"/>
                <w:sz w:val="21"/>
                <w:szCs w:val="21"/>
              </w:rPr>
              <w:t>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441" w:lineRule="auto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60" w:line="180" w:lineRule="auto"/>
              <w:ind w:firstLine="234" w:firstLineChars="0"/>
              <w:jc w:val="left"/>
              <w:rPr>
                <w:rFonts w:hint="default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69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210" w:leftChars="100" w:right="166" w:firstLine="0" w:firstLineChars="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促进健康服务业快速发展。创新发展高端医疗技术服务，推动健康服务多样化发展，积极发展商业健康保险。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right="166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市卫生健康局、市发展改革局、市金融工作局， 汕尾银保监分局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251" w:lineRule="auto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60" w:line="180" w:lineRule="auto"/>
              <w:ind w:firstLine="259" w:firstLineChars="0"/>
              <w:jc w:val="left"/>
              <w:rPr>
                <w:rFonts w:hint="default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扩大保障性住房供给。做好公共租赁住房保障，重点发展政策性租赁住房，因地制宜发展共有产权房，稳步推进棚户区改造。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市住房城乡建设局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50" w:line="180" w:lineRule="auto"/>
              <w:ind w:firstLine="259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深化住房制度改革。优化住房供给结构，培育和发展住房租赁市场，促进商品房市场健康发展。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市住房城乡建设局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7" w:line="180" w:lineRule="auto"/>
              <w:ind w:firstLine="259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提高住房宜居水平。全面推进城镇老旧小区改造，改善农村人居环境。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市住房城乡建设局、市农业农村局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50" w:line="180" w:lineRule="auto"/>
              <w:ind w:firstLine="259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提升社会救助和社会福利水平。夯实基本生活救助，完善专项和急难社会救助，健全社会福利服务网络。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市民政局、市应急管理局、市医疗保障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局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、市残联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01" w:lineRule="auto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60" w:line="180" w:lineRule="auto"/>
              <w:ind w:firstLine="259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加强公共法律服务供给。持续推进法律援助惠民生，促进人民调解服务专业化多元化发展，深化村（社区）法律顾问服务，加强法治宣传教育。</w:t>
            </w:r>
          </w:p>
        </w:tc>
        <w:tc>
          <w:tcPr>
            <w:tcW w:w="2604" w:type="dxa"/>
            <w:vAlign w:val="top"/>
          </w:tcPr>
          <w:p>
            <w:pPr>
              <w:spacing w:before="142" w:line="275" w:lineRule="auto"/>
              <w:ind w:right="166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</w:p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市司法局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01" w:lineRule="auto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60" w:line="180" w:lineRule="auto"/>
              <w:ind w:firstLine="259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</w:rPr>
              <w:t>7</w:t>
            </w: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强化残疾人保障和发展。保障残疾人基本民生，推动残疾人就业 创业，优化残疾人健康和教育服务，维护残疾人合法权益，加快残疾人事业现代化进程。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市残联，相关行业主管 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6" w:line="180" w:lineRule="auto"/>
              <w:ind w:firstLine="264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76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加大退役军人安置力度。健全移交安置机制，改进安置办法，提高安置质量，提升服务保障水平。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市退役军人事务局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6" w:line="180" w:lineRule="auto"/>
              <w:ind w:firstLine="264" w:firstLineChars="0"/>
              <w:jc w:val="left"/>
              <w:rPr>
                <w:rFonts w:hint="default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77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促进退役军人就业创业。加强教育培训，促进多渠道就业，强化创业支持。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市退役军人事务局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6" w:line="180" w:lineRule="auto"/>
              <w:ind w:firstLine="264" w:firstLineChars="0"/>
              <w:jc w:val="left"/>
              <w:rPr>
                <w:rFonts w:hint="default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78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提高优待抚恤服务水平。提升优待抚恤水平，加强集中供养服务，强化精神褒奖和荣誉激励。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市退役军人事务局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46" w:line="180" w:lineRule="auto"/>
              <w:ind w:firstLine="264" w:firstLineChars="0"/>
              <w:jc w:val="left"/>
              <w:rPr>
                <w:rFonts w:hint="default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79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丰富公共文化供给。完善公共文化设施，开展文化惠民服务，繁荣文艺创作展演。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市委宣传部，市文化广电旅游体育局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75" w:line="180" w:lineRule="auto"/>
              <w:ind w:firstLine="264" w:firstLineChars="0"/>
              <w:jc w:val="left"/>
              <w:rPr>
                <w:rFonts w:hint="default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lang w:val="en-US" w:eastAsia="zh-CN"/>
              </w:rPr>
              <w:t>80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开展全民健身行动。优化场地设施资源配置，广泛开展全民健身赛事活动。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市文化广电旅游体育局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211" w:line="180" w:lineRule="auto"/>
              <w:ind w:firstLine="264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</w:rPr>
              <w:t>8</w:t>
            </w: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right="166" w:firstLine="204" w:firstLineChars="10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改善国民休闲品质。完善国民休闲制度，拓展国民休闲空间。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市文化广电旅游体育局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263" w:lineRule="auto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60" w:line="180" w:lineRule="auto"/>
              <w:ind w:firstLine="264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</w:rPr>
              <w:t>8</w:t>
            </w: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210" w:leftChars="100" w:right="166" w:firstLine="0" w:firstLineChars="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推动多元业态发展。大力发展现代文化产业，促进体育产业发展和消费升级，提升全域现代旅游服务。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市委宣传部，市文化广电旅游体育局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77" w:lineRule="auto"/>
              <w:jc w:val="left"/>
              <w:rPr>
                <w:rFonts w:hint="eastAsia" w:ascii="黑体" w:hAnsi="黑体" w:eastAsia="黑体" w:cs="黑体"/>
                <w:sz w:val="21"/>
                <w:szCs w:val="21"/>
              </w:rPr>
            </w:pPr>
          </w:p>
          <w:p>
            <w:pPr>
              <w:spacing w:before="61" w:line="180" w:lineRule="auto"/>
              <w:ind w:firstLine="264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</w:rPr>
              <w:t>8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210" w:leftChars="100" w:right="166" w:firstLine="0" w:firstLineChars="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加强人才队伍建设。构建全方位人才培养体系，引导人才向基层一线流动，深化专业技术职称制度改革，完善事业单位薪酬制度 改革。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right="166" w:firstLine="204" w:firstLineChars="10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市委组织部、人力资源社会保障局，相关行业主管部门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72" w:lineRule="auto"/>
              <w:jc w:val="left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before="61" w:line="180" w:lineRule="auto"/>
              <w:ind w:firstLine="264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</w:rPr>
              <w:t>8</w:t>
            </w: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210" w:leftChars="100" w:right="166" w:firstLine="0" w:firstLineChars="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强化财政保障能力。优先保障公共服务支出投入，理顺财政事权和支出责任划分，强化财力投入绩效评价。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right="166" w:firstLine="204" w:firstLineChars="10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市财政局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before="319" w:line="180" w:lineRule="auto"/>
              <w:ind w:firstLine="264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</w:rPr>
              <w:t>8</w:t>
            </w:r>
            <w:r>
              <w:rPr>
                <w:rFonts w:hint="eastAsia" w:ascii="黑体" w:hAnsi="黑体" w:eastAsia="黑体" w:cs="黑体"/>
                <w:spacing w:val="-4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210" w:leftChars="100" w:right="166" w:firstLine="0" w:firstLineChars="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完善土地供给机制。合理规划用地布局，</w:t>
            </w: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优先保障用地指标，依法保障各类主体用地。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市自然资源局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270" w:lineRule="auto"/>
              <w:jc w:val="left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270" w:lineRule="auto"/>
              <w:jc w:val="left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before="60" w:line="180" w:lineRule="auto"/>
              <w:ind w:firstLine="260" w:firstLineChars="0"/>
              <w:jc w:val="left"/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>86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210" w:leftChars="100" w:right="166" w:firstLine="0" w:firstLineChars="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加快数字化发展。拓展数字化公共服务，提升在线公共服务水平，加强数据资源开发使用。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相关行业主管部门，市 发展改革局、市科技局、市工业和信息化局、市政务服务数据管理局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246" w:lineRule="auto"/>
              <w:jc w:val="left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before="60" w:line="180" w:lineRule="auto"/>
              <w:ind w:firstLine="260" w:firstLineChars="0"/>
              <w:jc w:val="left"/>
              <w:rPr>
                <w:rFonts w:hint="default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87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210" w:leftChars="100" w:right="166" w:firstLine="0" w:firstLineChars="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加强组织领导。推进落实国家和省人民政府制定的公共服务相关规划和政策措施，制定本级公共服务规划或任务清单，确保任务落实到位；相关部门按照职责分工推动各领域重点任务、重点改革、重点项目有效落实；建立部门工作协调机制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各县（市、区）人民政府，市有关部门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299" w:lineRule="auto"/>
              <w:jc w:val="left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before="60" w:line="180" w:lineRule="auto"/>
              <w:ind w:firstLine="260" w:firstLineChars="0"/>
              <w:jc w:val="left"/>
              <w:rPr>
                <w:rFonts w:hint="default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88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210" w:leftChars="100" w:right="166" w:firstLine="0" w:firstLineChars="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优化发展环境。围绕公共服务目标任务，进一步细化配套制度和政策措施；强化社会信用体系支撑；加强公共服务行业自律和社会监督。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各县（市、区）人民政府，市有关部门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15" w:lineRule="auto"/>
              <w:jc w:val="left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line="316" w:lineRule="auto"/>
              <w:jc w:val="left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before="61" w:line="180" w:lineRule="auto"/>
              <w:ind w:firstLine="260" w:firstLineChars="0"/>
              <w:jc w:val="left"/>
              <w:rPr>
                <w:rFonts w:hint="default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5986" w:type="dxa"/>
            <w:vAlign w:val="center"/>
          </w:tcPr>
          <w:p>
            <w:pPr>
              <w:spacing w:before="142" w:line="275" w:lineRule="auto"/>
              <w:ind w:left="210" w:leftChars="100" w:right="166" w:firstLine="0" w:firstLineChars="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夯实项目支撑。针对公共服务短板和弱项，研究提出重点项目，纳入省和市重点项目计划，加强财政预算与项目投资计划的衔接；认真做好项目立项、资金筹措、项目实施、竣工验收等工作。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市发展改革局、市教育局、市民政局、市财政局、市人力资源社会保障局、市自然资源局、市文化广电旅游体育局、市卫生健康局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47" w:hRule="atLeast"/>
        </w:trPr>
        <w:tc>
          <w:tcPr>
            <w:tcW w:w="710" w:type="dxa"/>
            <w:vAlign w:val="top"/>
          </w:tcPr>
          <w:p>
            <w:pPr>
              <w:spacing w:line="369" w:lineRule="auto"/>
              <w:jc w:val="left"/>
              <w:rPr>
                <w:rFonts w:hint="eastAsia" w:ascii="黑体" w:hAnsi="黑体" w:eastAsia="黑体" w:cs="黑体"/>
                <w:sz w:val="21"/>
              </w:rPr>
            </w:pPr>
          </w:p>
          <w:p>
            <w:pPr>
              <w:spacing w:before="60" w:line="180" w:lineRule="auto"/>
              <w:ind w:firstLine="260" w:firstLineChars="0"/>
              <w:jc w:val="left"/>
              <w:rPr>
                <w:rFonts w:hint="default" w:ascii="黑体" w:hAnsi="黑体" w:eastAsia="黑体" w:cs="黑体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2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5986" w:type="dxa"/>
            <w:vAlign w:val="top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</w:p>
          <w:p>
            <w:pPr>
              <w:spacing w:before="142" w:line="275" w:lineRule="auto"/>
              <w:ind w:left="210" w:leftChars="100" w:right="166" w:firstLine="0" w:firstLineChars="0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加强监管评估。健全规划实施监测评估机制、动态调整修订机制、监督考核机制。</w:t>
            </w:r>
          </w:p>
        </w:tc>
        <w:tc>
          <w:tcPr>
            <w:tcW w:w="2604" w:type="dxa"/>
            <w:vAlign w:val="center"/>
          </w:tcPr>
          <w:p>
            <w:pPr>
              <w:spacing w:before="142" w:line="275" w:lineRule="auto"/>
              <w:ind w:left="113" w:right="166" w:firstLine="4"/>
              <w:jc w:val="both"/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eastAsia="zh-CN"/>
              </w:rPr>
              <w:t>市发展改革局、市审计局、市统计局，各县（市、区）人民政府</w:t>
            </w:r>
          </w:p>
        </w:tc>
      </w:tr>
    </w:tbl>
    <w:p>
      <w:pPr>
        <w:rPr>
          <w:rFonts w:ascii="宋体"/>
          <w:sz w:val="21"/>
        </w:rPr>
      </w:pPr>
    </w:p>
    <w:sectPr>
      <w:footerReference r:id="rId5" w:type="default"/>
      <w:pgSz w:w="11905" w:h="16840"/>
      <w:pgMar w:top="1431" w:right="1303" w:bottom="1123" w:left="1304" w:header="0" w:footer="93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2" w:lineRule="exact"/>
      <w:ind w:firstLine="8071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0E2806"/>
    <w:rsid w:val="00101AE9"/>
    <w:rsid w:val="010F1DA1"/>
    <w:rsid w:val="012810B4"/>
    <w:rsid w:val="020F7B7E"/>
    <w:rsid w:val="02AB38E0"/>
    <w:rsid w:val="02FC04C9"/>
    <w:rsid w:val="03BB6210"/>
    <w:rsid w:val="044B2285"/>
    <w:rsid w:val="04D8691B"/>
    <w:rsid w:val="04EB6681"/>
    <w:rsid w:val="05023B5E"/>
    <w:rsid w:val="060317A8"/>
    <w:rsid w:val="060755F3"/>
    <w:rsid w:val="06400C4E"/>
    <w:rsid w:val="06AB60C8"/>
    <w:rsid w:val="06E85402"/>
    <w:rsid w:val="07994A2A"/>
    <w:rsid w:val="082F5E85"/>
    <w:rsid w:val="09246605"/>
    <w:rsid w:val="0A222B45"/>
    <w:rsid w:val="0C2A5CE1"/>
    <w:rsid w:val="0C721436"/>
    <w:rsid w:val="0CF449BB"/>
    <w:rsid w:val="0D2D5038"/>
    <w:rsid w:val="0E232D13"/>
    <w:rsid w:val="0EB16245"/>
    <w:rsid w:val="0F046C72"/>
    <w:rsid w:val="0F9A317D"/>
    <w:rsid w:val="0F9A5808"/>
    <w:rsid w:val="0FF90D32"/>
    <w:rsid w:val="10A0693A"/>
    <w:rsid w:val="10B570E7"/>
    <w:rsid w:val="114A2981"/>
    <w:rsid w:val="117E74BF"/>
    <w:rsid w:val="12706D20"/>
    <w:rsid w:val="129E4D32"/>
    <w:rsid w:val="1340403C"/>
    <w:rsid w:val="1358575C"/>
    <w:rsid w:val="13CE5AEB"/>
    <w:rsid w:val="147062DF"/>
    <w:rsid w:val="14B364B2"/>
    <w:rsid w:val="150115A9"/>
    <w:rsid w:val="16363A52"/>
    <w:rsid w:val="1705788A"/>
    <w:rsid w:val="174F484D"/>
    <w:rsid w:val="17525B6D"/>
    <w:rsid w:val="175A3CEF"/>
    <w:rsid w:val="177E7641"/>
    <w:rsid w:val="181A30AD"/>
    <w:rsid w:val="1828588E"/>
    <w:rsid w:val="19EC2D77"/>
    <w:rsid w:val="19F92C12"/>
    <w:rsid w:val="1A8011C2"/>
    <w:rsid w:val="1B19703D"/>
    <w:rsid w:val="1C890801"/>
    <w:rsid w:val="1CA76EDA"/>
    <w:rsid w:val="1DEA52D0"/>
    <w:rsid w:val="1E341623"/>
    <w:rsid w:val="1F182311"/>
    <w:rsid w:val="1F9C4CF0"/>
    <w:rsid w:val="20B33045"/>
    <w:rsid w:val="21C4408A"/>
    <w:rsid w:val="22431DF1"/>
    <w:rsid w:val="22456F79"/>
    <w:rsid w:val="22F10EAE"/>
    <w:rsid w:val="2344390D"/>
    <w:rsid w:val="2355143D"/>
    <w:rsid w:val="239D1036"/>
    <w:rsid w:val="24AA7567"/>
    <w:rsid w:val="24E231A5"/>
    <w:rsid w:val="259509E3"/>
    <w:rsid w:val="26031F83"/>
    <w:rsid w:val="27A552EA"/>
    <w:rsid w:val="280D678A"/>
    <w:rsid w:val="286E6AFD"/>
    <w:rsid w:val="2953641F"/>
    <w:rsid w:val="295F4587"/>
    <w:rsid w:val="2A600152"/>
    <w:rsid w:val="2A6E5785"/>
    <w:rsid w:val="2AD965E7"/>
    <w:rsid w:val="2BA72A52"/>
    <w:rsid w:val="2C493B09"/>
    <w:rsid w:val="2CD20E72"/>
    <w:rsid w:val="2D177764"/>
    <w:rsid w:val="2D2E5D73"/>
    <w:rsid w:val="2D594220"/>
    <w:rsid w:val="2F495C8D"/>
    <w:rsid w:val="2F6B3D97"/>
    <w:rsid w:val="305331A8"/>
    <w:rsid w:val="30C327AD"/>
    <w:rsid w:val="315B4A75"/>
    <w:rsid w:val="31864EB8"/>
    <w:rsid w:val="32517965"/>
    <w:rsid w:val="32867865"/>
    <w:rsid w:val="32A108E2"/>
    <w:rsid w:val="33DE547F"/>
    <w:rsid w:val="34AE30A3"/>
    <w:rsid w:val="35D97CAC"/>
    <w:rsid w:val="3694433F"/>
    <w:rsid w:val="36962041"/>
    <w:rsid w:val="37797DF3"/>
    <w:rsid w:val="377A54BF"/>
    <w:rsid w:val="37936580"/>
    <w:rsid w:val="385555E4"/>
    <w:rsid w:val="38F31085"/>
    <w:rsid w:val="3A012D45"/>
    <w:rsid w:val="3A39289C"/>
    <w:rsid w:val="3AA84863"/>
    <w:rsid w:val="3AFB3AFA"/>
    <w:rsid w:val="3AFE6A4F"/>
    <w:rsid w:val="3BE4091D"/>
    <w:rsid w:val="3C8D17F0"/>
    <w:rsid w:val="3D5B070A"/>
    <w:rsid w:val="3DBD4357"/>
    <w:rsid w:val="3E03620E"/>
    <w:rsid w:val="3E2E184B"/>
    <w:rsid w:val="3EB50E8A"/>
    <w:rsid w:val="40BC16C2"/>
    <w:rsid w:val="410628B2"/>
    <w:rsid w:val="4126600E"/>
    <w:rsid w:val="4185518C"/>
    <w:rsid w:val="42A95947"/>
    <w:rsid w:val="43CD7EAE"/>
    <w:rsid w:val="43D45D88"/>
    <w:rsid w:val="45CA13BF"/>
    <w:rsid w:val="45FD4022"/>
    <w:rsid w:val="46FD7572"/>
    <w:rsid w:val="47262F6D"/>
    <w:rsid w:val="47745A86"/>
    <w:rsid w:val="485F6737"/>
    <w:rsid w:val="49861AA1"/>
    <w:rsid w:val="498B5309"/>
    <w:rsid w:val="49AB1508"/>
    <w:rsid w:val="4A6022F2"/>
    <w:rsid w:val="4B2E0642"/>
    <w:rsid w:val="4B6F6E49"/>
    <w:rsid w:val="4C7E00D3"/>
    <w:rsid w:val="4D981DA3"/>
    <w:rsid w:val="4EDE5EDB"/>
    <w:rsid w:val="4F7A5C04"/>
    <w:rsid w:val="4F93316A"/>
    <w:rsid w:val="50310EFF"/>
    <w:rsid w:val="514A4C73"/>
    <w:rsid w:val="52080617"/>
    <w:rsid w:val="528073C9"/>
    <w:rsid w:val="535E75EB"/>
    <w:rsid w:val="54520EFE"/>
    <w:rsid w:val="556F1F83"/>
    <w:rsid w:val="55825812"/>
    <w:rsid w:val="56353A28"/>
    <w:rsid w:val="57B10631"/>
    <w:rsid w:val="57E75E01"/>
    <w:rsid w:val="58F22CAF"/>
    <w:rsid w:val="5927664D"/>
    <w:rsid w:val="5971610B"/>
    <w:rsid w:val="599C2C1B"/>
    <w:rsid w:val="59BA3E7F"/>
    <w:rsid w:val="5A4412E8"/>
    <w:rsid w:val="5A6C083F"/>
    <w:rsid w:val="5A715E56"/>
    <w:rsid w:val="5A806D1D"/>
    <w:rsid w:val="5A987886"/>
    <w:rsid w:val="5AB81CD6"/>
    <w:rsid w:val="5ADC7773"/>
    <w:rsid w:val="5AF96D9C"/>
    <w:rsid w:val="5BF71D4A"/>
    <w:rsid w:val="5C1F025F"/>
    <w:rsid w:val="5CCE3A33"/>
    <w:rsid w:val="5D55380D"/>
    <w:rsid w:val="5E13121D"/>
    <w:rsid w:val="5E9640DD"/>
    <w:rsid w:val="5FBD631D"/>
    <w:rsid w:val="5FEDB53A"/>
    <w:rsid w:val="61363955"/>
    <w:rsid w:val="61691F7C"/>
    <w:rsid w:val="61A82AA5"/>
    <w:rsid w:val="61C471B3"/>
    <w:rsid w:val="61D12C97"/>
    <w:rsid w:val="62116DA2"/>
    <w:rsid w:val="62F375C6"/>
    <w:rsid w:val="62FB4B02"/>
    <w:rsid w:val="63071F6A"/>
    <w:rsid w:val="631303F2"/>
    <w:rsid w:val="640D4E41"/>
    <w:rsid w:val="64406FC4"/>
    <w:rsid w:val="644772B7"/>
    <w:rsid w:val="653C6C2F"/>
    <w:rsid w:val="65C504AF"/>
    <w:rsid w:val="65E63B9C"/>
    <w:rsid w:val="66652FCC"/>
    <w:rsid w:val="66B7430E"/>
    <w:rsid w:val="67252CD4"/>
    <w:rsid w:val="67BF6AB8"/>
    <w:rsid w:val="682E68F2"/>
    <w:rsid w:val="68907DEF"/>
    <w:rsid w:val="68C006D4"/>
    <w:rsid w:val="6A2F1616"/>
    <w:rsid w:val="6A3A4E64"/>
    <w:rsid w:val="6B19231D"/>
    <w:rsid w:val="6B4D0219"/>
    <w:rsid w:val="6C2152D1"/>
    <w:rsid w:val="6C5D448C"/>
    <w:rsid w:val="6C850770"/>
    <w:rsid w:val="6CDE737B"/>
    <w:rsid w:val="6E301E58"/>
    <w:rsid w:val="6EAF2651"/>
    <w:rsid w:val="6F887A72"/>
    <w:rsid w:val="6F8D6E36"/>
    <w:rsid w:val="6F945ADC"/>
    <w:rsid w:val="70543304"/>
    <w:rsid w:val="70E54AA0"/>
    <w:rsid w:val="710E6355"/>
    <w:rsid w:val="72437107"/>
    <w:rsid w:val="73612AB3"/>
    <w:rsid w:val="737F118B"/>
    <w:rsid w:val="7456013E"/>
    <w:rsid w:val="74736F42"/>
    <w:rsid w:val="74D55507"/>
    <w:rsid w:val="75750C7F"/>
    <w:rsid w:val="767430FE"/>
    <w:rsid w:val="771A36A5"/>
    <w:rsid w:val="779A47E6"/>
    <w:rsid w:val="77B27D81"/>
    <w:rsid w:val="77D65B6D"/>
    <w:rsid w:val="77D879DC"/>
    <w:rsid w:val="78732CEF"/>
    <w:rsid w:val="78FB203E"/>
    <w:rsid w:val="792151BF"/>
    <w:rsid w:val="7A24285F"/>
    <w:rsid w:val="7A9E572A"/>
    <w:rsid w:val="7AA73C64"/>
    <w:rsid w:val="7B207F1A"/>
    <w:rsid w:val="7B3D77E6"/>
    <w:rsid w:val="7B7F80D9"/>
    <w:rsid w:val="7CC01F5C"/>
    <w:rsid w:val="7D1E420E"/>
    <w:rsid w:val="7D680EDC"/>
    <w:rsid w:val="7E346D07"/>
    <w:rsid w:val="7E4234E1"/>
    <w:rsid w:val="7E4D0EC8"/>
    <w:rsid w:val="7F155E8B"/>
    <w:rsid w:val="7F2B4252"/>
    <w:rsid w:val="7FBB6D54"/>
    <w:rsid w:val="A7F6C80C"/>
    <w:rsid w:val="D9DD5697"/>
    <w:rsid w:val="E7758847"/>
    <w:rsid w:val="E7FF04FB"/>
    <w:rsid w:val="EDF727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ScaleCrop>false</ScaleCrop>
  <LinksUpToDate>false</LinksUpToDate>
  <Application>WPS Office_11.8.2.10912_F1E327BC-269C-435d-A152-05C5408002CA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2021-11-20T07:01:00Z</dcterms:created>
  <dc:creator>作者</dc:creator>
  <cp:keywords>关键字</cp:keywords>
  <cp:lastModifiedBy>xu</cp:lastModifiedBy>
  <cp:lastPrinted>2021-12-01T23:16:00Z</cp:lastPrinted>
  <dcterms:modified xsi:type="dcterms:W3CDTF">2022-03-10T02:58:11Z</dcterms:modified>
  <dc:subject>科目</dc:subject>
  <dc:title>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2021-11-24T16:46:32Z</vt:filetime>
  </property>
  <property fmtid="{D5CDD505-2E9C-101B-9397-08002B2CF9AE}" pid="4" name="KSOProductBuildVer">
    <vt:lpwstr>2052-11.8.2.10912</vt:lpwstr>
  </property>
  <property fmtid="{D5CDD505-2E9C-101B-9397-08002B2CF9AE}" pid="5" name="ICV">
    <vt:lpwstr>E8E7BBCA69AC4F69ABCCEE95CA25D2EF</vt:lpwstr>
  </property>
</Properties>
</file>