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heme="minorEastAsia" w:hAnsiTheme="minorEastAsia" w:eastAsiaTheme="minorEastAsia" w:cstheme="minorEastAsia"/>
          <w:sz w:val="24"/>
          <w:szCs w:val="24"/>
          <w:lang w:eastAsia="zh-CN"/>
        </w:rPr>
      </w:pPr>
      <w:bookmarkStart w:id="5" w:name="_GoBack"/>
      <w:bookmarkEnd w:id="5"/>
    </w:p>
    <w:p>
      <w:pPr>
        <w:pStyle w:val="10"/>
        <w:keepLines/>
        <w:snapToGrid w:val="0"/>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汕尾市</w:t>
      </w:r>
      <w:r>
        <w:rPr>
          <w:rFonts w:hint="eastAsia" w:ascii="方正小标宋简体" w:hAnsi="方正小标宋简体" w:eastAsia="方正小标宋简体" w:cs="方正小标宋简体"/>
          <w:sz w:val="44"/>
          <w:szCs w:val="44"/>
        </w:rPr>
        <w:t>农村生活污水治理攻坚行动</w:t>
      </w:r>
      <w:r>
        <w:rPr>
          <w:rFonts w:hint="eastAsia" w:ascii="方正小标宋简体" w:hAnsi="方正小标宋简体" w:eastAsia="方正小标宋简体" w:cs="方正小标宋简体"/>
          <w:sz w:val="44"/>
          <w:szCs w:val="44"/>
          <w:lang w:val="en-US" w:eastAsia="zh-CN"/>
        </w:rPr>
        <w:t>总体</w:t>
      </w:r>
      <w:r>
        <w:rPr>
          <w:rFonts w:hint="eastAsia" w:ascii="方正小标宋简体" w:hAnsi="方正小标宋简体" w:eastAsia="方正小标宋简体" w:cs="方正小标宋简体"/>
          <w:sz w:val="44"/>
          <w:szCs w:val="44"/>
        </w:rPr>
        <w:t>方案</w:t>
      </w:r>
    </w:p>
    <w:p>
      <w:pPr>
        <w:keepNext w:val="0"/>
        <w:keepLines w:val="0"/>
        <w:pageBreakBefore w:val="0"/>
        <w:widowControl w:val="0"/>
        <w:kinsoku/>
        <w:wordWrap/>
        <w:overflowPunct/>
        <w:topLinePunct w:val="0"/>
        <w:autoSpaceDE/>
        <w:autoSpaceDN/>
        <w:bidi w:val="0"/>
        <w:adjustRightInd w:val="0"/>
        <w:snapToGrid/>
        <w:spacing w:before="313" w:beforeLines="100" w:line="360" w:lineRule="auto"/>
        <w:ind w:firstLine="480" w:firstLineChars="20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为深入践行习近平生态文明思想，贯彻落实党中央、国务院、省委、省政府以及市委、市政府关于全面推进乡村振兴战略的一系列工作部署，根据《广东省人民政府办公厅关于印发深化我省农村生活污水治理玫坚行动指导意见的通知》(粤办函〔2021〕285号)有关规定，加快补齐我市农村生活污水治理短板，切实改善农村人居环境，结合我市实际，制定本方案。</w:t>
      </w:r>
    </w:p>
    <w:p>
      <w:pPr>
        <w:pStyle w:val="11"/>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baseline"/>
        <w:rPr>
          <w:rFonts w:ascii="黑体" w:hAnsi="黑体" w:eastAsia="黑体" w:cs="黑体"/>
          <w:color w:val="auto"/>
          <w:sz w:val="24"/>
          <w:szCs w:val="24"/>
        </w:rPr>
      </w:pPr>
      <w:r>
        <w:rPr>
          <w:rFonts w:hint="eastAsia" w:ascii="黑体" w:hAnsi="黑体" w:eastAsia="黑体" w:cs="黑体"/>
          <w:color w:val="auto"/>
          <w:sz w:val="24"/>
          <w:szCs w:val="24"/>
        </w:rPr>
        <w:t>一、总体要求</w:t>
      </w:r>
    </w:p>
    <w:p>
      <w:pPr>
        <w:pStyle w:val="11"/>
        <w:keepNext w:val="0"/>
        <w:keepLines w:val="0"/>
        <w:pageBreakBefore w:val="0"/>
        <w:tabs>
          <w:tab w:val="left" w:pos="1359"/>
        </w:tabs>
        <w:kinsoku/>
        <w:wordWrap/>
        <w:overflowPunct/>
        <w:topLinePunct w:val="0"/>
        <w:autoSpaceDE/>
        <w:autoSpaceDN/>
        <w:bidi w:val="0"/>
        <w:adjustRightInd w:val="0"/>
        <w:snapToGrid/>
        <w:spacing w:line="360" w:lineRule="auto"/>
        <w:ind w:firstLine="480" w:firstLineChars="200"/>
        <w:jc w:val="both"/>
        <w:textAlignment w:val="baseline"/>
        <w:rPr>
          <w:rFonts w:ascii="楷体" w:hAnsi="楷体" w:eastAsia="楷体" w:cs="楷体"/>
          <w:color w:val="auto"/>
          <w:sz w:val="24"/>
          <w:szCs w:val="24"/>
        </w:rPr>
      </w:pPr>
      <w:bookmarkStart w:id="0" w:name="bookmark3"/>
      <w:r>
        <w:rPr>
          <w:rFonts w:hint="eastAsia" w:ascii="楷体" w:hAnsi="楷体" w:eastAsia="楷体" w:cs="楷体"/>
          <w:color w:val="auto"/>
          <w:sz w:val="24"/>
          <w:szCs w:val="24"/>
        </w:rPr>
        <w:t>（</w:t>
      </w:r>
      <w:bookmarkEnd w:id="0"/>
      <w:r>
        <w:rPr>
          <w:rFonts w:hint="eastAsia" w:ascii="楷体" w:hAnsi="楷体" w:eastAsia="楷体" w:cs="楷体"/>
          <w:color w:val="auto"/>
          <w:sz w:val="24"/>
          <w:szCs w:val="24"/>
        </w:rPr>
        <w:t>一）指导思想</w:t>
      </w:r>
    </w:p>
    <w:p>
      <w:pPr>
        <w:pStyle w:val="11"/>
        <w:keepNext w:val="0"/>
        <w:keepLines w:val="0"/>
        <w:pageBreakBefore w:val="0"/>
        <w:tabs>
          <w:tab w:val="left" w:pos="1359"/>
        </w:tabs>
        <w:kinsoku/>
        <w:wordWrap/>
        <w:overflowPunct/>
        <w:topLinePunct w:val="0"/>
        <w:autoSpaceDE/>
        <w:autoSpaceDN/>
        <w:bidi w:val="0"/>
        <w:adjustRightInd w:val="0"/>
        <w:snapToGrid/>
        <w:spacing w:line="360" w:lineRule="auto"/>
        <w:ind w:firstLine="480" w:firstLineChars="200"/>
        <w:jc w:val="both"/>
        <w:textAlignment w:val="baseline"/>
        <w:rPr>
          <w:rFonts w:ascii="仿宋_GB2312" w:hAnsi="仿宋_GB2312" w:eastAsia="仿宋_GB2312" w:cs="仿宋_GB2312"/>
          <w:color w:val="auto"/>
          <w:sz w:val="24"/>
          <w:szCs w:val="24"/>
        </w:rPr>
      </w:pPr>
      <w:r>
        <w:rPr>
          <w:rFonts w:hint="eastAsia" w:asciiTheme="minorEastAsia" w:hAnsiTheme="minorEastAsia" w:eastAsiaTheme="minorEastAsia" w:cstheme="minorEastAsia"/>
          <w:color w:val="auto"/>
          <w:sz w:val="24"/>
          <w:szCs w:val="24"/>
        </w:rPr>
        <w:t>以习近平新时代中国特色社会主义思想为指导，全面贯彻党的十九大及十九届二中、三中、四中、五中</w:t>
      </w:r>
      <w:r>
        <w:rPr>
          <w:rFonts w:hint="eastAsia" w:asciiTheme="minorEastAsia" w:hAnsiTheme="minorEastAsia" w:eastAsiaTheme="minorEastAsia" w:cstheme="minorEastAsia"/>
          <w:color w:val="auto"/>
          <w:sz w:val="24"/>
          <w:szCs w:val="24"/>
          <w:lang w:eastAsia="zh-CN"/>
        </w:rPr>
        <w:t>、六中</w:t>
      </w:r>
      <w:r>
        <w:rPr>
          <w:rFonts w:hint="eastAsia" w:asciiTheme="minorEastAsia" w:hAnsiTheme="minorEastAsia" w:eastAsiaTheme="minorEastAsia" w:cstheme="minorEastAsia"/>
          <w:color w:val="auto"/>
          <w:sz w:val="24"/>
          <w:szCs w:val="24"/>
        </w:rPr>
        <w:t>全会精神，按照省委、省政府</w:t>
      </w:r>
      <w:r>
        <w:rPr>
          <w:rFonts w:hint="eastAsia" w:asciiTheme="minorEastAsia" w:hAnsiTheme="minorEastAsia" w:eastAsiaTheme="minorEastAsia" w:cstheme="minorEastAsia"/>
          <w:color w:val="auto"/>
          <w:sz w:val="24"/>
          <w:szCs w:val="24"/>
          <w:lang w:eastAsia="zh-CN"/>
        </w:rPr>
        <w:t>关于实施</w:t>
      </w:r>
      <w:r>
        <w:rPr>
          <w:rFonts w:hint="eastAsia" w:asciiTheme="minorEastAsia" w:hAnsiTheme="minorEastAsia" w:eastAsiaTheme="minorEastAsia" w:cstheme="minorEastAsia"/>
          <w:color w:val="auto"/>
          <w:sz w:val="24"/>
          <w:szCs w:val="24"/>
        </w:rPr>
        <w:t>“三农”领域</w:t>
      </w:r>
      <w:r>
        <w:rPr>
          <w:rFonts w:hint="eastAsia" w:asciiTheme="minorEastAsia" w:hAnsiTheme="minorEastAsia" w:eastAsiaTheme="minorEastAsia" w:cstheme="minorEastAsia"/>
          <w:color w:val="auto"/>
          <w:sz w:val="24"/>
          <w:szCs w:val="24"/>
          <w:lang w:eastAsia="zh-CN"/>
        </w:rPr>
        <w:t>突出短板</w:t>
      </w:r>
      <w:r>
        <w:rPr>
          <w:rFonts w:hint="eastAsia" w:asciiTheme="minorEastAsia" w:hAnsiTheme="minorEastAsia" w:eastAsiaTheme="minorEastAsia" w:cstheme="minorEastAsia"/>
          <w:color w:val="auto"/>
          <w:sz w:val="24"/>
          <w:szCs w:val="24"/>
        </w:rPr>
        <w:t>“九大攻坚”行动的部署，</w:t>
      </w:r>
      <w:bookmarkStart w:id="1" w:name="bookmark4"/>
      <w:r>
        <w:rPr>
          <w:rFonts w:hint="eastAsia" w:asciiTheme="minorEastAsia" w:hAnsiTheme="minorEastAsia" w:eastAsiaTheme="minorEastAsia" w:cstheme="minorEastAsia"/>
          <w:color w:val="auto"/>
          <w:sz w:val="24"/>
          <w:szCs w:val="24"/>
        </w:rPr>
        <w:t>坚持数量服从质量，进度服从实效，以提高农村生活污水治理率、设施有效运行率和</w:t>
      </w:r>
      <w:r>
        <w:rPr>
          <w:rFonts w:hint="eastAsia" w:asciiTheme="minorEastAsia" w:hAnsiTheme="minorEastAsia" w:eastAsiaTheme="minorEastAsia" w:cstheme="minorEastAsia"/>
          <w:color w:val="auto"/>
          <w:sz w:val="24"/>
          <w:szCs w:val="24"/>
          <w:lang w:eastAsia="zh-CN"/>
        </w:rPr>
        <w:t>村</w:t>
      </w:r>
      <w:r>
        <w:rPr>
          <w:rFonts w:hint="eastAsia" w:asciiTheme="minorEastAsia" w:hAnsiTheme="minorEastAsia" w:eastAsiaTheme="minorEastAsia" w:cstheme="minorEastAsia"/>
          <w:color w:val="auto"/>
          <w:sz w:val="24"/>
          <w:szCs w:val="24"/>
        </w:rPr>
        <w:t>民满意率为目标，</w:t>
      </w:r>
      <w:r>
        <w:rPr>
          <w:rFonts w:hint="eastAsia" w:asciiTheme="minorEastAsia" w:hAnsiTheme="minorEastAsia" w:eastAsiaTheme="minorEastAsia" w:cstheme="minorEastAsia"/>
          <w:color w:val="auto"/>
          <w:sz w:val="24"/>
          <w:szCs w:val="24"/>
          <w:lang w:eastAsia="zh-CN"/>
        </w:rPr>
        <w:t>以</w:t>
      </w:r>
      <w:r>
        <w:rPr>
          <w:rFonts w:hint="eastAsia" w:asciiTheme="minorEastAsia" w:hAnsiTheme="minorEastAsia" w:eastAsiaTheme="minorEastAsia" w:cstheme="minorEastAsia"/>
          <w:color w:val="auto"/>
          <w:sz w:val="24"/>
          <w:szCs w:val="24"/>
        </w:rPr>
        <w:t>建立健全市级统筹、县级主导、乡镇落实、村级参与、市场运作、</w:t>
      </w:r>
      <w:r>
        <w:rPr>
          <w:rFonts w:hint="eastAsia" w:asciiTheme="minorEastAsia" w:hAnsiTheme="minorEastAsia" w:eastAsiaTheme="minorEastAsia" w:cstheme="minorEastAsia"/>
          <w:color w:val="auto"/>
          <w:sz w:val="24"/>
          <w:szCs w:val="24"/>
          <w:lang w:eastAsia="zh-CN"/>
        </w:rPr>
        <w:t>村</w:t>
      </w:r>
      <w:r>
        <w:rPr>
          <w:rFonts w:hint="eastAsia" w:asciiTheme="minorEastAsia" w:hAnsiTheme="minorEastAsia" w:eastAsiaTheme="minorEastAsia" w:cstheme="minorEastAsia"/>
          <w:color w:val="auto"/>
          <w:sz w:val="24"/>
          <w:szCs w:val="24"/>
        </w:rPr>
        <w:t>民受益的农村生活污水治理体系</w:t>
      </w:r>
      <w:r>
        <w:rPr>
          <w:rFonts w:hint="eastAsia" w:asciiTheme="minorEastAsia" w:hAnsiTheme="minorEastAsia" w:eastAsiaTheme="minorEastAsia" w:cstheme="minorEastAsia"/>
          <w:color w:val="auto"/>
          <w:sz w:val="24"/>
          <w:szCs w:val="24"/>
          <w:lang w:eastAsia="zh-CN"/>
        </w:rPr>
        <w:t>为重点，</w:t>
      </w:r>
      <w:r>
        <w:rPr>
          <w:rFonts w:hint="eastAsia" w:asciiTheme="minorEastAsia" w:hAnsiTheme="minorEastAsia" w:eastAsiaTheme="minorEastAsia" w:cstheme="minorEastAsia"/>
          <w:color w:val="auto"/>
          <w:sz w:val="24"/>
          <w:szCs w:val="24"/>
        </w:rPr>
        <w:t>因地制宜选择治理模式，提高工程建设质量，提升运维保障水平，</w:t>
      </w:r>
      <w:r>
        <w:rPr>
          <w:rFonts w:hint="eastAsia" w:asciiTheme="minorEastAsia" w:hAnsiTheme="minorEastAsia" w:eastAsiaTheme="minorEastAsia" w:cstheme="minorEastAsia"/>
          <w:color w:val="auto"/>
          <w:sz w:val="24"/>
          <w:szCs w:val="24"/>
          <w:lang w:eastAsia="zh-CN"/>
        </w:rPr>
        <w:t>强化农村基层社会治理实践，</w:t>
      </w:r>
      <w:r>
        <w:rPr>
          <w:rFonts w:hint="eastAsia" w:asciiTheme="minorEastAsia" w:hAnsiTheme="minorEastAsia" w:eastAsiaTheme="minorEastAsia" w:cstheme="minorEastAsia"/>
          <w:color w:val="auto"/>
          <w:sz w:val="24"/>
          <w:szCs w:val="24"/>
        </w:rPr>
        <w:t>促进农村生态环境明显改善，为全面推进乡村振兴奠定坚实的生态环境基础。</w:t>
      </w:r>
    </w:p>
    <w:p>
      <w:pPr>
        <w:pStyle w:val="11"/>
        <w:keepNext w:val="0"/>
        <w:keepLines w:val="0"/>
        <w:pageBreakBefore w:val="0"/>
        <w:tabs>
          <w:tab w:val="left" w:pos="1359"/>
        </w:tabs>
        <w:kinsoku/>
        <w:wordWrap/>
        <w:overflowPunct/>
        <w:topLinePunct w:val="0"/>
        <w:autoSpaceDE/>
        <w:autoSpaceDN/>
        <w:bidi w:val="0"/>
        <w:adjustRightInd w:val="0"/>
        <w:snapToGrid/>
        <w:spacing w:line="360" w:lineRule="auto"/>
        <w:ind w:firstLine="480" w:firstLineChars="200"/>
        <w:jc w:val="both"/>
        <w:textAlignment w:val="baseline"/>
        <w:rPr>
          <w:rFonts w:ascii="楷体" w:hAnsi="楷体" w:eastAsia="楷体" w:cs="楷体"/>
          <w:color w:val="auto"/>
          <w:sz w:val="24"/>
          <w:szCs w:val="24"/>
        </w:rPr>
      </w:pPr>
      <w:r>
        <w:rPr>
          <w:rFonts w:hint="eastAsia" w:ascii="楷体" w:hAnsi="楷体" w:eastAsia="楷体" w:cs="楷体"/>
          <w:color w:val="auto"/>
          <w:sz w:val="24"/>
          <w:szCs w:val="24"/>
        </w:rPr>
        <w:t>（</w:t>
      </w:r>
      <w:bookmarkEnd w:id="1"/>
      <w:r>
        <w:rPr>
          <w:rFonts w:hint="eastAsia" w:ascii="楷体" w:hAnsi="楷体" w:eastAsia="楷体" w:cs="楷体"/>
          <w:color w:val="auto"/>
          <w:sz w:val="24"/>
          <w:szCs w:val="24"/>
        </w:rPr>
        <w:t>二）基本原则</w:t>
      </w:r>
    </w:p>
    <w:p>
      <w:pPr>
        <w:pStyle w:val="11"/>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en-US"/>
        </w:rPr>
        <w:t>1.问题导向</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类</w:t>
      </w:r>
      <w:r>
        <w:rPr>
          <w:rFonts w:hint="eastAsia" w:ascii="宋体" w:hAnsi="宋体" w:eastAsia="宋体" w:cs="宋体"/>
          <w:color w:val="auto"/>
          <w:sz w:val="24"/>
          <w:szCs w:val="24"/>
        </w:rPr>
        <w:t>指导。</w:t>
      </w:r>
      <w:r>
        <w:rPr>
          <w:rFonts w:hint="eastAsia" w:ascii="宋体" w:hAnsi="宋体" w:eastAsia="宋体" w:cs="宋体"/>
          <w:color w:val="auto"/>
          <w:sz w:val="24"/>
          <w:szCs w:val="24"/>
          <w:lang w:val="en-US" w:eastAsia="zh-CN"/>
        </w:rPr>
        <w:t>根据省生态环境厅摸查和审计等有关部门检查反馈意见，结合各县（市、区）实际情况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差别化设置治理目标任务。坚持问题导向，梯次推进，优先</w:t>
      </w:r>
      <w:r>
        <w:rPr>
          <w:rFonts w:hint="eastAsia" w:ascii="宋体" w:hAnsi="宋体" w:eastAsia="宋体" w:cs="宋体"/>
          <w:color w:val="auto"/>
          <w:sz w:val="24"/>
          <w:szCs w:val="24"/>
          <w:lang w:eastAsia="zh-CN"/>
        </w:rPr>
        <w:t>治理人口规模大且居住集中</w:t>
      </w:r>
      <w:r>
        <w:rPr>
          <w:rFonts w:hint="eastAsia" w:ascii="宋体" w:hAnsi="宋体" w:eastAsia="宋体" w:cs="宋体"/>
          <w:color w:val="auto"/>
          <w:sz w:val="24"/>
          <w:szCs w:val="24"/>
          <w:lang w:val="en-US" w:eastAsia="zh-CN"/>
        </w:rPr>
        <w:t>区域</w:t>
      </w:r>
      <w:r>
        <w:rPr>
          <w:rFonts w:hint="eastAsia" w:ascii="宋体" w:hAnsi="宋体" w:eastAsia="宋体" w:cs="宋体"/>
          <w:color w:val="auto"/>
          <w:sz w:val="24"/>
          <w:szCs w:val="24"/>
          <w:lang w:eastAsia="zh-CN"/>
        </w:rPr>
        <w:t>、村民治理需求迫切、乡镇政府驻地、</w:t>
      </w:r>
      <w:r>
        <w:rPr>
          <w:rFonts w:hint="eastAsia" w:ascii="宋体" w:hAnsi="宋体" w:eastAsia="宋体" w:cs="宋体"/>
          <w:color w:val="auto"/>
          <w:sz w:val="24"/>
          <w:szCs w:val="24"/>
          <w:lang w:val="en-US" w:eastAsia="zh-CN"/>
        </w:rPr>
        <w:t>中心村、</w:t>
      </w:r>
      <w:r>
        <w:rPr>
          <w:rFonts w:hint="eastAsia" w:ascii="宋体" w:hAnsi="宋体" w:eastAsia="宋体" w:cs="宋体"/>
          <w:color w:val="auto"/>
          <w:sz w:val="24"/>
          <w:szCs w:val="24"/>
        </w:rPr>
        <w:t>黑臭水体集中区域、水源保护区、</w:t>
      </w:r>
      <w:r>
        <w:rPr>
          <w:rFonts w:hint="eastAsia" w:ascii="宋体" w:hAnsi="宋体" w:eastAsia="宋体" w:cs="宋体"/>
          <w:color w:val="auto"/>
          <w:sz w:val="24"/>
          <w:szCs w:val="24"/>
          <w:lang w:eastAsia="zh-CN"/>
        </w:rPr>
        <w:t>城乡接合部、</w:t>
      </w:r>
      <w:r>
        <w:rPr>
          <w:rFonts w:hint="eastAsia" w:ascii="宋体" w:hAnsi="宋体" w:eastAsia="宋体" w:cs="宋体"/>
          <w:color w:val="auto"/>
          <w:sz w:val="24"/>
          <w:szCs w:val="24"/>
        </w:rPr>
        <w:t>旅游风景区、</w:t>
      </w:r>
      <w:r>
        <w:rPr>
          <w:rFonts w:hint="eastAsia" w:ascii="宋体" w:hAnsi="宋体" w:eastAsia="宋体" w:cs="宋体"/>
          <w:color w:val="auto"/>
          <w:sz w:val="24"/>
          <w:szCs w:val="24"/>
          <w:lang w:eastAsia="zh-CN"/>
        </w:rPr>
        <w:t>美丽乡村风貌示范带、</w:t>
      </w:r>
      <w:r>
        <w:rPr>
          <w:rFonts w:hint="eastAsia" w:ascii="宋体" w:hAnsi="宋体" w:eastAsia="宋体" w:cs="宋体"/>
          <w:color w:val="auto"/>
          <w:sz w:val="24"/>
          <w:szCs w:val="24"/>
        </w:rPr>
        <w:t>国考断面</w:t>
      </w:r>
      <w:r>
        <w:rPr>
          <w:rFonts w:hint="eastAsia" w:ascii="宋体" w:hAnsi="宋体" w:eastAsia="宋体" w:cs="宋体"/>
          <w:color w:val="auto"/>
          <w:sz w:val="24"/>
          <w:szCs w:val="24"/>
          <w:lang w:val="en-US" w:eastAsia="zh-CN"/>
        </w:rPr>
        <w:t>水质达标控制单元</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rPr>
        <w:t>重点区域内</w:t>
      </w:r>
      <w:r>
        <w:rPr>
          <w:rFonts w:hint="eastAsia" w:ascii="宋体" w:hAnsi="宋体" w:eastAsia="宋体" w:cs="宋体"/>
          <w:color w:val="auto"/>
          <w:sz w:val="24"/>
          <w:szCs w:val="24"/>
          <w:lang w:eastAsia="zh-CN"/>
        </w:rPr>
        <w:t>农村生活</w:t>
      </w:r>
      <w:r>
        <w:rPr>
          <w:rFonts w:hint="eastAsia" w:ascii="宋体" w:hAnsi="宋体" w:eastAsia="宋体" w:cs="宋体"/>
          <w:color w:val="auto"/>
          <w:sz w:val="24"/>
          <w:szCs w:val="24"/>
        </w:rPr>
        <w:t>污水。</w:t>
      </w:r>
    </w:p>
    <w:p>
      <w:pPr>
        <w:pStyle w:val="11"/>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bidi="en-US"/>
        </w:rPr>
        <w:t>2.</w:t>
      </w:r>
      <w:r>
        <w:rPr>
          <w:rFonts w:hint="eastAsia" w:ascii="宋体" w:hAnsi="宋体" w:eastAsia="宋体" w:cs="宋体"/>
          <w:color w:val="auto"/>
          <w:sz w:val="24"/>
          <w:szCs w:val="24"/>
        </w:rPr>
        <w:t>因地制宜、</w:t>
      </w:r>
      <w:r>
        <w:rPr>
          <w:rFonts w:hint="eastAsia" w:ascii="宋体" w:hAnsi="宋体" w:eastAsia="宋体" w:cs="宋体"/>
          <w:color w:val="auto"/>
          <w:sz w:val="24"/>
          <w:szCs w:val="24"/>
          <w:lang w:val="en-US" w:eastAsia="zh-CN"/>
        </w:rPr>
        <w:t>一村一策</w:t>
      </w:r>
      <w:r>
        <w:rPr>
          <w:rFonts w:hint="eastAsia" w:ascii="宋体" w:hAnsi="宋体" w:eastAsia="宋体" w:cs="宋体"/>
          <w:color w:val="auto"/>
          <w:sz w:val="24"/>
          <w:szCs w:val="24"/>
        </w:rPr>
        <w:t>。尊重农民生产生活习惯，</w:t>
      </w:r>
      <w:r>
        <w:rPr>
          <w:rFonts w:hint="eastAsia" w:ascii="宋体" w:hAnsi="宋体" w:eastAsia="宋体" w:cs="宋体"/>
          <w:color w:val="auto"/>
          <w:sz w:val="24"/>
          <w:szCs w:val="24"/>
          <w:lang w:eastAsia="zh-CN"/>
        </w:rPr>
        <w:t>根据</w:t>
      </w:r>
      <w:r>
        <w:rPr>
          <w:rFonts w:hint="eastAsia" w:ascii="宋体" w:hAnsi="宋体" w:eastAsia="宋体" w:cs="宋体"/>
          <w:color w:val="auto"/>
          <w:sz w:val="24"/>
          <w:szCs w:val="24"/>
          <w:lang w:val="en-US" w:eastAsia="zh-CN"/>
        </w:rPr>
        <w:t>村庄实际，因地制宜、一村一策选择合理的治理模式。城镇周边的自然村优先纳入城镇生活污水处理厂；在满足污水处理要求的前提下，优先选择成熟可靠、投资小、能耗低的污水处理工艺和设备；在农业资源发达且人口规模小、居住分散的村庄或者零散农户鼓励采用资源化利用模式。</w:t>
      </w:r>
    </w:p>
    <w:p>
      <w:pPr>
        <w:pStyle w:val="11"/>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en-US"/>
        </w:rPr>
        <w:t>3.</w:t>
      </w:r>
      <w:r>
        <w:rPr>
          <w:rFonts w:hint="eastAsia" w:ascii="宋体" w:hAnsi="宋体" w:eastAsia="宋体" w:cs="宋体"/>
          <w:color w:val="auto"/>
          <w:sz w:val="24"/>
          <w:szCs w:val="24"/>
        </w:rPr>
        <w:t>完善机制、建管并重。坚持</w:t>
      </w:r>
      <w:r>
        <w:rPr>
          <w:rFonts w:hint="eastAsia" w:ascii="宋体" w:hAnsi="宋体" w:eastAsia="宋体" w:cs="宋体"/>
          <w:color w:val="auto"/>
          <w:sz w:val="24"/>
          <w:szCs w:val="24"/>
          <w:lang w:val="en-US" w:eastAsia="zh-CN"/>
        </w:rPr>
        <w:t>规划引领</w:t>
      </w:r>
      <w:r>
        <w:rPr>
          <w:rFonts w:hint="eastAsia" w:ascii="宋体" w:hAnsi="宋体" w:eastAsia="宋体" w:cs="宋体"/>
          <w:color w:val="auto"/>
          <w:sz w:val="24"/>
          <w:szCs w:val="24"/>
        </w:rPr>
        <w:t>，推动农村生活污水处理设施建设和运行维护同步谋划、同步推进、同步落实；注重工程建设质量及运行维护成效，通过综合绩效评价推动农村生活污水治理持续健康发展。</w:t>
      </w:r>
    </w:p>
    <w:p>
      <w:pPr>
        <w:pStyle w:val="11"/>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en-US"/>
        </w:rPr>
        <w:t>4.</w:t>
      </w:r>
      <w:r>
        <w:rPr>
          <w:rFonts w:hint="eastAsia" w:ascii="宋体" w:hAnsi="宋体" w:eastAsia="宋体" w:cs="宋体"/>
          <w:color w:val="auto"/>
          <w:sz w:val="24"/>
          <w:szCs w:val="24"/>
        </w:rPr>
        <w:t>政企结合、群众参与。压实各县级政府主体责任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推行第三方治理，提升专业化、集约化、智能化建设运</w:t>
      </w:r>
      <w:r>
        <w:rPr>
          <w:rFonts w:hint="eastAsia" w:ascii="宋体" w:hAnsi="宋体" w:eastAsia="宋体" w:cs="宋体"/>
          <w:color w:val="auto"/>
          <w:sz w:val="24"/>
          <w:szCs w:val="24"/>
          <w:lang w:eastAsia="zh-CN"/>
        </w:rPr>
        <w:t>维</w:t>
      </w:r>
      <w:r>
        <w:rPr>
          <w:rFonts w:hint="eastAsia" w:ascii="宋体" w:hAnsi="宋体" w:eastAsia="宋体" w:cs="宋体"/>
          <w:color w:val="auto"/>
          <w:sz w:val="24"/>
          <w:szCs w:val="24"/>
        </w:rPr>
        <w:t>水平。充分发挥镇村</w:t>
      </w:r>
      <w:r>
        <w:rPr>
          <w:rFonts w:hint="eastAsia" w:ascii="宋体" w:hAnsi="宋体" w:eastAsia="宋体" w:cs="宋体"/>
          <w:color w:val="auto"/>
          <w:sz w:val="24"/>
          <w:szCs w:val="24"/>
          <w:lang w:eastAsia="zh-CN"/>
        </w:rPr>
        <w:t>组织和农民工匠</w:t>
      </w:r>
      <w:r>
        <w:rPr>
          <w:rFonts w:hint="eastAsia" w:ascii="宋体" w:hAnsi="宋体" w:eastAsia="宋体" w:cs="宋体"/>
          <w:color w:val="auto"/>
          <w:sz w:val="24"/>
          <w:szCs w:val="24"/>
        </w:rPr>
        <w:t>作用，调动</w:t>
      </w:r>
      <w:r>
        <w:rPr>
          <w:rFonts w:hint="eastAsia" w:ascii="宋体" w:hAnsi="宋体" w:eastAsia="宋体" w:cs="宋体"/>
          <w:color w:val="auto"/>
          <w:sz w:val="24"/>
          <w:szCs w:val="24"/>
          <w:lang w:eastAsia="zh-CN"/>
        </w:rPr>
        <w:t>农民</w:t>
      </w:r>
      <w:r>
        <w:rPr>
          <w:rFonts w:hint="eastAsia" w:ascii="宋体" w:hAnsi="宋体" w:eastAsia="宋体" w:cs="宋体"/>
          <w:color w:val="auto"/>
          <w:sz w:val="24"/>
          <w:szCs w:val="24"/>
        </w:rPr>
        <w:t>参与积极性，</w:t>
      </w:r>
      <w:r>
        <w:rPr>
          <w:rFonts w:hint="eastAsia" w:ascii="宋体" w:hAnsi="宋体" w:eastAsia="宋体" w:cs="宋体"/>
          <w:color w:val="auto"/>
          <w:sz w:val="24"/>
          <w:szCs w:val="24"/>
          <w:lang w:eastAsia="zh-CN"/>
        </w:rPr>
        <w:t>提高农民参与度，畅通村民监督反馈渠道，</w:t>
      </w:r>
      <w:r>
        <w:rPr>
          <w:rFonts w:hint="eastAsia" w:ascii="宋体" w:hAnsi="宋体" w:eastAsia="宋体" w:cs="宋体"/>
          <w:color w:val="auto"/>
          <w:sz w:val="24"/>
          <w:szCs w:val="24"/>
        </w:rPr>
        <w:t>保障</w:t>
      </w:r>
      <w:r>
        <w:rPr>
          <w:rFonts w:hint="eastAsia" w:ascii="宋体" w:hAnsi="宋体" w:eastAsia="宋体" w:cs="宋体"/>
          <w:color w:val="auto"/>
          <w:sz w:val="24"/>
          <w:szCs w:val="24"/>
          <w:lang w:eastAsia="zh-CN"/>
        </w:rPr>
        <w:t>农民</w:t>
      </w:r>
      <w:r>
        <w:rPr>
          <w:rFonts w:hint="eastAsia" w:ascii="宋体" w:hAnsi="宋体" w:eastAsia="宋体" w:cs="宋体"/>
          <w:color w:val="auto"/>
          <w:sz w:val="24"/>
          <w:szCs w:val="24"/>
        </w:rPr>
        <w:t>的决策权、参与权与监督权。</w:t>
      </w:r>
    </w:p>
    <w:p>
      <w:pPr>
        <w:pStyle w:val="11"/>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en-US"/>
        </w:rPr>
        <w:t>5.</w:t>
      </w:r>
      <w:r>
        <w:rPr>
          <w:rFonts w:hint="eastAsia" w:ascii="宋体" w:hAnsi="宋体" w:eastAsia="宋体" w:cs="宋体"/>
          <w:color w:val="auto"/>
          <w:sz w:val="24"/>
          <w:szCs w:val="24"/>
        </w:rPr>
        <w:t>多元投入、形成合力。</w:t>
      </w:r>
      <w:r>
        <w:rPr>
          <w:rFonts w:hint="eastAsia" w:ascii="宋体" w:hAnsi="宋体" w:eastAsia="宋体" w:cs="宋体"/>
          <w:color w:val="auto"/>
          <w:sz w:val="24"/>
          <w:szCs w:val="24"/>
          <w:lang w:eastAsia="zh-CN"/>
        </w:rPr>
        <w:t>统筹</w:t>
      </w:r>
      <w:r>
        <w:rPr>
          <w:rFonts w:hint="eastAsia" w:ascii="宋体" w:hAnsi="宋体" w:eastAsia="宋体" w:cs="宋体"/>
          <w:color w:val="auto"/>
          <w:sz w:val="24"/>
          <w:szCs w:val="24"/>
        </w:rPr>
        <w:t>涉农资金</w:t>
      </w:r>
      <w:r>
        <w:rPr>
          <w:rFonts w:hint="eastAsia" w:ascii="宋体" w:hAnsi="宋体" w:eastAsia="宋体" w:cs="宋体"/>
          <w:color w:val="auto"/>
          <w:sz w:val="24"/>
          <w:szCs w:val="24"/>
          <w:lang w:eastAsia="zh-CN"/>
        </w:rPr>
        <w:t>安排</w:t>
      </w:r>
      <w:r>
        <w:rPr>
          <w:rFonts w:hint="eastAsia" w:ascii="宋体" w:hAnsi="宋体" w:eastAsia="宋体" w:cs="宋体"/>
          <w:color w:val="auto"/>
          <w:sz w:val="24"/>
          <w:szCs w:val="24"/>
        </w:rPr>
        <w:t>，用好相关金融政策，</w:t>
      </w:r>
      <w:r>
        <w:rPr>
          <w:rFonts w:hint="eastAsia" w:ascii="宋体" w:hAnsi="宋体" w:eastAsia="宋体" w:cs="宋体"/>
          <w:color w:val="auto"/>
          <w:sz w:val="24"/>
          <w:szCs w:val="24"/>
          <w:lang w:val="en-US" w:eastAsia="zh-CN"/>
        </w:rPr>
        <w:t>拓宽资金筹措渠道，优化已有PPP项目的实施，</w:t>
      </w:r>
      <w:r>
        <w:rPr>
          <w:rFonts w:hint="eastAsia" w:ascii="宋体" w:hAnsi="宋体" w:eastAsia="宋体" w:cs="宋体"/>
          <w:color w:val="auto"/>
          <w:sz w:val="24"/>
          <w:szCs w:val="24"/>
        </w:rPr>
        <w:t>建立健全</w:t>
      </w:r>
      <w:r>
        <w:rPr>
          <w:rFonts w:hint="eastAsia" w:ascii="宋体" w:hAnsi="宋体" w:eastAsia="宋体" w:cs="宋体"/>
          <w:color w:val="auto"/>
          <w:sz w:val="24"/>
          <w:szCs w:val="24"/>
          <w:lang w:val="en-US" w:eastAsia="zh-CN"/>
        </w:rPr>
        <w:t>市县</w:t>
      </w:r>
      <w:r>
        <w:rPr>
          <w:rFonts w:hint="eastAsia" w:ascii="宋体" w:hAnsi="宋体" w:eastAsia="宋体" w:cs="宋体"/>
          <w:color w:val="auto"/>
          <w:sz w:val="24"/>
          <w:szCs w:val="24"/>
        </w:rPr>
        <w:t>负担、企业投资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镇村自筹和社会支持的多元投入机制。</w:t>
      </w:r>
    </w:p>
    <w:p>
      <w:pPr>
        <w:pStyle w:val="11"/>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baseline"/>
        <w:rPr>
          <w:rFonts w:ascii="楷体" w:hAnsi="楷体" w:eastAsia="楷体" w:cs="楷体"/>
          <w:color w:val="auto"/>
          <w:sz w:val="24"/>
          <w:szCs w:val="24"/>
        </w:rPr>
      </w:pPr>
      <w:bookmarkStart w:id="2" w:name="bookmark5"/>
      <w:r>
        <w:rPr>
          <w:rFonts w:hint="eastAsia" w:ascii="楷体" w:hAnsi="楷体" w:eastAsia="楷体" w:cs="楷体"/>
          <w:color w:val="auto"/>
          <w:sz w:val="24"/>
          <w:szCs w:val="24"/>
        </w:rPr>
        <w:t>（</w:t>
      </w:r>
      <w:bookmarkEnd w:id="2"/>
      <w:r>
        <w:rPr>
          <w:rFonts w:hint="eastAsia" w:ascii="楷体" w:hAnsi="楷体" w:eastAsia="楷体" w:cs="楷体"/>
          <w:color w:val="auto"/>
          <w:sz w:val="24"/>
          <w:szCs w:val="24"/>
        </w:rPr>
        <w:t>三）工作目标</w:t>
      </w:r>
    </w:p>
    <w:p>
      <w:pPr>
        <w:pStyle w:val="11"/>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全面实施农村生活污水治理</w:t>
      </w:r>
      <w:r>
        <w:rPr>
          <w:rFonts w:hint="eastAsia" w:ascii="宋体" w:hAnsi="宋体" w:eastAsia="宋体" w:cs="宋体"/>
          <w:color w:val="auto"/>
          <w:sz w:val="24"/>
          <w:szCs w:val="24"/>
          <w:lang w:eastAsia="zh-CN"/>
        </w:rPr>
        <w:t>攻坚</w:t>
      </w:r>
      <w:r>
        <w:rPr>
          <w:rFonts w:hint="eastAsia" w:ascii="宋体" w:hAnsi="宋体" w:eastAsia="宋体" w:cs="宋体"/>
          <w:color w:val="auto"/>
          <w:sz w:val="24"/>
          <w:szCs w:val="24"/>
        </w:rPr>
        <w:t>行动，到2021年底，</w:t>
      </w:r>
      <w:r>
        <w:rPr>
          <w:rFonts w:hint="eastAsia" w:ascii="宋体" w:hAnsi="宋体" w:eastAsia="宋体" w:cs="宋体"/>
          <w:color w:val="auto"/>
          <w:sz w:val="24"/>
          <w:szCs w:val="24"/>
          <w:lang w:eastAsia="zh-CN"/>
        </w:rPr>
        <w:t>高质量完成</w:t>
      </w:r>
      <w:r>
        <w:rPr>
          <w:rFonts w:hint="eastAsia" w:ascii="宋体" w:hAnsi="宋体" w:eastAsia="宋体" w:cs="宋体"/>
          <w:color w:val="auto"/>
          <w:sz w:val="24"/>
          <w:szCs w:val="24"/>
          <w:lang w:val="en-US" w:eastAsia="zh-CN"/>
        </w:rPr>
        <w:t>50个</w:t>
      </w:r>
      <w:r>
        <w:rPr>
          <w:rFonts w:hint="eastAsia" w:ascii="宋体" w:hAnsi="宋体" w:eastAsia="宋体" w:cs="宋体"/>
          <w:color w:val="auto"/>
          <w:kern w:val="2"/>
          <w:sz w:val="24"/>
          <w:szCs w:val="24"/>
          <w:lang w:val="en-US" w:eastAsia="zh-CN" w:bidi="ar-SA"/>
        </w:rPr>
        <w:t>纳入2021年省政府农村生活污水治理民生实事办理储备库</w:t>
      </w:r>
      <w:r>
        <w:rPr>
          <w:rFonts w:hint="eastAsia" w:ascii="宋体" w:hAnsi="宋体" w:eastAsia="宋体" w:cs="宋体"/>
          <w:color w:val="auto"/>
          <w:sz w:val="24"/>
          <w:szCs w:val="24"/>
          <w:lang w:eastAsia="zh-CN"/>
        </w:rPr>
        <w:t>的自然村生活污水治理的工作任务。</w:t>
      </w:r>
      <w:r>
        <w:rPr>
          <w:rFonts w:hint="eastAsia" w:ascii="宋体" w:hAnsi="宋体" w:eastAsia="宋体" w:cs="宋体"/>
          <w:color w:val="auto"/>
          <w:sz w:val="24"/>
          <w:szCs w:val="24"/>
          <w:lang w:val="en-US" w:eastAsia="zh-CN"/>
        </w:rPr>
        <w:t>到2022年底前，基本完成重点区域内自然村新建治理工程及老旧设施和管网提升改造，力争全市农村生活污水治理率达到50%以上；到2025年底前，全市农村生活污水治理率确保达到60%以上。</w:t>
      </w:r>
    </w:p>
    <w:p>
      <w:pPr>
        <w:pStyle w:val="11"/>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baseline"/>
        <w:rPr>
          <w:rFonts w:ascii="黑体" w:hAnsi="黑体" w:eastAsia="黑体" w:cs="黑体"/>
          <w:color w:val="auto"/>
          <w:sz w:val="24"/>
          <w:szCs w:val="24"/>
          <w:lang w:val="en-US" w:eastAsia="zh-CN"/>
        </w:rPr>
      </w:pPr>
      <w:r>
        <w:rPr>
          <w:rFonts w:hint="eastAsia" w:ascii="黑体" w:hAnsi="黑体" w:eastAsia="黑体" w:cs="黑体"/>
          <w:color w:val="auto"/>
          <w:sz w:val="24"/>
          <w:szCs w:val="24"/>
        </w:rPr>
        <w:t>二、主要</w:t>
      </w:r>
      <w:r>
        <w:rPr>
          <w:rFonts w:hint="eastAsia" w:ascii="黑体" w:hAnsi="黑体" w:eastAsia="黑体" w:cs="黑体"/>
          <w:color w:val="auto"/>
          <w:sz w:val="24"/>
          <w:szCs w:val="24"/>
          <w:lang w:val="en-US" w:eastAsia="zh-CN"/>
        </w:rPr>
        <w:t>任务</w:t>
      </w:r>
    </w:p>
    <w:p>
      <w:pPr>
        <w:pStyle w:val="11"/>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baseline"/>
        <w:rPr>
          <w:rFonts w:ascii="楷体" w:hAnsi="楷体" w:eastAsia="楷体" w:cs="楷体"/>
          <w:color w:val="auto"/>
          <w:sz w:val="24"/>
          <w:szCs w:val="24"/>
          <w:lang w:eastAsia="zh-CN"/>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四</w:t>
      </w: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加强规划引领</w:t>
      </w:r>
    </w:p>
    <w:p>
      <w:pPr>
        <w:pStyle w:val="11"/>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各县（市、区）应组织技术团队，深入开展农村生活污水治理情况摸查，全面掌握村庄基本信息和治理需求，建立农村生活污水“一村一策”治理台账，明确治理模式；结合全省全面摸排反馈的问题清单，对问题设施开展自查复核，建立老旧、废弃设施提升改造及管网修复改造清单；结合国家、省关于重点村庄的识别要求，明确重点区域村庄，并结合近期远期治理目标明确治理时序。</w:t>
      </w:r>
    </w:p>
    <w:p>
      <w:pPr>
        <w:pStyle w:val="11"/>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根据摸排结果，编制县域农村生活污水治理专项规划。有序安排新建设施与老旧设施、管网提质增效，分类推进、分步实施，</w:t>
      </w:r>
      <w:r>
        <w:rPr>
          <w:rFonts w:hint="eastAsia" w:ascii="宋体" w:hAnsi="宋体" w:eastAsia="宋体" w:cs="宋体"/>
          <w:color w:val="auto"/>
          <w:sz w:val="24"/>
          <w:szCs w:val="24"/>
        </w:rPr>
        <w:t>优先</w:t>
      </w:r>
      <w:r>
        <w:rPr>
          <w:rFonts w:hint="eastAsia" w:ascii="宋体" w:hAnsi="宋体" w:eastAsia="宋体" w:cs="宋体"/>
          <w:color w:val="auto"/>
          <w:sz w:val="24"/>
          <w:szCs w:val="24"/>
          <w:lang w:eastAsia="zh-CN"/>
        </w:rPr>
        <w:t>治理人口规模大且居住集中</w:t>
      </w:r>
      <w:r>
        <w:rPr>
          <w:rFonts w:hint="eastAsia" w:ascii="宋体" w:hAnsi="宋体" w:eastAsia="宋体" w:cs="宋体"/>
          <w:color w:val="auto"/>
          <w:sz w:val="24"/>
          <w:szCs w:val="24"/>
          <w:lang w:val="en-US" w:eastAsia="zh-CN"/>
        </w:rPr>
        <w:t>区域</w:t>
      </w:r>
      <w:r>
        <w:rPr>
          <w:rFonts w:hint="eastAsia" w:ascii="宋体" w:hAnsi="宋体" w:eastAsia="宋体" w:cs="宋体"/>
          <w:color w:val="auto"/>
          <w:sz w:val="24"/>
          <w:szCs w:val="24"/>
          <w:lang w:eastAsia="zh-CN"/>
        </w:rPr>
        <w:t>、村民治理需求迫切、乡镇政府驻地、</w:t>
      </w:r>
      <w:r>
        <w:rPr>
          <w:rFonts w:hint="eastAsia" w:ascii="宋体" w:hAnsi="宋体" w:eastAsia="宋体" w:cs="宋体"/>
          <w:color w:val="auto"/>
          <w:sz w:val="24"/>
          <w:szCs w:val="24"/>
          <w:lang w:val="en-US" w:eastAsia="zh-CN"/>
        </w:rPr>
        <w:t>中心村、</w:t>
      </w:r>
      <w:r>
        <w:rPr>
          <w:rFonts w:hint="eastAsia" w:ascii="宋体" w:hAnsi="宋体" w:eastAsia="宋体" w:cs="宋体"/>
          <w:color w:val="auto"/>
          <w:sz w:val="24"/>
          <w:szCs w:val="24"/>
        </w:rPr>
        <w:t>黑臭水体集中区域、水源保护区、</w:t>
      </w:r>
      <w:r>
        <w:rPr>
          <w:rFonts w:hint="eastAsia" w:ascii="宋体" w:hAnsi="宋体" w:eastAsia="宋体" w:cs="宋体"/>
          <w:color w:val="auto"/>
          <w:sz w:val="24"/>
          <w:szCs w:val="24"/>
          <w:lang w:eastAsia="zh-CN"/>
        </w:rPr>
        <w:t>城乡接合部、</w:t>
      </w:r>
      <w:r>
        <w:rPr>
          <w:rFonts w:hint="eastAsia" w:ascii="宋体" w:hAnsi="宋体" w:eastAsia="宋体" w:cs="宋体"/>
          <w:color w:val="auto"/>
          <w:sz w:val="24"/>
          <w:szCs w:val="24"/>
        </w:rPr>
        <w:t>旅游风景区、</w:t>
      </w:r>
      <w:r>
        <w:rPr>
          <w:rFonts w:hint="eastAsia" w:ascii="宋体" w:hAnsi="宋体" w:eastAsia="宋体" w:cs="宋体"/>
          <w:color w:val="auto"/>
          <w:sz w:val="24"/>
          <w:szCs w:val="24"/>
          <w:lang w:eastAsia="zh-CN"/>
        </w:rPr>
        <w:t>美丽乡村风貌示范带、</w:t>
      </w:r>
      <w:r>
        <w:rPr>
          <w:rFonts w:hint="eastAsia" w:ascii="宋体" w:hAnsi="宋体" w:eastAsia="宋体" w:cs="宋体"/>
          <w:color w:val="auto"/>
          <w:sz w:val="24"/>
          <w:szCs w:val="24"/>
        </w:rPr>
        <w:t>国考断面</w:t>
      </w:r>
      <w:r>
        <w:rPr>
          <w:rFonts w:hint="eastAsia" w:ascii="宋体" w:hAnsi="宋体" w:eastAsia="宋体" w:cs="宋体"/>
          <w:color w:val="auto"/>
          <w:sz w:val="24"/>
          <w:szCs w:val="24"/>
          <w:lang w:val="en-US" w:eastAsia="zh-CN"/>
        </w:rPr>
        <w:t>水质达标控制单元及其他重点治理区域内的村庄。农村生活污水治理专项规划（或方案）应加强与农村生活污水治理与供水、厕所革命、水系整治、农房建设、道路建设、国考断面水质达标、农业生产等工作有效衔接，明确治理设施的运维管理要求；结合实际合理确定治理目标、细化年度任务，明确污水收集和治理模式、项目实施模式、运维管理模式和资金来源，配套做好新建处理设施选址和土地利用计划指标保障。</w:t>
      </w:r>
    </w:p>
    <w:p>
      <w:pPr>
        <w:pStyle w:val="11"/>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各县（市、区）应于2021年12月底前将摸排成果提交至市生态环境局，力争于12月底前完成县域农村生活污水治理专项规划编制。在各地完成摸排的基础上，市生态环境局应委托技术团队编制农村生活污水治理攻坚行动方案。方案力争于2022年1月底前报省级专家团队技术审核（</w:t>
      </w:r>
      <w:r>
        <w:rPr>
          <w:rFonts w:hint="eastAsia" w:ascii="宋体" w:hAnsi="宋体" w:eastAsia="宋体" w:cs="宋体"/>
          <w:color w:val="auto"/>
          <w:sz w:val="24"/>
          <w:szCs w:val="24"/>
        </w:rPr>
        <w:t>责任单位：各</w:t>
      </w:r>
      <w:r>
        <w:rPr>
          <w:rFonts w:hint="eastAsia" w:ascii="宋体" w:hAnsi="宋体" w:eastAsia="宋体" w:cs="宋体"/>
          <w:color w:val="auto"/>
          <w:sz w:val="24"/>
          <w:szCs w:val="24"/>
          <w:lang w:val="en-US" w:eastAsia="zh-CN"/>
        </w:rPr>
        <w:t>县</w:t>
      </w:r>
      <w:r>
        <w:rPr>
          <w:rFonts w:hint="eastAsia" w:ascii="宋体" w:hAnsi="宋体" w:eastAsia="宋体" w:cs="宋体"/>
          <w:color w:val="auto"/>
          <w:sz w:val="24"/>
          <w:szCs w:val="24"/>
        </w:rPr>
        <w:t>（市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区</w:t>
      </w:r>
      <w:r>
        <w:rPr>
          <w:rFonts w:hint="eastAsia" w:ascii="宋体" w:hAnsi="宋体" w:eastAsia="宋体" w:cs="宋体"/>
          <w:color w:val="auto"/>
          <w:sz w:val="24"/>
          <w:szCs w:val="24"/>
        </w:rPr>
        <w:t>）人民政府；指导单位：市生态环境局牵头，市住房城乡建设局、</w:t>
      </w:r>
      <w:r>
        <w:rPr>
          <w:rFonts w:hint="eastAsia" w:ascii="宋体" w:hAnsi="宋体" w:eastAsia="宋体" w:cs="宋体"/>
          <w:color w:val="auto"/>
          <w:sz w:val="24"/>
          <w:szCs w:val="24"/>
          <w:lang w:eastAsia="zh-CN"/>
        </w:rPr>
        <w:t>市</w:t>
      </w:r>
      <w:r>
        <w:rPr>
          <w:rFonts w:hint="eastAsia" w:ascii="宋体" w:hAnsi="宋体" w:eastAsia="宋体" w:cs="宋体"/>
          <w:color w:val="auto"/>
          <w:sz w:val="24"/>
          <w:szCs w:val="24"/>
        </w:rPr>
        <w:t>水务局、</w:t>
      </w:r>
      <w:r>
        <w:rPr>
          <w:rFonts w:hint="eastAsia" w:ascii="宋体" w:hAnsi="宋体" w:eastAsia="宋体" w:cs="宋体"/>
          <w:color w:val="auto"/>
          <w:sz w:val="24"/>
          <w:szCs w:val="24"/>
          <w:lang w:eastAsia="zh-CN"/>
        </w:rPr>
        <w:t>市</w:t>
      </w:r>
      <w:r>
        <w:rPr>
          <w:rFonts w:hint="eastAsia" w:ascii="宋体" w:hAnsi="宋体" w:eastAsia="宋体" w:cs="宋体"/>
          <w:color w:val="auto"/>
          <w:sz w:val="24"/>
          <w:szCs w:val="24"/>
        </w:rPr>
        <w:t>农业农村局</w:t>
      </w:r>
      <w:r>
        <w:rPr>
          <w:rFonts w:hint="eastAsia" w:ascii="宋体" w:hAnsi="宋体" w:eastAsia="宋体" w:cs="宋体"/>
          <w:color w:val="auto"/>
          <w:sz w:val="24"/>
          <w:szCs w:val="24"/>
          <w:lang w:eastAsia="zh-CN"/>
        </w:rPr>
        <w:t>、市自然资源局</w:t>
      </w:r>
      <w:r>
        <w:rPr>
          <w:rFonts w:hint="eastAsia" w:ascii="宋体" w:hAnsi="宋体" w:eastAsia="宋体" w:cs="宋体"/>
          <w:color w:val="auto"/>
          <w:sz w:val="24"/>
          <w:szCs w:val="24"/>
        </w:rPr>
        <w:t>等</w:t>
      </w:r>
      <w:r>
        <w:rPr>
          <w:rFonts w:hint="eastAsia" w:ascii="宋体" w:hAnsi="宋体" w:eastAsia="宋体" w:cs="宋体"/>
          <w:color w:val="auto"/>
          <w:sz w:val="24"/>
          <w:szCs w:val="24"/>
          <w:lang w:eastAsia="zh-CN"/>
        </w:rPr>
        <w:t>部门</w:t>
      </w:r>
      <w:r>
        <w:rPr>
          <w:rFonts w:hint="eastAsia" w:ascii="宋体" w:hAnsi="宋体" w:eastAsia="宋体" w:cs="宋体"/>
          <w:color w:val="auto"/>
          <w:sz w:val="24"/>
          <w:szCs w:val="24"/>
        </w:rPr>
        <w:t>按职责</w:t>
      </w:r>
      <w:r>
        <w:rPr>
          <w:rFonts w:hint="eastAsia" w:ascii="宋体" w:hAnsi="宋体" w:eastAsia="宋体" w:cs="宋体"/>
          <w:color w:val="auto"/>
          <w:sz w:val="24"/>
          <w:szCs w:val="24"/>
          <w:lang w:eastAsia="zh-CN"/>
        </w:rPr>
        <w:t>分工</w:t>
      </w:r>
      <w:r>
        <w:rPr>
          <w:rFonts w:hint="eastAsia" w:ascii="宋体" w:hAnsi="宋体" w:eastAsia="宋体" w:cs="宋体"/>
          <w:color w:val="auto"/>
          <w:sz w:val="24"/>
          <w:szCs w:val="24"/>
        </w:rPr>
        <w:t>负责。）</w:t>
      </w:r>
    </w:p>
    <w:p>
      <w:pPr>
        <w:pStyle w:val="11"/>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baseline"/>
        <w:rPr>
          <w:rFonts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（五）扎实推进新建治理工程</w:t>
      </w:r>
    </w:p>
    <w:p>
      <w:pPr>
        <w:pStyle w:val="11"/>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结合“一村一策”治理台账，分区分类开展新建治理工程。</w:t>
      </w:r>
      <w:r>
        <w:rPr>
          <w:rFonts w:hint="eastAsia" w:ascii="宋体" w:hAnsi="宋体" w:eastAsia="宋体" w:cs="宋体"/>
          <w:color w:val="auto"/>
          <w:sz w:val="24"/>
          <w:szCs w:val="24"/>
          <w:lang w:val="en-US"/>
        </w:rPr>
        <w:t>以镇带村，城镇周边的自然村应结合城镇排水现状及发展规划，优先将污水纳入城镇生活污水处理厂处理，加强配套管网建设；</w:t>
      </w:r>
      <w:r>
        <w:rPr>
          <w:rFonts w:hint="eastAsia" w:ascii="宋体" w:hAnsi="宋体" w:eastAsia="宋体" w:cs="宋体"/>
          <w:color w:val="auto"/>
          <w:sz w:val="24"/>
          <w:szCs w:val="24"/>
        </w:rPr>
        <w:t>人口规模较大的自然村，</w:t>
      </w:r>
      <w:r>
        <w:rPr>
          <w:rFonts w:hint="eastAsia" w:ascii="宋体" w:hAnsi="宋体" w:eastAsia="宋体" w:cs="宋体"/>
          <w:color w:val="auto"/>
          <w:sz w:val="24"/>
          <w:szCs w:val="24"/>
          <w:lang w:val="en-US" w:eastAsia="zh-CN"/>
        </w:rPr>
        <w:t>应综合常住人口规模、聚集程度、排水现状、排入水体水质要求等，合理确定处理设施的处理规模及管网分布，并在充分论证后选择经济适用、易于维护的工艺设备，科学选择排水体制，合理采取集中收集、集中处理的方式，尽量减少分散一体化设施的数量，杜绝“晒太阳”工程；在人口较少、居住分散、受纳体多且消纳能力强的村庄、片区，鼓励采用资源化利用的治理模式；对于纳入合并、撤并、搬迁及城市化改造计划的自然村可结合规划合理安排生活污水治理工作。对于排查发现原有PPP项目中自然村的治理模式不合理，应结合实际情况予以调整。</w:t>
      </w:r>
      <w:r>
        <w:rPr>
          <w:rFonts w:hint="eastAsia" w:ascii="宋体" w:hAnsi="宋体" w:eastAsia="宋体" w:cs="宋体"/>
          <w:color w:val="auto"/>
          <w:sz w:val="24"/>
          <w:szCs w:val="24"/>
        </w:rPr>
        <w:t>优先开展农村生活污水收集管网建设，加强与厕所革命、道路建设、黑臭水体治理等工作的衔接，实施户内管道优化改造。推动户用三级化粪池建设或改造，完善防渗措施，实现收集管网周边农户应接尽接。各县(市、区)要按照《广东省农村人居环境整治工程项目审批制度改革工作指导意见》《关于印发村庄建设项目施行简易审批实施意见的通知》有关要求,进一步压缩农村生活污水治理项目审批时间和办理成本。使用集体建设用地建设农村生活污水处理项目,无需办理建设项目用地预审与选址意见书;对符合国土空间规划和用途管制的项目,免于办理乡村建设规划许可证。区域一体推进的农村生活污水治理项目,其子项目达不到必须招标的规模标</w:t>
      </w:r>
    </w:p>
    <w:p>
      <w:pPr>
        <w:pStyle w:val="11"/>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准的,可以不进行招标,不视同为拆分项目。</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责任单位：各</w:t>
      </w:r>
      <w:r>
        <w:rPr>
          <w:rFonts w:hint="eastAsia" w:ascii="宋体" w:hAnsi="宋体" w:eastAsia="宋体" w:cs="宋体"/>
          <w:color w:val="auto"/>
          <w:sz w:val="24"/>
          <w:szCs w:val="24"/>
          <w:lang w:val="en-US" w:eastAsia="zh-CN"/>
        </w:rPr>
        <w:t>县</w:t>
      </w:r>
      <w:r>
        <w:rPr>
          <w:rFonts w:hint="eastAsia" w:ascii="宋体" w:hAnsi="宋体" w:eastAsia="宋体" w:cs="宋体"/>
          <w:color w:val="auto"/>
          <w:sz w:val="24"/>
          <w:szCs w:val="24"/>
        </w:rPr>
        <w:t>（市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区</w:t>
      </w:r>
      <w:r>
        <w:rPr>
          <w:rFonts w:hint="eastAsia" w:ascii="宋体" w:hAnsi="宋体" w:eastAsia="宋体" w:cs="宋体"/>
          <w:color w:val="auto"/>
          <w:sz w:val="24"/>
          <w:szCs w:val="24"/>
        </w:rPr>
        <w:t>）人民政府；指导单位：市生态环境局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市住房城乡建设局、</w:t>
      </w:r>
      <w:r>
        <w:rPr>
          <w:rFonts w:hint="eastAsia" w:ascii="宋体" w:hAnsi="宋体" w:eastAsia="宋体" w:cs="宋体"/>
          <w:color w:val="auto"/>
          <w:sz w:val="24"/>
          <w:szCs w:val="24"/>
          <w:lang w:eastAsia="zh-CN"/>
        </w:rPr>
        <w:t>市发展改革局、市自然资源局</w:t>
      </w:r>
      <w:r>
        <w:rPr>
          <w:rFonts w:hint="eastAsia" w:ascii="宋体" w:hAnsi="宋体" w:eastAsia="宋体" w:cs="宋体"/>
          <w:color w:val="auto"/>
          <w:sz w:val="24"/>
          <w:szCs w:val="24"/>
        </w:rPr>
        <w:t>牵头，</w:t>
      </w:r>
      <w:r>
        <w:rPr>
          <w:rFonts w:hint="eastAsia" w:ascii="宋体" w:hAnsi="宋体" w:eastAsia="宋体" w:cs="宋体"/>
          <w:color w:val="auto"/>
          <w:sz w:val="24"/>
          <w:szCs w:val="24"/>
          <w:lang w:eastAsia="zh-CN"/>
        </w:rPr>
        <w:t>市</w:t>
      </w:r>
      <w:r>
        <w:rPr>
          <w:rFonts w:hint="eastAsia" w:ascii="宋体" w:hAnsi="宋体" w:eastAsia="宋体" w:cs="宋体"/>
          <w:color w:val="auto"/>
          <w:sz w:val="24"/>
          <w:szCs w:val="24"/>
        </w:rPr>
        <w:t>水务局、</w:t>
      </w:r>
      <w:r>
        <w:rPr>
          <w:rFonts w:hint="eastAsia" w:ascii="宋体" w:hAnsi="宋体" w:eastAsia="宋体" w:cs="宋体"/>
          <w:color w:val="auto"/>
          <w:sz w:val="24"/>
          <w:szCs w:val="24"/>
          <w:lang w:eastAsia="zh-CN"/>
        </w:rPr>
        <w:t>市</w:t>
      </w:r>
      <w:r>
        <w:rPr>
          <w:rFonts w:hint="eastAsia" w:ascii="宋体" w:hAnsi="宋体" w:eastAsia="宋体" w:cs="宋体"/>
          <w:color w:val="auto"/>
          <w:sz w:val="24"/>
          <w:szCs w:val="24"/>
        </w:rPr>
        <w:t>农业农村局</w:t>
      </w:r>
      <w:r>
        <w:rPr>
          <w:rFonts w:hint="eastAsia" w:ascii="宋体" w:hAnsi="宋体" w:eastAsia="宋体" w:cs="宋体"/>
          <w:color w:val="auto"/>
          <w:sz w:val="24"/>
          <w:szCs w:val="24"/>
          <w:lang w:eastAsia="zh-CN"/>
        </w:rPr>
        <w:t>、市林业局</w:t>
      </w:r>
      <w:r>
        <w:rPr>
          <w:rFonts w:hint="eastAsia" w:ascii="宋体" w:hAnsi="宋体" w:eastAsia="宋体" w:cs="宋体"/>
          <w:color w:val="auto"/>
          <w:sz w:val="24"/>
          <w:szCs w:val="24"/>
        </w:rPr>
        <w:t>等</w:t>
      </w:r>
      <w:r>
        <w:rPr>
          <w:rFonts w:hint="eastAsia" w:ascii="宋体" w:hAnsi="宋体" w:eastAsia="宋体" w:cs="宋体"/>
          <w:color w:val="auto"/>
          <w:sz w:val="24"/>
          <w:szCs w:val="24"/>
          <w:lang w:eastAsia="zh-CN"/>
        </w:rPr>
        <w:t>部门</w:t>
      </w:r>
      <w:r>
        <w:rPr>
          <w:rFonts w:hint="eastAsia" w:ascii="宋体" w:hAnsi="宋体" w:eastAsia="宋体" w:cs="宋体"/>
          <w:color w:val="auto"/>
          <w:sz w:val="24"/>
          <w:szCs w:val="24"/>
        </w:rPr>
        <w:t>按职责</w:t>
      </w:r>
      <w:r>
        <w:rPr>
          <w:rFonts w:hint="eastAsia" w:ascii="宋体" w:hAnsi="宋体" w:eastAsia="宋体" w:cs="宋体"/>
          <w:color w:val="auto"/>
          <w:sz w:val="24"/>
          <w:szCs w:val="24"/>
          <w:lang w:eastAsia="zh-CN"/>
        </w:rPr>
        <w:t>分工</w:t>
      </w:r>
      <w:r>
        <w:rPr>
          <w:rFonts w:hint="eastAsia" w:ascii="宋体" w:hAnsi="宋体" w:eastAsia="宋体" w:cs="宋体"/>
          <w:color w:val="auto"/>
          <w:sz w:val="24"/>
          <w:szCs w:val="24"/>
        </w:rPr>
        <w:t>负责。）</w:t>
      </w:r>
    </w:p>
    <w:p>
      <w:pPr>
        <w:pStyle w:val="11"/>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baseline"/>
        <w:rPr>
          <w:rFonts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（六）全面完成老旧设施及管网修复提升</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lang w:eastAsia="zh-CN" w:bidi="zh-TW"/>
        </w:rPr>
      </w:pPr>
      <w:r>
        <w:rPr>
          <w:rFonts w:hint="eastAsia" w:ascii="宋体" w:hAnsi="宋体" w:eastAsia="宋体" w:cs="宋体"/>
          <w:color w:val="auto"/>
          <w:sz w:val="24"/>
          <w:szCs w:val="24"/>
          <w:lang w:eastAsia="zh-CN" w:bidi="zh-TW"/>
        </w:rPr>
        <w:t>根据</w:t>
      </w:r>
      <w:r>
        <w:rPr>
          <w:rFonts w:hint="eastAsia" w:ascii="宋体" w:hAnsi="宋体" w:eastAsia="宋体" w:cs="宋体"/>
          <w:color w:val="auto"/>
          <w:sz w:val="24"/>
          <w:szCs w:val="24"/>
          <w:lang w:eastAsia="zh-CN"/>
        </w:rPr>
        <w:t>老旧、废弃设施修复提升及管网修复改造清单，</w:t>
      </w:r>
      <w:r>
        <w:rPr>
          <w:rFonts w:hint="eastAsia" w:ascii="宋体" w:hAnsi="宋体" w:eastAsia="宋体" w:cs="宋体"/>
          <w:color w:val="auto"/>
          <w:sz w:val="24"/>
          <w:szCs w:val="24"/>
          <w:lang w:eastAsia="zh-CN" w:bidi="zh-TW"/>
        </w:rPr>
        <w:t>以提升污水处理成效为目标，通过“修复、改造、重建”等方式，分级实施提质增效工程。优先完善居住集中、人口规模大的自然村管网，提升管网覆盖率及接户率；有序推进破损严重、错接漏接的管网修复工作；开展废弃或损坏闲置、施工停滞以及处理规模偏差较大、处理成效较差的设施修复或重建；对因未落实运维造成闲置的设施宜纳入新建设施运维管理统筹考虑；对治理模式不合实际、超出实际需求的设施进行整改，经充分论证后可淘汰处理设施，更换村庄污水治理模式。各县（市、区）力争于2022年底基本完成全市老旧设施及管网提升改造任务。</w:t>
      </w:r>
      <w:r>
        <w:rPr>
          <w:rFonts w:hint="eastAsia" w:ascii="宋体" w:hAnsi="宋体" w:eastAsia="宋体" w:cs="宋体"/>
          <w:color w:val="auto"/>
          <w:sz w:val="24"/>
          <w:szCs w:val="24"/>
          <w:lang w:eastAsia="zh-CN"/>
        </w:rPr>
        <w:t>（责任单位：各县（市、区）人民政府；指导单位：市生态环境局、市住房城乡建设局、市发展改革局、市农业农村局、市水务局</w:t>
      </w:r>
      <w:r>
        <w:rPr>
          <w:rFonts w:hint="eastAsia" w:ascii="宋体" w:hAnsi="宋体" w:eastAsia="宋体" w:cs="宋体"/>
          <w:color w:val="auto"/>
          <w:sz w:val="24"/>
          <w:szCs w:val="24"/>
        </w:rPr>
        <w:t>等</w:t>
      </w:r>
      <w:r>
        <w:rPr>
          <w:rFonts w:hint="eastAsia" w:ascii="宋体" w:hAnsi="宋体" w:eastAsia="宋体" w:cs="宋体"/>
          <w:color w:val="auto"/>
          <w:sz w:val="24"/>
          <w:szCs w:val="24"/>
          <w:lang w:eastAsia="zh-CN"/>
        </w:rPr>
        <w:t>部门按职责分工负责。）</w:t>
      </w:r>
    </w:p>
    <w:p>
      <w:pPr>
        <w:pStyle w:val="11"/>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baseline"/>
        <w:rPr>
          <w:rFonts w:ascii="楷体" w:hAnsi="楷体" w:eastAsia="楷体" w:cs="楷体"/>
          <w:color w:val="auto"/>
          <w:sz w:val="24"/>
          <w:szCs w:val="24"/>
          <w:lang w:val="en-US" w:eastAsia="zh-CN"/>
        </w:rPr>
      </w:pP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七</w:t>
      </w:r>
      <w:r>
        <w:rPr>
          <w:rFonts w:hint="eastAsia" w:ascii="楷体" w:hAnsi="楷体" w:eastAsia="楷体" w:cs="楷体"/>
          <w:color w:val="auto"/>
          <w:sz w:val="24"/>
          <w:szCs w:val="24"/>
          <w:lang w:eastAsia="zh-CN"/>
        </w:rPr>
        <w:t>）科学推进</w:t>
      </w:r>
      <w:r>
        <w:rPr>
          <w:rFonts w:hint="eastAsia" w:ascii="楷体" w:hAnsi="楷体" w:eastAsia="楷体" w:cs="楷体"/>
          <w:color w:val="auto"/>
          <w:sz w:val="24"/>
          <w:szCs w:val="24"/>
          <w:lang w:val="en-US" w:eastAsia="zh-CN"/>
        </w:rPr>
        <w:t>资源化利用</w:t>
      </w:r>
    </w:p>
    <w:p>
      <w:pPr>
        <w:pStyle w:val="11"/>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在村庄周边无黑臭水体、无敏感水体且受纳体消纳能力充足的前提下，对于人口规模小、居住分散或者呈现空心化的自然村，可依循村民传统生活习惯，充分利用村庄周边自然消纳能力，实现污水就近就地资源化利用；对于人口规模相对较多且初步具备资源化利用条件的自然村，根据常住人口、聚集程度及受纳体情况，完善输送管渠、预处理设施等配套设施建设。鼓励将无害化处理后的污水输送至</w:t>
      </w:r>
      <w:r>
        <w:rPr>
          <w:rFonts w:hint="eastAsia" w:ascii="宋体" w:hAnsi="宋体" w:eastAsia="宋体" w:cs="宋体"/>
          <w:color w:val="auto"/>
          <w:sz w:val="24"/>
          <w:szCs w:val="24"/>
          <w:lang w:val="en-US" w:eastAsia="zh-CN"/>
        </w:rPr>
        <w:t>农田、塘堰、林地、草地、水塘农田、林地、草地、水塘、小微湿地或房前屋后小花园、小菜园、小果园、小公园（四小园）等再利用。</w:t>
      </w:r>
      <w:r>
        <w:rPr>
          <w:rFonts w:hint="eastAsia" w:ascii="宋体" w:hAnsi="宋体" w:eastAsia="宋体" w:cs="宋体"/>
          <w:color w:val="auto"/>
          <w:sz w:val="24"/>
          <w:szCs w:val="24"/>
        </w:rPr>
        <w:t>在尊重老百姓风俗习惯的前提下，优先收集、治理风水塘区域周边农户的生活污水，为进一步增加风水塘的消纳能力，宜增加污水预处理设施或对风水塘进行生态化和景观化改造。采用污水资源化利用的村庄，应定期</w:t>
      </w:r>
      <w:r>
        <w:rPr>
          <w:rFonts w:hint="eastAsia" w:ascii="宋体" w:hAnsi="宋体" w:eastAsia="宋体" w:cs="宋体"/>
          <w:color w:val="auto"/>
          <w:spacing w:val="6"/>
          <w:sz w:val="24"/>
          <w:szCs w:val="24"/>
        </w:rPr>
        <w:t>开展评估，对于出现黑臭水体或者其他环境污染问题的应当及时调整治理模式。</w:t>
      </w:r>
      <w:r>
        <w:rPr>
          <w:rFonts w:hint="eastAsia" w:ascii="宋体" w:hAnsi="宋体" w:eastAsia="宋体" w:cs="宋体"/>
          <w:color w:val="auto"/>
          <w:spacing w:val="6"/>
          <w:sz w:val="24"/>
          <w:szCs w:val="24"/>
          <w:lang w:val="en-US" w:eastAsia="zh-CN"/>
        </w:rPr>
        <w:t>到</w:t>
      </w:r>
      <w:r>
        <w:rPr>
          <w:rFonts w:hint="eastAsia" w:ascii="宋体" w:hAnsi="宋体" w:eastAsia="宋体" w:cs="宋体"/>
          <w:color w:val="auto"/>
          <w:sz w:val="24"/>
          <w:szCs w:val="24"/>
          <w:lang w:val="en-US" w:eastAsia="zh-CN"/>
        </w:rPr>
        <w:t>2023年底，基本完成符合资源化利用条件的村庄的治理工作。（</w:t>
      </w:r>
      <w:r>
        <w:rPr>
          <w:rFonts w:hint="eastAsia" w:ascii="宋体" w:hAnsi="宋体" w:eastAsia="宋体" w:cs="宋体"/>
          <w:color w:val="auto"/>
          <w:sz w:val="24"/>
          <w:szCs w:val="24"/>
        </w:rPr>
        <w:t>责任单位：各</w:t>
      </w:r>
      <w:r>
        <w:rPr>
          <w:rFonts w:hint="eastAsia" w:ascii="宋体" w:hAnsi="宋体" w:eastAsia="宋体" w:cs="宋体"/>
          <w:color w:val="auto"/>
          <w:sz w:val="24"/>
          <w:szCs w:val="24"/>
          <w:lang w:val="en-US" w:eastAsia="zh-CN"/>
        </w:rPr>
        <w:t>县</w:t>
      </w:r>
      <w:r>
        <w:rPr>
          <w:rFonts w:hint="eastAsia" w:ascii="宋体" w:hAnsi="宋体" w:eastAsia="宋体" w:cs="宋体"/>
          <w:color w:val="auto"/>
          <w:sz w:val="24"/>
          <w:szCs w:val="24"/>
        </w:rPr>
        <w:t>（市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区</w:t>
      </w:r>
      <w:r>
        <w:rPr>
          <w:rFonts w:hint="eastAsia" w:ascii="宋体" w:hAnsi="宋体" w:eastAsia="宋体" w:cs="宋体"/>
          <w:color w:val="auto"/>
          <w:sz w:val="24"/>
          <w:szCs w:val="24"/>
        </w:rPr>
        <w:t>）人民政府；指导单位：</w:t>
      </w:r>
      <w:r>
        <w:rPr>
          <w:rFonts w:hint="eastAsia" w:ascii="宋体" w:hAnsi="宋体" w:eastAsia="宋体" w:cs="宋体"/>
          <w:color w:val="auto"/>
          <w:sz w:val="24"/>
          <w:szCs w:val="24"/>
          <w:lang w:eastAsia="zh-CN"/>
        </w:rPr>
        <w:t>市发展改革局、</w:t>
      </w:r>
      <w:r>
        <w:rPr>
          <w:rFonts w:hint="eastAsia" w:ascii="宋体" w:hAnsi="宋体" w:eastAsia="宋体" w:cs="宋体"/>
          <w:color w:val="auto"/>
          <w:sz w:val="24"/>
          <w:szCs w:val="24"/>
        </w:rPr>
        <w:t>市生态环境局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市住房城乡建设局、</w:t>
      </w:r>
      <w:r>
        <w:rPr>
          <w:rFonts w:hint="eastAsia" w:ascii="宋体" w:hAnsi="宋体" w:eastAsia="宋体" w:cs="宋体"/>
          <w:color w:val="auto"/>
          <w:sz w:val="24"/>
          <w:szCs w:val="24"/>
          <w:lang w:eastAsia="zh-CN"/>
        </w:rPr>
        <w:t>市</w:t>
      </w:r>
      <w:r>
        <w:rPr>
          <w:rFonts w:hint="eastAsia" w:ascii="宋体" w:hAnsi="宋体" w:eastAsia="宋体" w:cs="宋体"/>
          <w:color w:val="auto"/>
          <w:sz w:val="24"/>
          <w:szCs w:val="24"/>
        </w:rPr>
        <w:t>农</w:t>
      </w:r>
    </w:p>
    <w:p>
      <w:pPr>
        <w:pStyle w:val="11"/>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业农村局、</w:t>
      </w:r>
      <w:r>
        <w:rPr>
          <w:rFonts w:hint="eastAsia" w:ascii="宋体" w:hAnsi="宋体" w:eastAsia="宋体" w:cs="宋体"/>
          <w:color w:val="auto"/>
          <w:sz w:val="24"/>
          <w:szCs w:val="24"/>
          <w:lang w:eastAsia="zh-CN"/>
        </w:rPr>
        <w:t>市</w:t>
      </w:r>
      <w:r>
        <w:rPr>
          <w:rFonts w:hint="eastAsia" w:ascii="宋体" w:hAnsi="宋体" w:eastAsia="宋体" w:cs="宋体"/>
          <w:color w:val="auto"/>
          <w:sz w:val="24"/>
          <w:szCs w:val="24"/>
        </w:rPr>
        <w:t>水务局等</w:t>
      </w:r>
      <w:r>
        <w:rPr>
          <w:rFonts w:hint="eastAsia" w:ascii="宋体" w:hAnsi="宋体" w:eastAsia="宋体" w:cs="宋体"/>
          <w:color w:val="auto"/>
          <w:sz w:val="24"/>
          <w:szCs w:val="24"/>
          <w:lang w:eastAsia="zh-CN"/>
        </w:rPr>
        <w:t>部门</w:t>
      </w:r>
      <w:r>
        <w:rPr>
          <w:rFonts w:hint="eastAsia" w:ascii="宋体" w:hAnsi="宋体" w:eastAsia="宋体" w:cs="宋体"/>
          <w:color w:val="auto"/>
          <w:sz w:val="24"/>
          <w:szCs w:val="24"/>
        </w:rPr>
        <w:t>按职责</w:t>
      </w:r>
      <w:r>
        <w:rPr>
          <w:rFonts w:hint="eastAsia" w:ascii="宋体" w:hAnsi="宋体" w:eastAsia="宋体" w:cs="宋体"/>
          <w:color w:val="auto"/>
          <w:sz w:val="24"/>
          <w:szCs w:val="24"/>
          <w:lang w:eastAsia="zh-CN"/>
        </w:rPr>
        <w:t>分工</w:t>
      </w:r>
      <w:r>
        <w:rPr>
          <w:rFonts w:hint="eastAsia" w:ascii="宋体" w:hAnsi="宋体" w:eastAsia="宋体" w:cs="宋体"/>
          <w:color w:val="auto"/>
          <w:sz w:val="24"/>
          <w:szCs w:val="24"/>
        </w:rPr>
        <w:t>负责。）</w:t>
      </w:r>
    </w:p>
    <w:p>
      <w:pPr>
        <w:pStyle w:val="11"/>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baseline"/>
        <w:rPr>
          <w:rFonts w:ascii="楷体" w:hAnsi="楷体" w:eastAsia="楷体" w:cs="楷体"/>
          <w:color w:val="auto"/>
          <w:sz w:val="24"/>
          <w:szCs w:val="24"/>
          <w:lang w:eastAsia="zh-CN"/>
        </w:rPr>
      </w:pP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八</w:t>
      </w:r>
      <w:r>
        <w:rPr>
          <w:rFonts w:hint="eastAsia" w:ascii="楷体" w:hAnsi="楷体" w:eastAsia="楷体" w:cs="楷体"/>
          <w:color w:val="auto"/>
          <w:sz w:val="24"/>
          <w:szCs w:val="24"/>
          <w:lang w:eastAsia="zh-CN"/>
        </w:rPr>
        <w:t>）长效化运维管理</w:t>
      </w:r>
    </w:p>
    <w:p>
      <w:pPr>
        <w:pStyle w:val="11"/>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完善管护运营机制，明晰设施产权归属，明确运行管护标准，探索建立以县级政府为责任主体、乡镇（街道）为管理主体、村级组织为落实主体、农户为受益主体、运维机构为服务主体的运维管理制度体系</w:t>
      </w:r>
      <w:r>
        <w:rPr>
          <w:rFonts w:hint="eastAsia" w:ascii="宋体" w:hAnsi="宋体" w:eastAsia="宋体" w:cs="宋体"/>
          <w:color w:val="auto"/>
          <w:sz w:val="24"/>
          <w:szCs w:val="24"/>
          <w:lang w:eastAsia="zh-CN"/>
        </w:rPr>
        <w:t>，并明确各部门、各级政府责任分工</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根据地方经济情况、设施管理专业化要求等因地制宜选择运维管理模式，对于工艺简单，专业化要求不高的设施鼓励通过完善管理机制</w:t>
      </w:r>
      <w:r>
        <w:rPr>
          <w:rFonts w:hint="eastAsia" w:ascii="宋体" w:hAnsi="宋体" w:eastAsia="宋体" w:cs="宋体"/>
          <w:color w:val="auto"/>
          <w:sz w:val="24"/>
          <w:szCs w:val="24"/>
          <w:lang w:val="en-US" w:eastAsia="zh-CN"/>
        </w:rPr>
        <w:t>自行承担运维</w:t>
      </w:r>
      <w:r>
        <w:rPr>
          <w:rFonts w:hint="eastAsia" w:ascii="宋体" w:hAnsi="宋体" w:eastAsia="宋体" w:cs="宋体"/>
          <w:color w:val="auto"/>
          <w:sz w:val="24"/>
          <w:szCs w:val="24"/>
          <w:lang w:eastAsia="zh-CN"/>
        </w:rPr>
        <w:t>，经济条件允许的地方可采用</w:t>
      </w:r>
      <w:r>
        <w:rPr>
          <w:rFonts w:hint="eastAsia" w:ascii="宋体" w:hAnsi="宋体" w:eastAsia="宋体" w:cs="宋体"/>
          <w:color w:val="auto"/>
          <w:sz w:val="24"/>
          <w:szCs w:val="24"/>
        </w:rPr>
        <w:t>第三方运维机构按照技术托管和总承包方式开展运维管理服务。建立资金保障机制，采取政府扶持、群众自筹、社会参与的方式，筹措运维资金，逐步构建政府、村集体、村民共同分担机制。未明确建设及运营资金保障的项目，不得动工建设。建立村民参与机制，充分尊重农民意愿，将农村生活污水治理纳入村规民约。发挥村党组织作用，鼓励农民投工投劳，积极参与监督农村生活污水治理工作。强化示范引领带动，探索开展农村生活污水治理示范村创建工作。</w:t>
      </w:r>
      <w:r>
        <w:rPr>
          <w:rFonts w:hint="eastAsia" w:ascii="宋体" w:hAnsi="宋体" w:eastAsia="宋体" w:cs="宋体"/>
          <w:color w:val="auto"/>
          <w:sz w:val="24"/>
          <w:szCs w:val="24"/>
          <w:lang w:eastAsia="zh-CN"/>
        </w:rPr>
        <w:t>各地运维管理机制应于</w:t>
      </w:r>
      <w:r>
        <w:rPr>
          <w:rFonts w:hint="eastAsia" w:ascii="宋体" w:hAnsi="宋体" w:eastAsia="宋体" w:cs="宋体"/>
          <w:color w:val="auto"/>
          <w:sz w:val="24"/>
          <w:szCs w:val="24"/>
          <w:lang w:val="en-US" w:eastAsia="zh-CN"/>
        </w:rPr>
        <w:t>2022年底前建立完善并报市生态环境局备案。</w:t>
      </w:r>
      <w:r>
        <w:rPr>
          <w:rFonts w:hint="eastAsia" w:ascii="宋体" w:hAnsi="宋体" w:eastAsia="宋体" w:cs="宋体"/>
          <w:color w:val="auto"/>
          <w:sz w:val="24"/>
          <w:szCs w:val="24"/>
          <w:lang w:eastAsia="zh-CN"/>
        </w:rPr>
        <w:t>（责任单位：各县（市、区）人民政府；指导单位：市生态环境局、市住房城乡建设局、市农业农村局、市财政局、市水务局</w:t>
      </w:r>
      <w:r>
        <w:rPr>
          <w:rFonts w:hint="eastAsia" w:ascii="宋体" w:hAnsi="宋体" w:eastAsia="宋体" w:cs="宋体"/>
          <w:color w:val="auto"/>
          <w:sz w:val="24"/>
          <w:szCs w:val="24"/>
        </w:rPr>
        <w:t>等</w:t>
      </w:r>
      <w:r>
        <w:rPr>
          <w:rFonts w:hint="eastAsia" w:ascii="宋体" w:hAnsi="宋体" w:eastAsia="宋体" w:cs="宋体"/>
          <w:color w:val="auto"/>
          <w:sz w:val="24"/>
          <w:szCs w:val="24"/>
          <w:lang w:eastAsia="zh-CN"/>
        </w:rPr>
        <w:t>部门按职责分工负责。）</w:t>
      </w:r>
    </w:p>
    <w:p>
      <w:pPr>
        <w:pStyle w:val="6"/>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textAlignment w:val="baseline"/>
        <w:rPr>
          <w:rFonts w:ascii="楷体" w:hAnsi="楷体" w:eastAsia="楷体" w:cs="楷体"/>
          <w:color w:val="auto"/>
          <w:sz w:val="24"/>
          <w:szCs w:val="24"/>
          <w:lang w:eastAsia="zh-CN"/>
        </w:rPr>
      </w:pPr>
      <w:r>
        <w:rPr>
          <w:rFonts w:hint="eastAsia" w:ascii="楷体" w:hAnsi="楷体" w:eastAsia="楷体" w:cs="楷体"/>
          <w:color w:val="auto"/>
          <w:sz w:val="24"/>
          <w:szCs w:val="24"/>
          <w:lang w:eastAsia="zh-CN"/>
        </w:rPr>
        <w:t>（九）实施数字化监督管理</w:t>
      </w:r>
    </w:p>
    <w:p>
      <w:pPr>
        <w:pStyle w:val="6"/>
        <w:keepNext w:val="0"/>
        <w:keepLines w:val="0"/>
        <w:pageBreakBefore w:val="0"/>
        <w:widowControl w:val="0"/>
        <w:kinsoku/>
        <w:wordWrap/>
        <w:overflowPunct/>
        <w:topLinePunct w:val="0"/>
        <w:autoSpaceDE/>
        <w:autoSpaceDN/>
        <w:bidi w:val="0"/>
        <w:adjustRightInd w:val="0"/>
        <w:snapToGrid/>
        <w:spacing w:after="0" w:line="360" w:lineRule="auto"/>
        <w:ind w:left="0" w:leftChars="0" w:firstLine="64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加快推行农村生活污水治理数字化管理，建立治理电子台账，通过电量、流量数据、视频监控等方式进行实时监管，及时开展数据信息的分析预警，逐步实现基础信息数字化、问题处置便捷化、辅助决策智能化，结合汕尾市实际情况在条件合适的区域开展远程管理示范。开发移动客户端，畅通农民和基层干部的监督与问题反馈渠道。将农村生活污水治理纳入数字政府“一网统管”，建立上下联动、部门共享的信息交流机制。（责任单位：各县（市、区）人民政府；指导单位：市政务服务数据管理局、市生态环境局、市住房城乡建设局、市水务局、市农业农村局</w:t>
      </w:r>
      <w:r>
        <w:rPr>
          <w:rFonts w:hint="eastAsia" w:ascii="宋体" w:hAnsi="宋体" w:eastAsia="宋体" w:cs="宋体"/>
          <w:color w:val="auto"/>
          <w:sz w:val="24"/>
          <w:szCs w:val="24"/>
        </w:rPr>
        <w:t>等</w:t>
      </w:r>
      <w:r>
        <w:rPr>
          <w:rFonts w:hint="eastAsia" w:ascii="宋体" w:hAnsi="宋体" w:eastAsia="宋体" w:cs="宋体"/>
          <w:color w:val="auto"/>
          <w:sz w:val="24"/>
          <w:szCs w:val="24"/>
          <w:lang w:eastAsia="zh-CN"/>
        </w:rPr>
        <w:t>部门按职责分工负责）</w:t>
      </w:r>
    </w:p>
    <w:p>
      <w:pPr>
        <w:pStyle w:val="11"/>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baseline"/>
        <w:rPr>
          <w:rFonts w:ascii="黑体" w:hAnsi="黑体" w:eastAsia="黑体" w:cs="黑体"/>
          <w:color w:val="auto"/>
          <w:sz w:val="24"/>
          <w:szCs w:val="24"/>
        </w:rPr>
      </w:pPr>
      <w:r>
        <w:rPr>
          <w:rFonts w:hint="eastAsia" w:ascii="黑体" w:hAnsi="黑体" w:eastAsia="黑体" w:cs="黑体"/>
          <w:color w:val="auto"/>
          <w:sz w:val="24"/>
          <w:szCs w:val="24"/>
          <w:lang w:eastAsia="zh-CN"/>
        </w:rPr>
        <w:t>三</w:t>
      </w:r>
      <w:r>
        <w:rPr>
          <w:rFonts w:hint="eastAsia" w:ascii="黑体" w:hAnsi="黑体" w:eastAsia="黑体" w:cs="黑体"/>
          <w:color w:val="auto"/>
          <w:sz w:val="24"/>
          <w:szCs w:val="24"/>
        </w:rPr>
        <w:t>、保障措施</w:t>
      </w:r>
    </w:p>
    <w:p>
      <w:pPr>
        <w:pStyle w:val="11"/>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baseline"/>
        <w:rPr>
          <w:rFonts w:ascii="楷体" w:hAnsi="楷体" w:eastAsia="楷体" w:cs="楷体"/>
          <w:color w:val="auto"/>
          <w:sz w:val="24"/>
          <w:szCs w:val="24"/>
          <w:lang w:eastAsia="zh-CN"/>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十</w:t>
      </w: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加强组织领导</w:t>
      </w:r>
    </w:p>
    <w:p>
      <w:pPr>
        <w:pStyle w:val="11"/>
        <w:keepNext w:val="0"/>
        <w:keepLines w:val="0"/>
        <w:pageBreakBefore w:val="0"/>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根据《汕尾市人民政府办公室关于成立汕尾市实施“三农”领域突出短板“九大攻坚”行动领导小组的通知》（汕府办函〔2021〕212号），我市已成立了由市长亲自兼任组长的汕尾市实施“三农”领域突出短板“九大攻坚”行动领导小组，</w:t>
      </w:r>
      <w:r>
        <w:rPr>
          <w:rFonts w:hint="eastAsia" w:ascii="宋体" w:hAnsi="宋体" w:eastAsia="宋体" w:cs="宋体"/>
          <w:color w:val="auto"/>
          <w:sz w:val="24"/>
          <w:szCs w:val="24"/>
          <w:lang w:val="en-US" w:eastAsia="zh-CN" w:bidi="ar"/>
        </w:rPr>
        <w:t>“九大攻坚”行动按工作任务成立 9 个专项工作组，其中：</w:t>
      </w:r>
      <w:r>
        <w:rPr>
          <w:rFonts w:hint="eastAsia" w:ascii="宋体" w:hAnsi="宋体" w:eastAsia="宋体" w:cs="宋体"/>
          <w:color w:val="auto"/>
          <w:sz w:val="24"/>
          <w:szCs w:val="24"/>
          <w:lang w:val="en-US" w:eastAsia="zh-CN"/>
        </w:rPr>
        <w:t>农村生活污水治理攻坚专项工作组由市政府分管农村生活污水治理工作副市长任组长，市生态环境局、市农业农村局、市住房城乡建设局、市水务局主要负责同志任副组长，日常工作由市生态环境局负责。专项工作组</w:t>
      </w:r>
      <w:r>
        <w:rPr>
          <w:rFonts w:hint="eastAsia" w:ascii="宋体" w:hAnsi="宋体" w:eastAsia="宋体" w:cs="宋体"/>
          <w:color w:val="auto"/>
          <w:sz w:val="24"/>
          <w:szCs w:val="24"/>
          <w:lang w:val="en-US" w:eastAsia="zh-CN" w:bidi="ar"/>
        </w:rPr>
        <w:t>要</w:t>
      </w:r>
      <w:r>
        <w:rPr>
          <w:rFonts w:hint="eastAsia" w:ascii="宋体" w:hAnsi="宋体" w:eastAsia="宋体" w:cs="宋体"/>
          <w:color w:val="auto"/>
          <w:sz w:val="24"/>
          <w:szCs w:val="24"/>
          <w:lang w:eastAsia="zh-CN"/>
        </w:rPr>
        <w:t>加强系统谋划和统筹协调，</w:t>
      </w:r>
      <w:r>
        <w:rPr>
          <w:rFonts w:hint="eastAsia" w:ascii="宋体" w:hAnsi="宋体" w:eastAsia="宋体" w:cs="宋体"/>
          <w:color w:val="auto"/>
          <w:sz w:val="24"/>
          <w:szCs w:val="24"/>
          <w:lang w:val="en-US" w:eastAsia="zh-CN" w:bidi="ar"/>
        </w:rPr>
        <w:t>负责编制《汕尾市农村生活污水治理攻坚行动方案》，负责具体落实农村改厕和农村生活污水、黑臭水体治理，全面摸查农村生活污水治理情况，因地制宜分类推进农村生活污水治理，建立多元长效投入和管护机制，推动完成全市农村生活污水治理的年度任务目标。</w:t>
      </w:r>
      <w:r>
        <w:rPr>
          <w:rFonts w:hint="eastAsia" w:ascii="宋体" w:hAnsi="宋体" w:eastAsia="宋体" w:cs="宋体"/>
          <w:color w:val="auto"/>
          <w:sz w:val="24"/>
          <w:szCs w:val="24"/>
        </w:rPr>
        <w:t>将农村生活污水治理</w:t>
      </w:r>
      <w:r>
        <w:rPr>
          <w:rFonts w:hint="eastAsia" w:ascii="宋体" w:hAnsi="宋体" w:eastAsia="宋体" w:cs="宋体"/>
          <w:color w:val="auto"/>
          <w:sz w:val="24"/>
          <w:szCs w:val="24"/>
          <w:lang w:eastAsia="zh-CN"/>
        </w:rPr>
        <w:t>作为</w:t>
      </w:r>
      <w:r>
        <w:rPr>
          <w:rFonts w:hint="eastAsia" w:ascii="宋体" w:hAnsi="宋体" w:eastAsia="宋体" w:cs="宋体"/>
          <w:color w:val="auto"/>
          <w:sz w:val="24"/>
          <w:szCs w:val="24"/>
        </w:rPr>
        <w:t>组团式驻镇帮镇扶村工作队的重点工作任务，推动</w:t>
      </w:r>
      <w:r>
        <w:rPr>
          <w:rFonts w:hint="eastAsia" w:ascii="宋体" w:hAnsi="宋体" w:eastAsia="宋体" w:cs="宋体"/>
          <w:color w:val="auto"/>
          <w:sz w:val="24"/>
          <w:szCs w:val="24"/>
          <w:lang w:eastAsia="zh-CN"/>
        </w:rPr>
        <w:t>各地切实</w:t>
      </w:r>
      <w:r>
        <w:rPr>
          <w:rFonts w:hint="eastAsia" w:ascii="宋体" w:hAnsi="宋体" w:eastAsia="宋体" w:cs="宋体"/>
          <w:color w:val="auto"/>
          <w:sz w:val="24"/>
          <w:szCs w:val="24"/>
        </w:rPr>
        <w:t>解决规划、建设、运维中的突出问题和困难。</w:t>
      </w:r>
    </w:p>
    <w:p>
      <w:pPr>
        <w:keepNext w:val="0"/>
        <w:keepLines w:val="0"/>
        <w:pageBreakBefore w:val="0"/>
        <w:widowControl/>
        <w:tabs>
          <w:tab w:val="left" w:pos="0"/>
        </w:tabs>
        <w:kinsoku/>
        <w:wordWrap/>
        <w:overflowPunct/>
        <w:topLinePunct w:val="0"/>
        <w:autoSpaceDE/>
        <w:autoSpaceDN/>
        <w:bidi w:val="0"/>
        <w:adjustRightInd w:val="0"/>
        <w:snapToGrid/>
        <w:spacing w:line="360" w:lineRule="auto"/>
        <w:ind w:firstLine="480" w:firstLineChars="200"/>
        <w:textAlignment w:val="baseline"/>
        <w:rPr>
          <w:rFonts w:ascii="楷体" w:hAnsi="楷体" w:eastAsia="楷体" w:cs="楷体"/>
          <w:color w:val="auto"/>
          <w:sz w:val="24"/>
          <w:szCs w:val="24"/>
          <w:lang w:eastAsia="zh-CN"/>
        </w:rPr>
      </w:pPr>
      <w:r>
        <w:rPr>
          <w:rFonts w:hint="eastAsia" w:ascii="楷体" w:hAnsi="楷体" w:eastAsia="楷体" w:cs="楷体"/>
          <w:color w:val="auto"/>
          <w:sz w:val="24"/>
          <w:szCs w:val="24"/>
          <w:lang w:eastAsia="zh-CN"/>
        </w:rPr>
        <w:t>（十一）强化责任落实</w:t>
      </w:r>
    </w:p>
    <w:p>
      <w:pPr>
        <w:keepNext w:val="0"/>
        <w:keepLines w:val="0"/>
        <w:pageBreakBefore w:val="0"/>
        <w:widowControl/>
        <w:tabs>
          <w:tab w:val="left" w:pos="0"/>
        </w:tabs>
        <w:kinsoku/>
        <w:wordWrap/>
        <w:overflowPunct/>
        <w:topLinePunct w:val="0"/>
        <w:autoSpaceDE/>
        <w:autoSpaceDN/>
        <w:bidi w:val="0"/>
        <w:adjustRightInd w:val="0"/>
        <w:snapToGrid/>
        <w:spacing w:line="360" w:lineRule="auto"/>
        <w:ind w:firstLine="480" w:firstLineChars="200"/>
        <w:jc w:val="both"/>
        <w:textAlignment w:val="baseline"/>
        <w:rPr>
          <w:rFonts w:eastAsia="仿宋_GB2312"/>
          <w:color w:val="auto"/>
          <w:sz w:val="24"/>
          <w:szCs w:val="24"/>
          <w:lang w:eastAsia="zh-CN"/>
        </w:rPr>
      </w:pPr>
      <w:r>
        <w:rPr>
          <w:rFonts w:hint="eastAsia" w:ascii="宋体" w:hAnsi="宋体" w:eastAsia="宋体" w:cs="宋体"/>
          <w:color w:val="auto"/>
          <w:sz w:val="24"/>
          <w:szCs w:val="24"/>
          <w:lang w:eastAsia="zh-CN"/>
        </w:rPr>
        <w:t>各地、各有关部门应充分认识农村生活污水治理工作的重要性、紧迫性、艰巨性，把农村生活污水治理作为实施乡村振兴战略的重要内容。各县级政府要参照市成立县级农村生活污水治理专项攻坚领导小组，落实主体责任，组织做好区域内农村生活污水处理设施规划、建设改造、运行维护和资金保障等工作。各乡镇（街道）应按要求做好污水处理设施的日常监督管理工作。</w:t>
      </w:r>
    </w:p>
    <w:p>
      <w:pPr>
        <w:keepNext w:val="0"/>
        <w:keepLines w:val="0"/>
        <w:pageBreakBefore w:val="0"/>
        <w:widowControl/>
        <w:tabs>
          <w:tab w:val="left" w:pos="0"/>
        </w:tabs>
        <w:kinsoku/>
        <w:wordWrap/>
        <w:overflowPunct/>
        <w:topLinePunct w:val="0"/>
        <w:autoSpaceDE/>
        <w:autoSpaceDN/>
        <w:bidi w:val="0"/>
        <w:adjustRightInd w:val="0"/>
        <w:snapToGrid/>
        <w:spacing w:line="360" w:lineRule="auto"/>
        <w:ind w:firstLine="480" w:firstLineChars="200"/>
        <w:textAlignment w:val="baseline"/>
        <w:rPr>
          <w:rFonts w:ascii="楷体" w:hAnsi="楷体" w:eastAsia="楷体" w:cs="楷体"/>
          <w:color w:val="auto"/>
          <w:sz w:val="24"/>
          <w:szCs w:val="24"/>
          <w:lang w:eastAsia="zh-CN"/>
        </w:rPr>
      </w:pPr>
      <w:r>
        <w:rPr>
          <w:rFonts w:hint="eastAsia" w:ascii="楷体" w:hAnsi="楷体" w:eastAsia="楷体" w:cs="楷体"/>
          <w:color w:val="auto"/>
          <w:sz w:val="24"/>
          <w:szCs w:val="24"/>
          <w:lang w:eastAsia="zh-CN"/>
        </w:rPr>
        <w:t>（十二）加强资金保障</w:t>
      </w:r>
    </w:p>
    <w:p>
      <w:pPr>
        <w:pStyle w:val="11"/>
        <w:keepNext w:val="0"/>
        <w:keepLines w:val="0"/>
        <w:pageBreakBefore w:val="0"/>
        <w:kinsoku/>
        <w:wordWrap/>
        <w:overflowPunct/>
        <w:topLinePunct w:val="0"/>
        <w:autoSpaceDE/>
        <w:autoSpaceDN/>
        <w:bidi w:val="0"/>
        <w:adjustRightInd w:val="0"/>
        <w:snapToGrid/>
        <w:spacing w:line="360" w:lineRule="auto"/>
        <w:ind w:firstLine="456" w:firstLineChars="200"/>
        <w:jc w:val="both"/>
        <w:textAlignment w:val="baseline"/>
        <w:rPr>
          <w:rFonts w:hint="eastAsia" w:ascii="宋体" w:hAnsi="宋体" w:eastAsia="宋体" w:cs="宋体"/>
          <w:color w:val="auto"/>
          <w:spacing w:val="-6"/>
          <w:sz w:val="24"/>
          <w:szCs w:val="24"/>
          <w:lang w:eastAsia="zh-CN"/>
        </w:rPr>
      </w:pPr>
      <w:r>
        <w:rPr>
          <w:rFonts w:hint="eastAsia" w:ascii="宋体" w:hAnsi="宋体" w:eastAsia="宋体" w:cs="宋体"/>
          <w:bCs/>
          <w:color w:val="auto"/>
          <w:spacing w:val="-6"/>
          <w:sz w:val="24"/>
          <w:szCs w:val="24"/>
        </w:rPr>
        <w:t>各县</w:t>
      </w:r>
      <w:r>
        <w:rPr>
          <w:rFonts w:hint="eastAsia" w:ascii="宋体" w:hAnsi="宋体" w:eastAsia="宋体" w:cs="宋体"/>
          <w:color w:val="auto"/>
          <w:spacing w:val="-6"/>
          <w:sz w:val="24"/>
          <w:szCs w:val="24"/>
          <w:lang w:eastAsia="zh-CN"/>
        </w:rPr>
        <w:t>级政府</w:t>
      </w:r>
      <w:r>
        <w:rPr>
          <w:rFonts w:hint="eastAsia" w:ascii="宋体" w:hAnsi="宋体" w:eastAsia="宋体" w:cs="宋体"/>
          <w:bCs/>
          <w:color w:val="auto"/>
          <w:spacing w:val="-6"/>
          <w:sz w:val="24"/>
          <w:szCs w:val="24"/>
        </w:rPr>
        <w:t>要</w:t>
      </w:r>
      <w:r>
        <w:rPr>
          <w:rFonts w:hint="eastAsia" w:ascii="宋体" w:hAnsi="宋体" w:eastAsia="宋体" w:cs="宋体"/>
          <w:bCs/>
          <w:color w:val="auto"/>
          <w:spacing w:val="-6"/>
          <w:sz w:val="24"/>
          <w:szCs w:val="24"/>
          <w:lang w:val="en-US" w:eastAsia="zh-CN"/>
        </w:rPr>
        <w:t>统筹用好生态环境保护资金、涉农资金</w:t>
      </w:r>
      <w:r>
        <w:rPr>
          <w:rFonts w:hint="eastAsia" w:ascii="宋体" w:hAnsi="宋体" w:eastAsia="宋体" w:cs="宋体"/>
          <w:bCs/>
          <w:color w:val="auto"/>
          <w:spacing w:val="-6"/>
          <w:sz w:val="24"/>
          <w:szCs w:val="24"/>
        </w:rPr>
        <w:t>和土地出让收益，加大对农村生活污水治理</w:t>
      </w:r>
      <w:r>
        <w:rPr>
          <w:rFonts w:hint="eastAsia" w:ascii="宋体" w:hAnsi="宋体" w:eastAsia="宋体" w:cs="宋体"/>
          <w:bCs/>
          <w:color w:val="auto"/>
          <w:spacing w:val="-6"/>
          <w:sz w:val="24"/>
          <w:szCs w:val="24"/>
          <w:lang w:eastAsia="zh-CN"/>
        </w:rPr>
        <w:t>工作</w:t>
      </w:r>
      <w:r>
        <w:rPr>
          <w:rFonts w:hint="eastAsia" w:ascii="宋体" w:hAnsi="宋体" w:eastAsia="宋体" w:cs="宋体"/>
          <w:bCs/>
          <w:color w:val="auto"/>
          <w:spacing w:val="-6"/>
          <w:sz w:val="24"/>
          <w:szCs w:val="24"/>
        </w:rPr>
        <w:t>的支持</w:t>
      </w:r>
      <w:r>
        <w:rPr>
          <w:rFonts w:hint="eastAsia" w:ascii="宋体" w:hAnsi="宋体" w:eastAsia="宋体" w:cs="宋体"/>
          <w:bCs/>
          <w:color w:val="auto"/>
          <w:spacing w:val="-6"/>
          <w:sz w:val="24"/>
          <w:szCs w:val="24"/>
          <w:lang w:eastAsia="zh-CN"/>
        </w:rPr>
        <w:t>力度，</w:t>
      </w:r>
      <w:r>
        <w:rPr>
          <w:rFonts w:hint="eastAsia" w:ascii="宋体" w:hAnsi="宋体" w:eastAsia="宋体" w:cs="宋体"/>
          <w:bCs/>
          <w:color w:val="auto"/>
          <w:spacing w:val="-6"/>
          <w:sz w:val="24"/>
          <w:szCs w:val="24"/>
        </w:rPr>
        <w:t>对未完成年度</w:t>
      </w:r>
      <w:r>
        <w:rPr>
          <w:rFonts w:hint="eastAsia" w:ascii="宋体" w:hAnsi="宋体" w:eastAsia="宋体" w:cs="宋体"/>
          <w:bCs/>
          <w:color w:val="auto"/>
          <w:spacing w:val="-6"/>
          <w:sz w:val="24"/>
          <w:szCs w:val="24"/>
          <w:lang w:eastAsia="zh-CN"/>
        </w:rPr>
        <w:t>治理</w:t>
      </w:r>
      <w:r>
        <w:rPr>
          <w:rFonts w:hint="eastAsia" w:ascii="宋体" w:hAnsi="宋体" w:eastAsia="宋体" w:cs="宋体"/>
          <w:bCs/>
          <w:color w:val="auto"/>
          <w:spacing w:val="-6"/>
          <w:sz w:val="24"/>
          <w:szCs w:val="24"/>
        </w:rPr>
        <w:t>任务</w:t>
      </w:r>
      <w:r>
        <w:rPr>
          <w:rFonts w:hint="eastAsia" w:ascii="宋体" w:hAnsi="宋体" w:eastAsia="宋体" w:cs="宋体"/>
          <w:bCs/>
          <w:color w:val="auto"/>
          <w:spacing w:val="-6"/>
          <w:sz w:val="24"/>
          <w:szCs w:val="24"/>
          <w:lang w:val="en-US" w:eastAsia="zh-CN"/>
        </w:rPr>
        <w:t>或</w:t>
      </w:r>
      <w:r>
        <w:rPr>
          <w:rFonts w:hint="eastAsia" w:ascii="宋体" w:hAnsi="宋体" w:eastAsia="宋体" w:cs="宋体"/>
          <w:bCs/>
          <w:color w:val="auto"/>
          <w:spacing w:val="-6"/>
          <w:sz w:val="24"/>
          <w:szCs w:val="24"/>
        </w:rPr>
        <w:t>进展较慢的地区，</w:t>
      </w:r>
      <w:r>
        <w:rPr>
          <w:rFonts w:hint="eastAsia" w:ascii="宋体" w:hAnsi="宋体" w:eastAsia="宋体" w:cs="宋体"/>
          <w:color w:val="auto"/>
          <w:spacing w:val="-6"/>
          <w:sz w:val="24"/>
          <w:szCs w:val="24"/>
          <w:lang w:eastAsia="zh-CN"/>
        </w:rPr>
        <w:t>要</w:t>
      </w:r>
      <w:r>
        <w:rPr>
          <w:rFonts w:hint="eastAsia" w:ascii="宋体" w:hAnsi="宋体" w:eastAsia="宋体" w:cs="宋体"/>
          <w:color w:val="auto"/>
          <w:spacing w:val="-6"/>
          <w:sz w:val="24"/>
          <w:szCs w:val="24"/>
        </w:rPr>
        <w:t>结合自身财力</w:t>
      </w:r>
      <w:r>
        <w:rPr>
          <w:rFonts w:hint="eastAsia" w:ascii="宋体" w:hAnsi="宋体" w:eastAsia="宋体" w:cs="宋体"/>
          <w:color w:val="auto"/>
          <w:spacing w:val="-6"/>
          <w:sz w:val="24"/>
          <w:szCs w:val="24"/>
          <w:lang w:eastAsia="zh-CN"/>
        </w:rPr>
        <w:t>适当加大</w:t>
      </w:r>
      <w:r>
        <w:rPr>
          <w:rFonts w:hint="eastAsia" w:ascii="宋体" w:hAnsi="宋体" w:eastAsia="宋体" w:cs="宋体"/>
          <w:color w:val="auto"/>
          <w:spacing w:val="-6"/>
          <w:sz w:val="24"/>
          <w:szCs w:val="24"/>
        </w:rPr>
        <w:t>资金</w:t>
      </w:r>
      <w:r>
        <w:rPr>
          <w:rFonts w:hint="eastAsia" w:ascii="宋体" w:hAnsi="宋体" w:eastAsia="宋体" w:cs="宋体"/>
          <w:color w:val="auto"/>
          <w:spacing w:val="-6"/>
          <w:sz w:val="24"/>
          <w:szCs w:val="24"/>
          <w:lang w:val="en-US" w:eastAsia="zh-CN"/>
        </w:rPr>
        <w:t>支持力度。</w:t>
      </w:r>
      <w:r>
        <w:rPr>
          <w:rFonts w:hint="eastAsia" w:ascii="宋体" w:hAnsi="宋体" w:eastAsia="宋体" w:cs="宋体"/>
          <w:bCs/>
          <w:color w:val="auto"/>
          <w:spacing w:val="-6"/>
          <w:sz w:val="24"/>
          <w:szCs w:val="24"/>
        </w:rPr>
        <w:t>积极申报中央</w:t>
      </w:r>
      <w:r>
        <w:rPr>
          <w:rFonts w:hint="eastAsia" w:ascii="宋体" w:hAnsi="宋体" w:eastAsia="宋体" w:cs="宋体"/>
          <w:bCs/>
          <w:color w:val="auto"/>
          <w:spacing w:val="-6"/>
          <w:sz w:val="24"/>
          <w:szCs w:val="24"/>
          <w:lang w:eastAsia="zh-CN"/>
        </w:rPr>
        <w:t>、</w:t>
      </w:r>
      <w:r>
        <w:rPr>
          <w:rFonts w:hint="eastAsia" w:ascii="宋体" w:hAnsi="宋体" w:eastAsia="宋体" w:cs="宋体"/>
          <w:bCs/>
          <w:color w:val="auto"/>
          <w:spacing w:val="-6"/>
          <w:sz w:val="24"/>
          <w:szCs w:val="24"/>
        </w:rPr>
        <w:t>省</w:t>
      </w:r>
      <w:r>
        <w:rPr>
          <w:rFonts w:hint="eastAsia" w:ascii="宋体" w:hAnsi="宋体" w:eastAsia="宋体" w:cs="宋体"/>
          <w:bCs/>
          <w:color w:val="auto"/>
          <w:spacing w:val="-6"/>
          <w:sz w:val="24"/>
          <w:szCs w:val="24"/>
          <w:lang w:eastAsia="zh-CN"/>
        </w:rPr>
        <w:t>专项</w:t>
      </w:r>
      <w:r>
        <w:rPr>
          <w:rFonts w:hint="eastAsia" w:ascii="宋体" w:hAnsi="宋体" w:eastAsia="宋体" w:cs="宋体"/>
          <w:bCs/>
          <w:color w:val="auto"/>
          <w:spacing w:val="-6"/>
          <w:sz w:val="24"/>
          <w:szCs w:val="24"/>
        </w:rPr>
        <w:t>资金</w:t>
      </w:r>
      <w:r>
        <w:rPr>
          <w:rFonts w:hint="eastAsia" w:ascii="宋体" w:hAnsi="宋体" w:eastAsia="宋体" w:cs="宋体"/>
          <w:bCs/>
          <w:color w:val="auto"/>
          <w:spacing w:val="-6"/>
          <w:sz w:val="24"/>
          <w:szCs w:val="24"/>
          <w:lang w:eastAsia="zh-CN"/>
        </w:rPr>
        <w:t>，鼓励各地</w:t>
      </w:r>
      <w:r>
        <w:rPr>
          <w:rFonts w:hint="eastAsia" w:ascii="宋体" w:hAnsi="宋体" w:eastAsia="宋体" w:cs="宋体"/>
          <w:bCs/>
          <w:color w:val="auto"/>
          <w:spacing w:val="-6"/>
          <w:sz w:val="24"/>
          <w:szCs w:val="24"/>
        </w:rPr>
        <w:t>积极拓展投融资渠道，</w:t>
      </w:r>
      <w:r>
        <w:rPr>
          <w:rFonts w:hint="eastAsia" w:ascii="宋体" w:hAnsi="宋体" w:eastAsia="宋体" w:cs="宋体"/>
          <w:bCs/>
          <w:color w:val="auto"/>
          <w:spacing w:val="-6"/>
          <w:sz w:val="24"/>
          <w:szCs w:val="24"/>
          <w:lang w:val="en-US" w:eastAsia="zh-CN"/>
        </w:rPr>
        <w:t>优化</w:t>
      </w:r>
      <w:r>
        <w:rPr>
          <w:rFonts w:hint="eastAsia" w:ascii="宋体" w:hAnsi="宋体" w:eastAsia="宋体" w:cs="宋体"/>
          <w:bCs/>
          <w:color w:val="auto"/>
          <w:spacing w:val="-6"/>
          <w:sz w:val="24"/>
          <w:szCs w:val="24"/>
        </w:rPr>
        <w:t>PPP等项目</w:t>
      </w:r>
      <w:r>
        <w:rPr>
          <w:rFonts w:hint="eastAsia" w:ascii="宋体" w:hAnsi="宋体" w:eastAsia="宋体" w:cs="宋体"/>
          <w:bCs/>
          <w:color w:val="auto"/>
          <w:spacing w:val="-6"/>
          <w:sz w:val="24"/>
          <w:szCs w:val="24"/>
          <w:lang w:val="en-US" w:eastAsia="zh-CN"/>
        </w:rPr>
        <w:t>实施</w:t>
      </w:r>
      <w:r>
        <w:rPr>
          <w:rFonts w:hint="eastAsia" w:ascii="宋体" w:hAnsi="宋体" w:eastAsia="宋体" w:cs="宋体"/>
          <w:bCs/>
          <w:color w:val="auto"/>
          <w:spacing w:val="-6"/>
          <w:sz w:val="24"/>
          <w:szCs w:val="24"/>
        </w:rPr>
        <w:t>，引导企业、乡贤</w:t>
      </w:r>
      <w:r>
        <w:rPr>
          <w:rFonts w:hint="eastAsia" w:ascii="宋体" w:hAnsi="宋体" w:eastAsia="宋体" w:cs="宋体"/>
          <w:bCs/>
          <w:color w:val="auto"/>
          <w:spacing w:val="-6"/>
          <w:sz w:val="24"/>
          <w:szCs w:val="24"/>
          <w:lang w:eastAsia="zh-CN"/>
        </w:rPr>
        <w:t>通过赞助、冠名等方式</w:t>
      </w:r>
      <w:r>
        <w:rPr>
          <w:rFonts w:hint="eastAsia" w:ascii="宋体" w:hAnsi="宋体" w:eastAsia="宋体" w:cs="宋体"/>
          <w:bCs/>
          <w:color w:val="auto"/>
          <w:spacing w:val="-6"/>
          <w:sz w:val="24"/>
          <w:szCs w:val="24"/>
        </w:rPr>
        <w:t>支持农村生活污水治理</w:t>
      </w:r>
      <w:r>
        <w:rPr>
          <w:rFonts w:hint="eastAsia" w:ascii="宋体" w:hAnsi="宋体" w:eastAsia="宋体" w:cs="宋体"/>
          <w:bCs/>
          <w:color w:val="auto"/>
          <w:spacing w:val="-6"/>
          <w:sz w:val="24"/>
          <w:szCs w:val="24"/>
          <w:lang w:eastAsia="zh-CN"/>
        </w:rPr>
        <w:t>；</w:t>
      </w:r>
      <w:r>
        <w:rPr>
          <w:rFonts w:hint="eastAsia" w:ascii="宋体" w:hAnsi="宋体" w:eastAsia="宋体" w:cs="宋体"/>
          <w:bCs/>
          <w:color w:val="auto"/>
          <w:spacing w:val="-6"/>
          <w:sz w:val="24"/>
          <w:szCs w:val="24"/>
        </w:rPr>
        <w:t>统筹公益性和经营性资源，以丰补歉，推动农村生活污水治理类项目与收益较好的关联产业开发类项目整合搭配、一体实施。</w:t>
      </w:r>
      <w:r>
        <w:rPr>
          <w:rFonts w:hint="eastAsia" w:ascii="宋体" w:hAnsi="宋体" w:eastAsia="宋体" w:cs="宋体"/>
          <w:color w:val="auto"/>
          <w:spacing w:val="-6"/>
          <w:sz w:val="24"/>
          <w:szCs w:val="24"/>
          <w:lang w:eastAsia="zh-CN"/>
        </w:rPr>
        <w:t>有条件的地区，</w:t>
      </w:r>
      <w:r>
        <w:rPr>
          <w:rFonts w:hint="eastAsia" w:ascii="宋体" w:hAnsi="宋体" w:eastAsia="宋体" w:cs="宋体"/>
          <w:color w:val="auto"/>
          <w:spacing w:val="-6"/>
          <w:sz w:val="24"/>
          <w:szCs w:val="24"/>
          <w:lang w:val="en-US" w:eastAsia="zh-CN"/>
        </w:rPr>
        <w:t>可</w:t>
      </w:r>
      <w:r>
        <w:rPr>
          <w:rFonts w:hint="eastAsia" w:ascii="宋体" w:hAnsi="宋体" w:eastAsia="宋体" w:cs="宋体"/>
          <w:color w:val="auto"/>
          <w:spacing w:val="-6"/>
          <w:sz w:val="24"/>
          <w:szCs w:val="24"/>
        </w:rPr>
        <w:t>综合考虑当地集体经济状况、污水处理成本、使用者承受能力等因素，</w:t>
      </w:r>
      <w:r>
        <w:rPr>
          <w:rFonts w:hint="eastAsia" w:ascii="宋体" w:hAnsi="宋体" w:eastAsia="宋体" w:cs="宋体"/>
          <w:color w:val="auto"/>
          <w:spacing w:val="-6"/>
          <w:sz w:val="24"/>
          <w:szCs w:val="24"/>
          <w:lang w:val="en-US" w:eastAsia="zh-CN"/>
        </w:rPr>
        <w:t>探索推行</w:t>
      </w:r>
      <w:r>
        <w:rPr>
          <w:rFonts w:hint="eastAsia" w:ascii="宋体" w:hAnsi="宋体" w:eastAsia="宋体" w:cs="宋体"/>
          <w:color w:val="auto"/>
          <w:spacing w:val="-6"/>
          <w:sz w:val="24"/>
          <w:szCs w:val="24"/>
        </w:rPr>
        <w:t>受益者付费</w:t>
      </w:r>
      <w:r>
        <w:rPr>
          <w:rFonts w:hint="eastAsia" w:ascii="宋体" w:hAnsi="宋体" w:eastAsia="宋体" w:cs="宋体"/>
          <w:color w:val="auto"/>
          <w:spacing w:val="-6"/>
          <w:sz w:val="24"/>
          <w:szCs w:val="24"/>
          <w:lang w:eastAsia="zh-CN"/>
        </w:rPr>
        <w:t>运营模式</w:t>
      </w:r>
      <w:r>
        <w:rPr>
          <w:rFonts w:hint="eastAsia" w:ascii="宋体" w:hAnsi="宋体" w:eastAsia="宋体" w:cs="宋体"/>
          <w:color w:val="auto"/>
          <w:spacing w:val="-6"/>
          <w:sz w:val="24"/>
          <w:szCs w:val="24"/>
        </w:rPr>
        <w:t>。</w:t>
      </w:r>
    </w:p>
    <w:p>
      <w:pPr>
        <w:pStyle w:val="11"/>
        <w:keepNext w:val="0"/>
        <w:keepLines w:val="0"/>
        <w:pageBreakBefore w:val="0"/>
        <w:tabs>
          <w:tab w:val="left" w:pos="1508"/>
        </w:tabs>
        <w:kinsoku/>
        <w:wordWrap/>
        <w:overflowPunct/>
        <w:topLinePunct w:val="0"/>
        <w:autoSpaceDE/>
        <w:autoSpaceDN/>
        <w:bidi w:val="0"/>
        <w:adjustRightInd w:val="0"/>
        <w:snapToGrid/>
        <w:spacing w:line="360" w:lineRule="auto"/>
        <w:ind w:firstLine="480" w:firstLineChars="200"/>
        <w:jc w:val="both"/>
        <w:textAlignment w:val="baseline"/>
        <w:rPr>
          <w:rFonts w:ascii="楷体" w:hAnsi="楷体" w:eastAsia="楷体" w:cs="楷体"/>
          <w:color w:val="auto"/>
          <w:sz w:val="24"/>
          <w:szCs w:val="24"/>
        </w:rPr>
      </w:pPr>
      <w:bookmarkStart w:id="3" w:name="bookmark9"/>
      <w:r>
        <w:rPr>
          <w:rFonts w:hint="eastAsia" w:ascii="楷体" w:hAnsi="楷体" w:eastAsia="楷体" w:cs="楷体"/>
          <w:color w:val="auto"/>
          <w:sz w:val="24"/>
          <w:szCs w:val="24"/>
        </w:rPr>
        <w:t>（</w:t>
      </w:r>
      <w:bookmarkEnd w:id="3"/>
      <w:r>
        <w:rPr>
          <w:rFonts w:hint="eastAsia" w:ascii="楷体" w:hAnsi="楷体" w:eastAsia="楷体" w:cs="楷体"/>
          <w:color w:val="auto"/>
          <w:sz w:val="24"/>
          <w:szCs w:val="24"/>
          <w:lang w:val="en-US" w:eastAsia="zh-CN"/>
        </w:rPr>
        <w:t>十三</w:t>
      </w: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严格</w:t>
      </w:r>
      <w:r>
        <w:rPr>
          <w:rFonts w:hint="eastAsia" w:ascii="楷体" w:hAnsi="楷体" w:eastAsia="楷体" w:cs="楷体"/>
          <w:color w:val="auto"/>
          <w:sz w:val="24"/>
          <w:szCs w:val="24"/>
        </w:rPr>
        <w:t>监督考核</w:t>
      </w:r>
    </w:p>
    <w:p>
      <w:pPr>
        <w:pStyle w:val="11"/>
        <w:keepNext w:val="0"/>
        <w:keepLines w:val="0"/>
        <w:pageBreakBefore w:val="0"/>
        <w:tabs>
          <w:tab w:val="left" w:pos="1508"/>
        </w:tabs>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建立</w:t>
      </w:r>
      <w:r>
        <w:rPr>
          <w:rFonts w:hint="eastAsia" w:ascii="宋体" w:hAnsi="宋体" w:eastAsia="宋体" w:cs="宋体"/>
          <w:color w:val="auto"/>
          <w:sz w:val="24"/>
          <w:szCs w:val="24"/>
          <w:lang w:eastAsia="zh-CN"/>
        </w:rPr>
        <w:t>健全</w:t>
      </w:r>
      <w:r>
        <w:rPr>
          <w:rFonts w:hint="eastAsia" w:ascii="宋体" w:hAnsi="宋体" w:eastAsia="宋体" w:cs="宋体"/>
          <w:color w:val="auto"/>
          <w:sz w:val="24"/>
          <w:szCs w:val="24"/>
        </w:rPr>
        <w:t>监督</w:t>
      </w:r>
      <w:r>
        <w:rPr>
          <w:rFonts w:hint="eastAsia" w:ascii="宋体" w:hAnsi="宋体" w:eastAsia="宋体" w:cs="宋体"/>
          <w:color w:val="auto"/>
          <w:sz w:val="24"/>
          <w:szCs w:val="24"/>
          <w:lang w:val="en-US" w:eastAsia="zh-CN"/>
        </w:rPr>
        <w:t>考核</w:t>
      </w:r>
      <w:r>
        <w:rPr>
          <w:rFonts w:hint="eastAsia" w:ascii="宋体" w:hAnsi="宋体" w:eastAsia="宋体" w:cs="宋体"/>
          <w:color w:val="auto"/>
          <w:sz w:val="24"/>
          <w:szCs w:val="24"/>
        </w:rPr>
        <w:t>机制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将农村生活污水治理工作纳入乡村振兴战略实绩考核、污染防治攻坚战成效</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考核内容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加强考核结果应用，不达年度目标的</w:t>
      </w:r>
      <w:r>
        <w:rPr>
          <w:rFonts w:hint="eastAsia" w:ascii="宋体" w:hAnsi="宋体" w:eastAsia="宋体" w:cs="宋体"/>
          <w:color w:val="auto"/>
          <w:sz w:val="24"/>
          <w:szCs w:val="24"/>
          <w:lang w:val="en-US" w:eastAsia="zh-CN"/>
        </w:rPr>
        <w:t>县（市、区）</w:t>
      </w:r>
      <w:r>
        <w:rPr>
          <w:rFonts w:hint="eastAsia" w:ascii="宋体" w:hAnsi="宋体" w:eastAsia="宋体" w:cs="宋体"/>
          <w:color w:val="auto"/>
          <w:sz w:val="24"/>
          <w:szCs w:val="24"/>
        </w:rPr>
        <w:t>不得</w:t>
      </w:r>
      <w:r>
        <w:rPr>
          <w:rFonts w:hint="eastAsia" w:ascii="宋体" w:hAnsi="宋体" w:eastAsia="宋体" w:cs="宋体"/>
          <w:color w:val="auto"/>
          <w:sz w:val="24"/>
          <w:szCs w:val="24"/>
          <w:lang w:eastAsia="zh-CN"/>
        </w:rPr>
        <w:t>评先</w:t>
      </w:r>
      <w:r>
        <w:rPr>
          <w:rFonts w:hint="eastAsia" w:ascii="宋体" w:hAnsi="宋体" w:eastAsia="宋体" w:cs="宋体"/>
          <w:color w:val="auto"/>
          <w:sz w:val="24"/>
          <w:szCs w:val="24"/>
        </w:rPr>
        <w:t>评优。将治理设施日常巡查</w:t>
      </w:r>
      <w:r>
        <w:rPr>
          <w:rFonts w:hint="eastAsia" w:ascii="宋体" w:hAnsi="宋体" w:eastAsia="宋体" w:cs="宋体"/>
          <w:color w:val="auto"/>
          <w:sz w:val="24"/>
          <w:szCs w:val="24"/>
          <w:lang w:eastAsia="zh-CN"/>
        </w:rPr>
        <w:t>等工作</w:t>
      </w:r>
      <w:r>
        <w:rPr>
          <w:rFonts w:hint="eastAsia" w:ascii="宋体" w:hAnsi="宋体" w:eastAsia="宋体" w:cs="宋体"/>
          <w:color w:val="auto"/>
          <w:sz w:val="24"/>
          <w:szCs w:val="24"/>
        </w:rPr>
        <w:t>纳入驻镇帮镇扶村工作队、村级河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长、村</w:t>
      </w:r>
      <w:r>
        <w:rPr>
          <w:rFonts w:hint="eastAsia" w:ascii="宋体" w:hAnsi="宋体" w:eastAsia="宋体" w:cs="宋体"/>
          <w:color w:val="auto"/>
          <w:sz w:val="24"/>
          <w:szCs w:val="24"/>
          <w:lang w:eastAsia="zh-CN"/>
        </w:rPr>
        <w:t>（居）</w:t>
      </w:r>
      <w:r>
        <w:rPr>
          <w:rFonts w:hint="eastAsia" w:ascii="宋体" w:hAnsi="宋体" w:eastAsia="宋体" w:cs="宋体"/>
          <w:color w:val="auto"/>
          <w:sz w:val="24"/>
          <w:szCs w:val="24"/>
        </w:rPr>
        <w:t>委会等工作内容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发现问题及时</w:t>
      </w:r>
      <w:r>
        <w:rPr>
          <w:rFonts w:hint="eastAsia" w:ascii="宋体" w:hAnsi="宋体" w:eastAsia="宋体" w:cs="宋体"/>
          <w:color w:val="auto"/>
          <w:sz w:val="24"/>
          <w:szCs w:val="24"/>
          <w:lang w:val="en-US" w:eastAsia="zh-CN"/>
        </w:rPr>
        <w:t>上报并督促</w:t>
      </w:r>
      <w:r>
        <w:rPr>
          <w:rFonts w:hint="eastAsia" w:ascii="宋体" w:hAnsi="宋体" w:eastAsia="宋体" w:cs="宋体"/>
          <w:color w:val="auto"/>
          <w:sz w:val="24"/>
          <w:szCs w:val="24"/>
        </w:rPr>
        <w:t>整改。</w:t>
      </w:r>
    </w:p>
    <w:p>
      <w:pPr>
        <w:pStyle w:val="11"/>
        <w:keepNext w:val="0"/>
        <w:keepLines w:val="0"/>
        <w:pageBreakBefore w:val="0"/>
        <w:tabs>
          <w:tab w:val="left" w:pos="1513"/>
        </w:tabs>
        <w:kinsoku/>
        <w:wordWrap/>
        <w:overflowPunct/>
        <w:topLinePunct w:val="0"/>
        <w:autoSpaceDE/>
        <w:autoSpaceDN/>
        <w:bidi w:val="0"/>
        <w:adjustRightInd w:val="0"/>
        <w:snapToGrid/>
        <w:spacing w:line="360" w:lineRule="auto"/>
        <w:ind w:firstLine="480" w:firstLineChars="200"/>
        <w:jc w:val="both"/>
        <w:textAlignment w:val="baseline"/>
        <w:rPr>
          <w:rFonts w:ascii="楷体" w:hAnsi="楷体" w:eastAsia="楷体" w:cs="楷体"/>
          <w:color w:val="auto"/>
          <w:sz w:val="24"/>
          <w:szCs w:val="24"/>
          <w:lang w:eastAsia="zh-CN"/>
        </w:rPr>
      </w:pPr>
      <w:bookmarkStart w:id="4" w:name="bookmark11"/>
      <w:r>
        <w:rPr>
          <w:rFonts w:hint="eastAsia" w:ascii="楷体" w:hAnsi="楷体" w:eastAsia="楷体" w:cs="楷体"/>
          <w:color w:val="auto"/>
          <w:sz w:val="24"/>
          <w:szCs w:val="24"/>
        </w:rPr>
        <w:t>（</w:t>
      </w:r>
      <w:bookmarkEnd w:id="4"/>
      <w:r>
        <w:rPr>
          <w:rFonts w:hint="eastAsia" w:ascii="楷体" w:hAnsi="楷体" w:eastAsia="楷体" w:cs="楷体"/>
          <w:color w:val="auto"/>
          <w:sz w:val="24"/>
          <w:szCs w:val="24"/>
          <w:lang w:val="en-US" w:eastAsia="zh-CN"/>
        </w:rPr>
        <w:t>十四</w:t>
      </w:r>
      <w:r>
        <w:rPr>
          <w:rFonts w:hint="eastAsia" w:ascii="楷体" w:hAnsi="楷体" w:eastAsia="楷体" w:cs="楷体"/>
          <w:color w:val="auto"/>
          <w:sz w:val="24"/>
          <w:szCs w:val="24"/>
        </w:rPr>
        <w:t>）加强宣传</w:t>
      </w:r>
      <w:r>
        <w:rPr>
          <w:rFonts w:hint="eastAsia" w:ascii="楷体" w:hAnsi="楷体" w:eastAsia="楷体" w:cs="楷体"/>
          <w:color w:val="auto"/>
          <w:sz w:val="24"/>
          <w:szCs w:val="24"/>
          <w:lang w:eastAsia="zh-CN"/>
        </w:rPr>
        <w:t>教育</w:t>
      </w:r>
    </w:p>
    <w:p>
      <w:pPr>
        <w:pStyle w:val="11"/>
        <w:keepNext w:val="0"/>
        <w:keepLines w:val="0"/>
        <w:pageBreakBefore w:val="0"/>
        <w:tabs>
          <w:tab w:val="left" w:pos="1513"/>
        </w:tabs>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各地要</w:t>
      </w:r>
      <w:r>
        <w:rPr>
          <w:rFonts w:hint="eastAsia" w:ascii="宋体" w:hAnsi="宋体" w:eastAsia="宋体" w:cs="宋体"/>
          <w:color w:val="auto"/>
          <w:sz w:val="24"/>
          <w:szCs w:val="24"/>
        </w:rPr>
        <w:t>结合乡村振兴战略开展宣传教育，借助手机、电视、广播等媒介宣传污水处理设施运行维护知识，培育提升</w:t>
      </w:r>
      <w:r>
        <w:rPr>
          <w:rFonts w:hint="eastAsia" w:ascii="宋体" w:hAnsi="宋体" w:eastAsia="宋体" w:cs="宋体"/>
          <w:color w:val="auto"/>
          <w:sz w:val="24"/>
          <w:szCs w:val="24"/>
          <w:lang w:eastAsia="zh-CN"/>
        </w:rPr>
        <w:t>村</w:t>
      </w:r>
      <w:r>
        <w:rPr>
          <w:rFonts w:hint="eastAsia" w:ascii="宋体" w:hAnsi="宋体" w:eastAsia="宋体" w:cs="宋体"/>
          <w:color w:val="auto"/>
          <w:sz w:val="24"/>
          <w:szCs w:val="24"/>
        </w:rPr>
        <w:t>民生态环境保护意识，逐步规范</w:t>
      </w:r>
      <w:r>
        <w:rPr>
          <w:rFonts w:hint="eastAsia" w:ascii="宋体" w:hAnsi="宋体" w:eastAsia="宋体" w:cs="宋体"/>
          <w:color w:val="auto"/>
          <w:sz w:val="24"/>
          <w:szCs w:val="24"/>
          <w:lang w:eastAsia="zh-CN"/>
        </w:rPr>
        <w:t>村</w:t>
      </w:r>
      <w:r>
        <w:rPr>
          <w:rFonts w:hint="eastAsia" w:ascii="宋体" w:hAnsi="宋体" w:eastAsia="宋体" w:cs="宋体"/>
          <w:color w:val="auto"/>
          <w:sz w:val="24"/>
          <w:szCs w:val="24"/>
        </w:rPr>
        <w:t>民生活排水行为</w:t>
      </w:r>
      <w:r>
        <w:rPr>
          <w:rFonts w:hint="eastAsia" w:ascii="宋体" w:hAnsi="宋体" w:eastAsia="宋体" w:cs="宋体"/>
          <w:color w:val="auto"/>
          <w:sz w:val="24"/>
          <w:szCs w:val="24"/>
          <w:lang w:eastAsia="zh-CN"/>
        </w:rPr>
        <w:t>；要</w:t>
      </w:r>
      <w:r>
        <w:rPr>
          <w:rFonts w:hint="eastAsia" w:ascii="宋体" w:hAnsi="宋体" w:eastAsia="宋体" w:cs="宋体"/>
          <w:color w:val="auto"/>
          <w:sz w:val="24"/>
          <w:szCs w:val="24"/>
        </w:rPr>
        <w:t>充分发挥基层党组织战斗堡垒和党员先锋模范作用，</w:t>
      </w:r>
      <w:r>
        <w:rPr>
          <w:rFonts w:hint="eastAsia" w:ascii="宋体" w:hAnsi="宋体" w:eastAsia="宋体" w:cs="宋体"/>
          <w:color w:val="auto"/>
          <w:sz w:val="24"/>
          <w:szCs w:val="24"/>
          <w:lang w:eastAsia="zh-CN"/>
        </w:rPr>
        <w:t>带头参与</w:t>
      </w:r>
      <w:r>
        <w:rPr>
          <w:rFonts w:hint="eastAsia" w:ascii="宋体" w:hAnsi="宋体" w:eastAsia="宋体" w:cs="宋体"/>
          <w:color w:val="auto"/>
          <w:sz w:val="24"/>
          <w:szCs w:val="24"/>
        </w:rPr>
        <w:t>治理工程建设和运维工作</w:t>
      </w:r>
      <w:r>
        <w:rPr>
          <w:rFonts w:hint="eastAsia" w:ascii="宋体" w:hAnsi="宋体" w:eastAsia="宋体" w:cs="宋体"/>
          <w:color w:val="auto"/>
          <w:sz w:val="24"/>
          <w:szCs w:val="24"/>
          <w:lang w:eastAsia="zh-CN"/>
        </w:rPr>
        <w:t>；要</w:t>
      </w:r>
      <w:r>
        <w:rPr>
          <w:rFonts w:hint="eastAsia" w:ascii="宋体" w:hAnsi="宋体" w:eastAsia="宋体" w:cs="宋体"/>
          <w:color w:val="auto"/>
          <w:sz w:val="24"/>
          <w:szCs w:val="24"/>
        </w:rPr>
        <w:t>引导</w:t>
      </w:r>
      <w:r>
        <w:rPr>
          <w:rFonts w:hint="eastAsia" w:ascii="宋体" w:hAnsi="宋体" w:eastAsia="宋体" w:cs="宋体"/>
          <w:color w:val="auto"/>
          <w:sz w:val="24"/>
          <w:szCs w:val="24"/>
          <w:lang w:eastAsia="zh-CN"/>
        </w:rPr>
        <w:t>村</w:t>
      </w:r>
      <w:r>
        <w:rPr>
          <w:rFonts w:hint="eastAsia" w:ascii="宋体" w:hAnsi="宋体" w:eastAsia="宋体" w:cs="宋体"/>
          <w:color w:val="auto"/>
          <w:sz w:val="24"/>
          <w:szCs w:val="24"/>
        </w:rPr>
        <w:t>民参与项目前期设计、过程建设和后期监督，建立共谋、共建、共管、共享的机制，提高</w:t>
      </w:r>
      <w:r>
        <w:rPr>
          <w:rFonts w:hint="eastAsia" w:ascii="宋体" w:hAnsi="宋体" w:eastAsia="宋体" w:cs="宋体"/>
          <w:color w:val="auto"/>
          <w:sz w:val="24"/>
          <w:szCs w:val="24"/>
          <w:lang w:eastAsia="zh-CN"/>
        </w:rPr>
        <w:t>村</w:t>
      </w:r>
      <w:r>
        <w:rPr>
          <w:rFonts w:hint="eastAsia" w:ascii="宋体" w:hAnsi="宋体" w:eastAsia="宋体" w:cs="宋体"/>
          <w:color w:val="auto"/>
          <w:sz w:val="24"/>
          <w:szCs w:val="24"/>
        </w:rPr>
        <w:t>民对生活污水治理的参与感和满意</w:t>
      </w:r>
      <w:r>
        <w:rPr>
          <w:rFonts w:hint="eastAsia" w:ascii="宋体" w:hAnsi="宋体" w:eastAsia="宋体" w:cs="宋体"/>
          <w:color w:val="auto"/>
          <w:sz w:val="24"/>
          <w:szCs w:val="24"/>
          <w:lang w:eastAsia="zh-CN"/>
        </w:rPr>
        <w:t>度</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要定期组织运维管理人员教育培训，加强农村生活污水治理人才队伍建设。</w:t>
      </w:r>
    </w:p>
    <w:p>
      <w:pPr>
        <w:pStyle w:val="11"/>
        <w:keepNext w:val="0"/>
        <w:keepLines w:val="0"/>
        <w:pageBreakBefore w:val="0"/>
        <w:tabs>
          <w:tab w:val="left" w:pos="1513"/>
        </w:tabs>
        <w:kinsoku/>
        <w:wordWrap/>
        <w:overflowPunct/>
        <w:topLinePunct w:val="0"/>
        <w:autoSpaceDE/>
        <w:autoSpaceDN/>
        <w:bidi w:val="0"/>
        <w:adjustRightInd w:val="0"/>
        <w:snapToGrid/>
        <w:spacing w:line="336" w:lineRule="auto"/>
        <w:ind w:firstLine="480" w:firstLineChars="200"/>
        <w:jc w:val="both"/>
        <w:textAlignment w:val="baseline"/>
        <w:rPr>
          <w:rFonts w:ascii="仿宋_GB2312" w:hAnsi="仿宋_GB2312" w:eastAsia="仿宋_GB2312" w:cs="仿宋_GB2312"/>
          <w:color w:val="auto"/>
          <w:sz w:val="24"/>
          <w:szCs w:val="24"/>
        </w:rPr>
      </w:pPr>
    </w:p>
    <w:p>
      <w:pPr>
        <w:pStyle w:val="11"/>
        <w:keepNext w:val="0"/>
        <w:keepLines w:val="0"/>
        <w:pageBreakBefore w:val="0"/>
        <w:widowControl w:val="0"/>
        <w:tabs>
          <w:tab w:val="left" w:pos="1513"/>
        </w:tabs>
        <w:kinsoku/>
        <w:wordWrap/>
        <w:overflowPunct/>
        <w:topLinePunct w:val="0"/>
        <w:autoSpaceDE/>
        <w:autoSpaceDN/>
        <w:bidi w:val="0"/>
        <w:adjustRightInd w:val="0"/>
        <w:snapToGrid/>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附件：</w:t>
      </w:r>
      <w:r>
        <w:rPr>
          <w:rFonts w:hint="eastAsia" w:ascii="宋体" w:hAnsi="宋体" w:eastAsia="宋体" w:cs="宋体"/>
          <w:color w:val="auto"/>
          <w:sz w:val="24"/>
          <w:szCs w:val="24"/>
          <w:lang w:val="en-US" w:eastAsia="zh-CN"/>
        </w:rPr>
        <w:t>1.全市农村生活污水治理总体目标任务表</w:t>
      </w:r>
    </w:p>
    <w:p>
      <w:pPr>
        <w:pStyle w:val="11"/>
        <w:keepNext w:val="0"/>
        <w:keepLines w:val="0"/>
        <w:pageBreakBefore w:val="0"/>
        <w:widowControl w:val="0"/>
        <w:tabs>
          <w:tab w:val="left" w:pos="1513"/>
        </w:tabs>
        <w:kinsoku/>
        <w:wordWrap/>
        <w:overflowPunct/>
        <w:topLinePunct w:val="0"/>
        <w:autoSpaceDE/>
        <w:autoSpaceDN/>
        <w:bidi w:val="0"/>
        <w:adjustRightInd w:val="0"/>
        <w:snapToGrid/>
        <w:spacing w:line="360" w:lineRule="auto"/>
        <w:ind w:firstLine="1200" w:firstLineChars="5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2.重点任务部门责任分工表</w:t>
      </w:r>
    </w:p>
    <w:p>
      <w:pPr>
        <w:pStyle w:val="10"/>
        <w:keepNext w:val="0"/>
        <w:keepLines/>
        <w:pageBreakBefore w:val="0"/>
        <w:widowControl w:val="0"/>
        <w:kinsoku/>
        <w:wordWrap/>
        <w:overflowPunct/>
        <w:topLinePunct w:val="0"/>
        <w:autoSpaceDE/>
        <w:autoSpaceDN/>
        <w:bidi w:val="0"/>
        <w:snapToGrid w:val="0"/>
        <w:spacing w:line="360" w:lineRule="auto"/>
        <w:ind w:firstLine="1200" w:firstLineChars="5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3.实施农村生活污水治理攻坚行动项目表</w:t>
      </w:r>
    </w:p>
    <w:p>
      <w:pPr>
        <w:pStyle w:val="11"/>
        <w:tabs>
          <w:tab w:val="left" w:pos="1513"/>
        </w:tabs>
        <w:snapToGrid w:val="0"/>
        <w:spacing w:line="600" w:lineRule="exact"/>
        <w:ind w:firstLine="0"/>
        <w:jc w:val="center"/>
        <w:textAlignment w:val="baseline"/>
        <w:rPr>
          <w:rFonts w:hint="eastAsia" w:ascii="方正小标宋简体" w:hAnsi="方正小标宋简体" w:eastAsia="方正小标宋简体" w:cs="方正小标宋简体"/>
          <w:color w:val="auto"/>
          <w:sz w:val="44"/>
          <w:szCs w:val="44"/>
          <w:lang w:val="en-US" w:eastAsia="zh-CN"/>
        </w:rPr>
      </w:pPr>
    </w:p>
    <w:p>
      <w:pPr>
        <w:pStyle w:val="11"/>
        <w:tabs>
          <w:tab w:val="left" w:pos="1513"/>
        </w:tabs>
        <w:snapToGrid w:val="0"/>
        <w:spacing w:line="600" w:lineRule="exact"/>
        <w:ind w:firstLine="0"/>
        <w:jc w:val="center"/>
        <w:textAlignment w:val="baseline"/>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全市农村生活污水治理总体目标任务表</w:t>
      </w:r>
    </w:p>
    <w:p>
      <w:pPr>
        <w:pStyle w:val="11"/>
        <w:tabs>
          <w:tab w:val="left" w:pos="1513"/>
        </w:tabs>
        <w:snapToGrid w:val="0"/>
        <w:spacing w:line="600" w:lineRule="exact"/>
        <w:ind w:firstLine="0"/>
        <w:jc w:val="center"/>
        <w:textAlignment w:val="baseline"/>
        <w:rPr>
          <w:rFonts w:hint="eastAsia" w:ascii="方正小标宋简体" w:hAnsi="方正小标宋简体" w:eastAsia="方正小标宋简体" w:cs="方正小标宋简体"/>
          <w:color w:val="auto"/>
          <w:sz w:val="44"/>
          <w:szCs w:val="44"/>
          <w:lang w:val="en-US" w:eastAsia="zh-CN"/>
        </w:rPr>
      </w:pPr>
    </w:p>
    <w:tbl>
      <w:tblPr>
        <w:tblStyle w:val="7"/>
        <w:tblW w:w="7202" w:type="dxa"/>
        <w:jc w:val="center"/>
        <w:tblLayout w:type="fixed"/>
        <w:tblCellMar>
          <w:top w:w="0" w:type="dxa"/>
          <w:left w:w="108" w:type="dxa"/>
          <w:bottom w:w="0" w:type="dxa"/>
          <w:right w:w="108" w:type="dxa"/>
        </w:tblCellMar>
      </w:tblPr>
      <w:tblGrid>
        <w:gridCol w:w="1500"/>
        <w:gridCol w:w="1295"/>
        <w:gridCol w:w="2222"/>
        <w:gridCol w:w="2185"/>
      </w:tblGrid>
      <w:tr>
        <w:tblPrEx>
          <w:tblCellMar>
            <w:top w:w="0" w:type="dxa"/>
            <w:left w:w="108" w:type="dxa"/>
            <w:bottom w:w="0" w:type="dxa"/>
            <w:right w:w="108" w:type="dxa"/>
          </w:tblCellMar>
        </w:tblPrEx>
        <w:trPr>
          <w:trHeight w:val="1073" w:hRule="atLeast"/>
          <w:jc w:val="center"/>
        </w:trPr>
        <w:tc>
          <w:tcPr>
            <w:tcW w:w="1500" w:type="dxa"/>
            <w:tcBorders>
              <w:top w:val="single" w:color="auto" w:sz="4" w:space="0"/>
              <w:left w:val="single" w:color="auto" w:sz="4" w:space="0"/>
              <w:right w:val="single" w:color="auto" w:sz="4" w:space="0"/>
            </w:tcBorders>
            <w:vAlign w:val="center"/>
          </w:tcPr>
          <w:p>
            <w:pPr>
              <w:widowControl/>
              <w:snapToGrid w:val="0"/>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县（市、区）</w:t>
            </w:r>
          </w:p>
        </w:tc>
        <w:tc>
          <w:tcPr>
            <w:tcW w:w="1295" w:type="dxa"/>
            <w:tcBorders>
              <w:top w:val="single" w:color="auto" w:sz="4" w:space="0"/>
              <w:left w:val="single" w:color="auto" w:sz="4" w:space="0"/>
              <w:right w:val="single" w:color="auto" w:sz="4" w:space="0"/>
            </w:tcBorders>
            <w:vAlign w:val="center"/>
          </w:tcPr>
          <w:p>
            <w:pPr>
              <w:widowControl/>
              <w:snapToGrid w:val="0"/>
              <w:jc w:val="center"/>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自然村数</w:t>
            </w:r>
          </w:p>
        </w:tc>
        <w:tc>
          <w:tcPr>
            <w:tcW w:w="2222" w:type="dxa"/>
            <w:tcBorders>
              <w:top w:val="single" w:color="auto" w:sz="4" w:space="0"/>
              <w:left w:val="single" w:color="auto" w:sz="4" w:space="0"/>
              <w:right w:val="single" w:color="auto" w:sz="4" w:space="0"/>
            </w:tcBorders>
            <w:vAlign w:val="center"/>
          </w:tcPr>
          <w:p>
            <w:pPr>
              <w:widowControl/>
              <w:snapToGrid w:val="0"/>
              <w:jc w:val="both"/>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　</w:t>
            </w:r>
          </w:p>
          <w:p>
            <w:pPr>
              <w:widowControl/>
              <w:snapToGrid w:val="0"/>
              <w:jc w:val="center"/>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2022年治理率目标</w:t>
            </w:r>
          </w:p>
          <w:p>
            <w:pPr>
              <w:widowControl/>
              <w:snapToGrid w:val="0"/>
              <w:jc w:val="center"/>
              <w:textAlignment w:val="baseline"/>
              <w:rPr>
                <w:rFonts w:hint="eastAsia" w:ascii="宋体" w:hAnsi="宋体" w:eastAsia="宋体" w:cs="宋体"/>
                <w:b/>
                <w:bCs/>
                <w:color w:val="auto"/>
                <w:sz w:val="24"/>
                <w:szCs w:val="24"/>
                <w:lang w:eastAsia="zh-CN"/>
              </w:rPr>
            </w:pPr>
          </w:p>
        </w:tc>
        <w:tc>
          <w:tcPr>
            <w:tcW w:w="2185" w:type="dxa"/>
            <w:tcBorders>
              <w:top w:val="single" w:color="auto" w:sz="4" w:space="0"/>
              <w:left w:val="single" w:color="auto" w:sz="4" w:space="0"/>
              <w:right w:val="single" w:color="auto" w:sz="4" w:space="0"/>
            </w:tcBorders>
            <w:vAlign w:val="center"/>
          </w:tcPr>
          <w:p>
            <w:pPr>
              <w:widowControl/>
              <w:snapToGrid w:val="0"/>
              <w:jc w:val="center"/>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2025年治理率目标</w:t>
            </w:r>
          </w:p>
        </w:tc>
      </w:tr>
      <w:tr>
        <w:tblPrEx>
          <w:tblCellMar>
            <w:top w:w="0" w:type="dxa"/>
            <w:left w:w="108" w:type="dxa"/>
            <w:bottom w:w="0" w:type="dxa"/>
            <w:right w:w="108" w:type="dxa"/>
          </w:tblCellMar>
        </w:tblPrEx>
        <w:trPr>
          <w:trHeight w:val="63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全市</w:t>
            </w:r>
          </w:p>
        </w:tc>
        <w:tc>
          <w:tcPr>
            <w:tcW w:w="1295" w:type="dxa"/>
            <w:tcBorders>
              <w:top w:val="single" w:color="auto" w:sz="4" w:space="0"/>
              <w:left w:val="nil"/>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lang w:eastAsia="zh-CN"/>
              </w:rPr>
              <w:t>2967</w:t>
            </w:r>
          </w:p>
        </w:tc>
        <w:tc>
          <w:tcPr>
            <w:tcW w:w="2222" w:type="dxa"/>
            <w:tcBorders>
              <w:top w:val="single" w:color="auto" w:sz="4" w:space="0"/>
              <w:left w:val="nil"/>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lang w:eastAsia="zh-CN"/>
              </w:rPr>
              <w:t>50%以上</w:t>
            </w:r>
          </w:p>
        </w:tc>
        <w:tc>
          <w:tcPr>
            <w:tcW w:w="2185" w:type="dxa"/>
            <w:tcBorders>
              <w:top w:val="single" w:color="auto" w:sz="4" w:space="0"/>
              <w:left w:val="nil"/>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lang w:eastAsia="zh-CN" w:bidi="ar-SA"/>
              </w:rPr>
            </w:pPr>
            <w:r>
              <w:rPr>
                <w:rFonts w:hint="eastAsia" w:ascii="宋体" w:hAnsi="宋体" w:eastAsia="宋体" w:cs="宋体"/>
                <w:color w:val="auto"/>
                <w:sz w:val="24"/>
                <w:szCs w:val="24"/>
                <w:lang w:eastAsia="zh-CN" w:bidi="ar-SA"/>
              </w:rPr>
              <w:t>60%以上</w:t>
            </w:r>
          </w:p>
        </w:tc>
      </w:tr>
      <w:tr>
        <w:tblPrEx>
          <w:tblCellMar>
            <w:top w:w="0" w:type="dxa"/>
            <w:left w:w="108" w:type="dxa"/>
            <w:bottom w:w="0" w:type="dxa"/>
            <w:right w:w="108" w:type="dxa"/>
          </w:tblCellMar>
        </w:tblPrEx>
        <w:trPr>
          <w:trHeight w:val="637" w:hRule="atLeast"/>
          <w:jc w:val="center"/>
        </w:trPr>
        <w:tc>
          <w:tcPr>
            <w:tcW w:w="1500" w:type="dxa"/>
            <w:tcBorders>
              <w:top w:val="nil"/>
              <w:left w:val="single" w:color="auto" w:sz="4" w:space="0"/>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海丰县</w:t>
            </w:r>
          </w:p>
        </w:tc>
        <w:tc>
          <w:tcPr>
            <w:tcW w:w="1295" w:type="dxa"/>
            <w:tcBorders>
              <w:top w:val="nil"/>
              <w:left w:val="nil"/>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1076</w:t>
            </w:r>
          </w:p>
        </w:tc>
        <w:tc>
          <w:tcPr>
            <w:tcW w:w="2222" w:type="dxa"/>
            <w:tcBorders>
              <w:top w:val="nil"/>
              <w:left w:val="nil"/>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50%以上</w:t>
            </w:r>
          </w:p>
        </w:tc>
        <w:tc>
          <w:tcPr>
            <w:tcW w:w="2185" w:type="dxa"/>
            <w:tcBorders>
              <w:top w:val="nil"/>
              <w:left w:val="nil"/>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lang w:eastAsia="zh-CN" w:bidi="ar-SA"/>
              </w:rPr>
            </w:pPr>
            <w:r>
              <w:rPr>
                <w:rFonts w:hint="eastAsia" w:ascii="宋体" w:hAnsi="宋体" w:eastAsia="宋体" w:cs="宋体"/>
                <w:color w:val="auto"/>
                <w:sz w:val="24"/>
                <w:szCs w:val="24"/>
                <w:lang w:eastAsia="zh-CN" w:bidi="ar-SA"/>
              </w:rPr>
              <w:t>60%以上</w:t>
            </w:r>
          </w:p>
        </w:tc>
      </w:tr>
      <w:tr>
        <w:tblPrEx>
          <w:tblCellMar>
            <w:top w:w="0" w:type="dxa"/>
            <w:left w:w="108" w:type="dxa"/>
            <w:bottom w:w="0" w:type="dxa"/>
            <w:right w:w="108" w:type="dxa"/>
          </w:tblCellMar>
        </w:tblPrEx>
        <w:trPr>
          <w:trHeight w:val="637" w:hRule="atLeast"/>
          <w:jc w:val="center"/>
        </w:trPr>
        <w:tc>
          <w:tcPr>
            <w:tcW w:w="1500" w:type="dxa"/>
            <w:tcBorders>
              <w:top w:val="nil"/>
              <w:left w:val="single" w:color="auto" w:sz="4" w:space="0"/>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城区</w:t>
            </w:r>
          </w:p>
        </w:tc>
        <w:tc>
          <w:tcPr>
            <w:tcW w:w="1295" w:type="dxa"/>
            <w:tcBorders>
              <w:top w:val="nil"/>
              <w:left w:val="nil"/>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158</w:t>
            </w:r>
          </w:p>
        </w:tc>
        <w:tc>
          <w:tcPr>
            <w:tcW w:w="2222" w:type="dxa"/>
            <w:tcBorders>
              <w:top w:val="nil"/>
              <w:left w:val="nil"/>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80%以上</w:t>
            </w:r>
          </w:p>
        </w:tc>
        <w:tc>
          <w:tcPr>
            <w:tcW w:w="2185" w:type="dxa"/>
            <w:tcBorders>
              <w:top w:val="nil"/>
              <w:left w:val="nil"/>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lang w:eastAsia="zh-CN" w:bidi="ar-SA"/>
              </w:rPr>
            </w:pPr>
            <w:r>
              <w:rPr>
                <w:rFonts w:hint="eastAsia" w:ascii="宋体" w:hAnsi="宋体" w:eastAsia="宋体" w:cs="宋体"/>
                <w:color w:val="auto"/>
                <w:sz w:val="24"/>
                <w:szCs w:val="24"/>
                <w:lang w:eastAsia="zh-CN" w:bidi="ar-SA"/>
              </w:rPr>
              <w:t>90%以上</w:t>
            </w:r>
          </w:p>
        </w:tc>
      </w:tr>
      <w:tr>
        <w:tblPrEx>
          <w:tblCellMar>
            <w:top w:w="0" w:type="dxa"/>
            <w:left w:w="108" w:type="dxa"/>
            <w:bottom w:w="0" w:type="dxa"/>
            <w:right w:w="108" w:type="dxa"/>
          </w:tblCellMar>
        </w:tblPrEx>
        <w:trPr>
          <w:trHeight w:val="637" w:hRule="atLeast"/>
          <w:jc w:val="center"/>
        </w:trPr>
        <w:tc>
          <w:tcPr>
            <w:tcW w:w="1500" w:type="dxa"/>
            <w:tcBorders>
              <w:top w:val="nil"/>
              <w:left w:val="single" w:color="auto" w:sz="4" w:space="0"/>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陆丰市</w:t>
            </w:r>
          </w:p>
        </w:tc>
        <w:tc>
          <w:tcPr>
            <w:tcW w:w="1295" w:type="dxa"/>
            <w:tcBorders>
              <w:top w:val="nil"/>
              <w:left w:val="nil"/>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1031</w:t>
            </w:r>
          </w:p>
        </w:tc>
        <w:tc>
          <w:tcPr>
            <w:tcW w:w="2222" w:type="dxa"/>
            <w:tcBorders>
              <w:top w:val="nil"/>
              <w:left w:val="nil"/>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50%以上</w:t>
            </w:r>
          </w:p>
        </w:tc>
        <w:tc>
          <w:tcPr>
            <w:tcW w:w="2185" w:type="dxa"/>
            <w:tcBorders>
              <w:top w:val="nil"/>
              <w:left w:val="nil"/>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lang w:eastAsia="zh-CN" w:bidi="ar-SA"/>
              </w:rPr>
            </w:pPr>
            <w:r>
              <w:rPr>
                <w:rFonts w:hint="eastAsia" w:ascii="宋体" w:hAnsi="宋体" w:eastAsia="宋体" w:cs="宋体"/>
                <w:color w:val="auto"/>
                <w:sz w:val="24"/>
                <w:szCs w:val="24"/>
                <w:lang w:eastAsia="zh-CN" w:bidi="ar-SA"/>
              </w:rPr>
              <w:t>60%以上</w:t>
            </w:r>
          </w:p>
        </w:tc>
      </w:tr>
      <w:tr>
        <w:tblPrEx>
          <w:tblCellMar>
            <w:top w:w="0" w:type="dxa"/>
            <w:left w:w="108" w:type="dxa"/>
            <w:bottom w:w="0" w:type="dxa"/>
            <w:right w:w="108" w:type="dxa"/>
          </w:tblCellMar>
        </w:tblPrEx>
        <w:trPr>
          <w:trHeight w:val="637" w:hRule="atLeast"/>
          <w:jc w:val="center"/>
        </w:trPr>
        <w:tc>
          <w:tcPr>
            <w:tcW w:w="1500" w:type="dxa"/>
            <w:tcBorders>
              <w:top w:val="nil"/>
              <w:left w:val="single" w:color="auto" w:sz="4" w:space="0"/>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陆河县</w:t>
            </w:r>
          </w:p>
        </w:tc>
        <w:tc>
          <w:tcPr>
            <w:tcW w:w="1295" w:type="dxa"/>
            <w:tcBorders>
              <w:top w:val="nil"/>
              <w:left w:val="nil"/>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610</w:t>
            </w:r>
          </w:p>
        </w:tc>
        <w:tc>
          <w:tcPr>
            <w:tcW w:w="2222" w:type="dxa"/>
            <w:tcBorders>
              <w:top w:val="nil"/>
              <w:left w:val="nil"/>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50%以上</w:t>
            </w:r>
          </w:p>
        </w:tc>
        <w:tc>
          <w:tcPr>
            <w:tcW w:w="2185" w:type="dxa"/>
            <w:tcBorders>
              <w:top w:val="nil"/>
              <w:left w:val="nil"/>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lang w:eastAsia="zh-CN" w:bidi="ar-SA"/>
              </w:rPr>
            </w:pPr>
            <w:r>
              <w:rPr>
                <w:rFonts w:hint="eastAsia" w:ascii="宋体" w:hAnsi="宋体" w:eastAsia="宋体" w:cs="宋体"/>
                <w:color w:val="auto"/>
                <w:sz w:val="24"/>
                <w:szCs w:val="24"/>
                <w:lang w:eastAsia="zh-CN" w:bidi="ar-SA"/>
              </w:rPr>
              <w:t>60%以上</w:t>
            </w:r>
          </w:p>
        </w:tc>
      </w:tr>
      <w:tr>
        <w:tblPrEx>
          <w:tblCellMar>
            <w:top w:w="0" w:type="dxa"/>
            <w:left w:w="108" w:type="dxa"/>
            <w:bottom w:w="0" w:type="dxa"/>
            <w:right w:w="108" w:type="dxa"/>
          </w:tblCellMar>
        </w:tblPrEx>
        <w:trPr>
          <w:trHeight w:val="637" w:hRule="atLeast"/>
          <w:jc w:val="center"/>
        </w:trPr>
        <w:tc>
          <w:tcPr>
            <w:tcW w:w="1500" w:type="dxa"/>
            <w:tcBorders>
              <w:top w:val="nil"/>
              <w:left w:val="single" w:color="auto" w:sz="4" w:space="0"/>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红海湾经济</w:t>
            </w:r>
          </w:p>
          <w:p>
            <w:pPr>
              <w:widowControl/>
              <w:snapToGrid w:val="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开发区</w:t>
            </w:r>
          </w:p>
        </w:tc>
        <w:tc>
          <w:tcPr>
            <w:tcW w:w="1295" w:type="dxa"/>
            <w:tcBorders>
              <w:top w:val="nil"/>
              <w:left w:val="nil"/>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75</w:t>
            </w:r>
          </w:p>
        </w:tc>
        <w:tc>
          <w:tcPr>
            <w:tcW w:w="2222" w:type="dxa"/>
            <w:tcBorders>
              <w:top w:val="nil"/>
              <w:left w:val="nil"/>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50%以上</w:t>
            </w:r>
          </w:p>
        </w:tc>
        <w:tc>
          <w:tcPr>
            <w:tcW w:w="2185" w:type="dxa"/>
            <w:tcBorders>
              <w:top w:val="nil"/>
              <w:left w:val="nil"/>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lang w:eastAsia="zh-CN" w:bidi="ar-SA"/>
              </w:rPr>
            </w:pPr>
            <w:r>
              <w:rPr>
                <w:rFonts w:hint="eastAsia" w:ascii="宋体" w:hAnsi="宋体" w:eastAsia="宋体" w:cs="宋体"/>
                <w:color w:val="auto"/>
                <w:sz w:val="24"/>
                <w:szCs w:val="24"/>
                <w:lang w:eastAsia="zh-CN" w:bidi="ar-SA"/>
              </w:rPr>
              <w:t>60%以上</w:t>
            </w:r>
          </w:p>
        </w:tc>
      </w:tr>
      <w:tr>
        <w:tblPrEx>
          <w:tblCellMar>
            <w:top w:w="0" w:type="dxa"/>
            <w:left w:w="108" w:type="dxa"/>
            <w:bottom w:w="0" w:type="dxa"/>
            <w:right w:w="108" w:type="dxa"/>
          </w:tblCellMar>
        </w:tblPrEx>
        <w:trPr>
          <w:trHeight w:val="657" w:hRule="atLeast"/>
          <w:jc w:val="center"/>
        </w:trPr>
        <w:tc>
          <w:tcPr>
            <w:tcW w:w="1500" w:type="dxa"/>
            <w:tcBorders>
              <w:top w:val="nil"/>
              <w:left w:val="single" w:color="auto" w:sz="4" w:space="0"/>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华侨管理区</w:t>
            </w:r>
          </w:p>
        </w:tc>
        <w:tc>
          <w:tcPr>
            <w:tcW w:w="1295" w:type="dxa"/>
            <w:tcBorders>
              <w:top w:val="nil"/>
              <w:left w:val="nil"/>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17</w:t>
            </w:r>
          </w:p>
        </w:tc>
        <w:tc>
          <w:tcPr>
            <w:tcW w:w="2222" w:type="dxa"/>
            <w:tcBorders>
              <w:top w:val="nil"/>
              <w:left w:val="nil"/>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SA"/>
              </w:rPr>
              <w:t>100%</w:t>
            </w:r>
          </w:p>
        </w:tc>
        <w:tc>
          <w:tcPr>
            <w:tcW w:w="2185" w:type="dxa"/>
            <w:tcBorders>
              <w:top w:val="nil"/>
              <w:left w:val="nil"/>
              <w:bottom w:val="single" w:color="auto" w:sz="4" w:space="0"/>
              <w:right w:val="single" w:color="auto" w:sz="4" w:space="0"/>
            </w:tcBorders>
            <w:vAlign w:val="center"/>
          </w:tcPr>
          <w:p>
            <w:pPr>
              <w:widowControl/>
              <w:snapToGrid w:val="0"/>
              <w:jc w:val="center"/>
              <w:textAlignment w:val="baseline"/>
              <w:rPr>
                <w:rFonts w:hint="eastAsia" w:ascii="宋体" w:hAnsi="宋体" w:eastAsia="宋体" w:cs="宋体"/>
                <w:color w:val="auto"/>
                <w:sz w:val="24"/>
                <w:szCs w:val="24"/>
                <w:lang w:eastAsia="zh-CN" w:bidi="ar-SA"/>
              </w:rPr>
            </w:pPr>
            <w:r>
              <w:rPr>
                <w:rFonts w:hint="eastAsia" w:ascii="宋体" w:hAnsi="宋体" w:eastAsia="宋体" w:cs="宋体"/>
                <w:color w:val="auto"/>
                <w:sz w:val="24"/>
                <w:szCs w:val="24"/>
                <w:lang w:eastAsia="zh-CN" w:bidi="ar-SA"/>
              </w:rPr>
              <w:t>100%</w:t>
            </w:r>
          </w:p>
        </w:tc>
      </w:tr>
    </w:tbl>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11"/>
        <w:tabs>
          <w:tab w:val="left" w:pos="1513"/>
        </w:tabs>
        <w:snapToGrid w:val="0"/>
        <w:spacing w:line="600" w:lineRule="exact"/>
        <w:ind w:firstLine="0"/>
        <w:jc w:val="both"/>
        <w:textAlignment w:val="baseline"/>
        <w:rPr>
          <w:rFonts w:hint="eastAsia" w:ascii="黑体" w:hAnsi="黑体" w:eastAsia="黑体" w:cs="黑体"/>
          <w:color w:val="auto"/>
          <w:sz w:val="24"/>
          <w:szCs w:val="24"/>
          <w:lang w:val="en-US" w:eastAsia="zh-CN"/>
        </w:rPr>
        <w:sectPr>
          <w:pgSz w:w="11906" w:h="16838"/>
          <w:pgMar w:top="1440" w:right="1800" w:bottom="1440" w:left="1800" w:header="851" w:footer="992" w:gutter="0"/>
          <w:cols w:space="425" w:num="1"/>
          <w:docGrid w:type="lines" w:linePitch="312" w:charSpace="0"/>
        </w:sectPr>
      </w:pPr>
    </w:p>
    <w:p>
      <w:pPr>
        <w:pStyle w:val="11"/>
        <w:tabs>
          <w:tab w:val="left" w:pos="1513"/>
        </w:tabs>
        <w:snapToGrid w:val="0"/>
        <w:spacing w:line="600" w:lineRule="exact"/>
        <w:ind w:firstLine="0"/>
        <w:jc w:val="both"/>
        <w:textAlignment w:val="baseline"/>
        <w:rPr>
          <w:rFonts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附件2</w:t>
      </w:r>
    </w:p>
    <w:p>
      <w:pPr>
        <w:snapToGrid w:val="0"/>
        <w:spacing w:line="560" w:lineRule="exact"/>
        <w:jc w:val="center"/>
        <w:textAlignment w:val="baseline"/>
        <w:rPr>
          <w:rFonts w:ascii="方正小标宋简体" w:hAnsi="宋体" w:eastAsia="方正小标宋简体"/>
          <w:color w:val="auto"/>
          <w:sz w:val="36"/>
          <w:szCs w:val="36"/>
          <w:lang w:eastAsia="zh-CN"/>
        </w:rPr>
      </w:pPr>
      <w:r>
        <w:rPr>
          <w:rFonts w:hint="eastAsia" w:ascii="方正小标宋简体" w:hAnsi="宋体" w:eastAsia="方正小标宋简体"/>
          <w:color w:val="auto"/>
          <w:sz w:val="36"/>
          <w:szCs w:val="36"/>
          <w:lang w:eastAsia="zh-CN"/>
        </w:rPr>
        <w:t>重点任务部门责任分工表</w:t>
      </w:r>
    </w:p>
    <w:p>
      <w:pPr>
        <w:pStyle w:val="6"/>
        <w:snapToGrid w:val="0"/>
        <w:ind w:left="480" w:firstLine="600"/>
        <w:textAlignment w:val="baseline"/>
        <w:rPr>
          <w:color w:val="auto"/>
          <w:lang w:eastAsia="zh-CN"/>
        </w:rPr>
      </w:pPr>
    </w:p>
    <w:tbl>
      <w:tblPr>
        <w:tblStyle w:val="7"/>
        <w:tblW w:w="14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5342"/>
        <w:gridCol w:w="1596"/>
        <w:gridCol w:w="2334"/>
        <w:gridCol w:w="1560"/>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blHeader/>
          <w:jc w:val="center"/>
        </w:trPr>
        <w:tc>
          <w:tcPr>
            <w:tcW w:w="1704" w:type="dxa"/>
            <w:vAlign w:val="center"/>
          </w:tcPr>
          <w:p>
            <w:pPr>
              <w:snapToGrid w:val="0"/>
              <w:spacing w:line="400" w:lineRule="exact"/>
              <w:jc w:val="center"/>
              <w:textAlignment w:val="baseline"/>
              <w:rPr>
                <w:rFonts w:hint="eastAsia" w:ascii="黑体" w:hAnsi="黑体" w:eastAsia="黑体" w:cs="黑体"/>
                <w:color w:val="auto"/>
                <w:sz w:val="21"/>
                <w:szCs w:val="21"/>
                <w:lang w:eastAsia="zh-CN"/>
              </w:rPr>
            </w:pPr>
            <w:r>
              <w:rPr>
                <w:rFonts w:hint="eastAsia" w:ascii="黑体" w:hAnsi="黑体" w:eastAsia="黑体" w:cs="黑体"/>
                <w:color w:val="auto"/>
                <w:sz w:val="21"/>
                <w:szCs w:val="21"/>
              </w:rPr>
              <w:t>主要</w:t>
            </w:r>
            <w:r>
              <w:rPr>
                <w:rFonts w:hint="eastAsia" w:ascii="黑体" w:hAnsi="黑体" w:eastAsia="黑体" w:cs="黑体"/>
                <w:color w:val="auto"/>
                <w:sz w:val="21"/>
                <w:szCs w:val="21"/>
                <w:lang w:eastAsia="zh-CN"/>
              </w:rPr>
              <w:t>工作</w:t>
            </w:r>
          </w:p>
        </w:tc>
        <w:tc>
          <w:tcPr>
            <w:tcW w:w="5342" w:type="dxa"/>
            <w:vAlign w:val="center"/>
          </w:tcPr>
          <w:p>
            <w:pPr>
              <w:snapToGrid w:val="0"/>
              <w:spacing w:line="400" w:lineRule="exact"/>
              <w:jc w:val="center"/>
              <w:textAlignment w:val="baseline"/>
              <w:rPr>
                <w:rFonts w:hint="eastAsia" w:ascii="黑体" w:hAnsi="黑体" w:eastAsia="黑体" w:cs="黑体"/>
                <w:color w:val="auto"/>
                <w:sz w:val="21"/>
                <w:szCs w:val="21"/>
              </w:rPr>
            </w:pPr>
            <w:r>
              <w:rPr>
                <w:rFonts w:hint="eastAsia" w:ascii="黑体" w:hAnsi="黑体" w:eastAsia="黑体" w:cs="黑体"/>
                <w:color w:val="auto"/>
                <w:sz w:val="21"/>
                <w:szCs w:val="21"/>
              </w:rPr>
              <w:t>任务措施</w:t>
            </w:r>
          </w:p>
        </w:tc>
        <w:tc>
          <w:tcPr>
            <w:tcW w:w="1596" w:type="dxa"/>
            <w:vAlign w:val="center"/>
          </w:tcPr>
          <w:p>
            <w:pPr>
              <w:snapToGrid w:val="0"/>
              <w:spacing w:line="400" w:lineRule="exact"/>
              <w:jc w:val="center"/>
              <w:textAlignment w:val="baseline"/>
              <w:rPr>
                <w:rFonts w:hint="eastAsia" w:ascii="黑体" w:hAnsi="黑体" w:eastAsia="黑体" w:cs="黑体"/>
                <w:color w:val="auto"/>
                <w:sz w:val="21"/>
                <w:szCs w:val="21"/>
              </w:rPr>
            </w:pPr>
            <w:r>
              <w:rPr>
                <w:rFonts w:hint="eastAsia" w:ascii="黑体" w:hAnsi="黑体" w:eastAsia="黑体" w:cs="黑体"/>
                <w:color w:val="auto"/>
                <w:sz w:val="21"/>
                <w:szCs w:val="21"/>
                <w:lang w:eastAsia="zh-CN"/>
              </w:rPr>
              <w:t>指导</w:t>
            </w:r>
            <w:r>
              <w:rPr>
                <w:rFonts w:hint="eastAsia" w:ascii="黑体" w:hAnsi="黑体" w:eastAsia="黑体" w:cs="黑体"/>
                <w:color w:val="auto"/>
                <w:sz w:val="21"/>
                <w:szCs w:val="21"/>
              </w:rPr>
              <w:t>单位</w:t>
            </w:r>
          </w:p>
        </w:tc>
        <w:tc>
          <w:tcPr>
            <w:tcW w:w="2334" w:type="dxa"/>
            <w:vAlign w:val="center"/>
          </w:tcPr>
          <w:p>
            <w:pPr>
              <w:snapToGrid w:val="0"/>
              <w:spacing w:line="400" w:lineRule="exact"/>
              <w:jc w:val="center"/>
              <w:textAlignment w:val="baseline"/>
              <w:rPr>
                <w:rFonts w:hint="eastAsia" w:ascii="黑体" w:hAnsi="黑体" w:eastAsia="黑体" w:cs="黑体"/>
                <w:color w:val="auto"/>
                <w:sz w:val="21"/>
                <w:szCs w:val="21"/>
              </w:rPr>
            </w:pPr>
            <w:r>
              <w:rPr>
                <w:rFonts w:hint="eastAsia" w:ascii="黑体" w:hAnsi="黑体" w:eastAsia="黑体" w:cs="黑体"/>
                <w:color w:val="auto"/>
                <w:sz w:val="21"/>
                <w:szCs w:val="21"/>
              </w:rPr>
              <w:t>配合单位</w:t>
            </w:r>
          </w:p>
        </w:tc>
        <w:tc>
          <w:tcPr>
            <w:tcW w:w="1560" w:type="dxa"/>
            <w:vAlign w:val="center"/>
          </w:tcPr>
          <w:p>
            <w:pPr>
              <w:snapToGrid w:val="0"/>
              <w:spacing w:line="400" w:lineRule="exact"/>
              <w:jc w:val="center"/>
              <w:textAlignment w:val="baseline"/>
              <w:rPr>
                <w:rFonts w:hint="eastAsia" w:ascii="黑体" w:hAnsi="黑体" w:eastAsia="黑体" w:cs="黑体"/>
                <w:color w:val="auto"/>
                <w:sz w:val="21"/>
                <w:szCs w:val="21"/>
              </w:rPr>
            </w:pPr>
            <w:r>
              <w:rPr>
                <w:rFonts w:hint="eastAsia" w:ascii="黑体" w:hAnsi="黑体" w:eastAsia="黑体" w:cs="黑体"/>
                <w:color w:val="auto"/>
                <w:sz w:val="21"/>
                <w:szCs w:val="21"/>
              </w:rPr>
              <w:t>责任单位</w:t>
            </w:r>
          </w:p>
        </w:tc>
        <w:tc>
          <w:tcPr>
            <w:tcW w:w="1525" w:type="dxa"/>
            <w:vAlign w:val="center"/>
          </w:tcPr>
          <w:p>
            <w:pPr>
              <w:snapToGrid w:val="0"/>
              <w:spacing w:line="400" w:lineRule="exact"/>
              <w:jc w:val="center"/>
              <w:textAlignment w:val="baseline"/>
              <w:rPr>
                <w:rFonts w:hint="eastAsia" w:ascii="黑体" w:hAnsi="黑体" w:eastAsia="黑体" w:cs="黑体"/>
                <w:color w:val="auto"/>
                <w:sz w:val="21"/>
                <w:szCs w:val="21"/>
              </w:rPr>
            </w:pPr>
            <w:r>
              <w:rPr>
                <w:rFonts w:hint="eastAsia" w:ascii="黑体" w:hAnsi="黑体" w:eastAsia="黑体" w:cs="黑体"/>
                <w:color w:val="auto"/>
                <w:sz w:val="21"/>
                <w:szCs w:val="21"/>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704" w:type="dxa"/>
            <w:vMerge w:val="restart"/>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县域农村生活污水治理专项规划</w:t>
            </w:r>
          </w:p>
        </w:tc>
        <w:tc>
          <w:tcPr>
            <w:tcW w:w="5342"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开展系统摸排，掌握村庄基本信息及污水治理现状，形成“一村一策”治理清单和老旧设施及管网提升改造清单</w:t>
            </w:r>
          </w:p>
        </w:tc>
        <w:tc>
          <w:tcPr>
            <w:tcW w:w="1596"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市生态环境局</w:t>
            </w:r>
          </w:p>
        </w:tc>
        <w:tc>
          <w:tcPr>
            <w:tcW w:w="2334"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市住房城乡建设局、市水务局、市农业农村局</w:t>
            </w:r>
          </w:p>
        </w:tc>
        <w:tc>
          <w:tcPr>
            <w:tcW w:w="1560"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各县（市、区）人民政府</w:t>
            </w:r>
          </w:p>
        </w:tc>
        <w:tc>
          <w:tcPr>
            <w:tcW w:w="1525"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2021年1</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704" w:type="dxa"/>
            <w:vMerge w:val="continue"/>
            <w:vAlign w:val="center"/>
          </w:tcPr>
          <w:p>
            <w:pPr>
              <w:snapToGrid w:val="0"/>
              <w:textAlignment w:val="baseline"/>
              <w:rPr>
                <w:rFonts w:hint="eastAsia" w:asciiTheme="minorEastAsia" w:hAnsiTheme="minorEastAsia" w:eastAsiaTheme="minorEastAsia" w:cstheme="minorEastAsia"/>
                <w:color w:val="auto"/>
                <w:sz w:val="21"/>
                <w:szCs w:val="21"/>
                <w:lang w:eastAsia="zh-CN"/>
              </w:rPr>
            </w:pPr>
          </w:p>
        </w:tc>
        <w:tc>
          <w:tcPr>
            <w:tcW w:w="5342"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县域农村生活污水治理专项规划编制</w:t>
            </w:r>
          </w:p>
        </w:tc>
        <w:tc>
          <w:tcPr>
            <w:tcW w:w="1596"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市生态环境局</w:t>
            </w:r>
          </w:p>
        </w:tc>
        <w:tc>
          <w:tcPr>
            <w:tcW w:w="2334"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市住房城乡建设局、市水务局、市农业农村局、市自然资源局</w:t>
            </w:r>
          </w:p>
        </w:tc>
        <w:tc>
          <w:tcPr>
            <w:tcW w:w="1560"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各县（市、区）人民政府</w:t>
            </w:r>
          </w:p>
        </w:tc>
        <w:tc>
          <w:tcPr>
            <w:tcW w:w="1525"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力争</w:t>
            </w:r>
            <w:r>
              <w:rPr>
                <w:rFonts w:hint="eastAsia" w:asciiTheme="minorEastAsia" w:hAnsiTheme="minorEastAsia" w:eastAsiaTheme="minorEastAsia" w:cstheme="minorEastAsia"/>
                <w:color w:val="auto"/>
                <w:sz w:val="21"/>
                <w:szCs w:val="21"/>
                <w:lang w:eastAsia="zh-CN"/>
              </w:rPr>
              <w:t>2021年12月底前印发实施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7" w:hRule="atLeast"/>
          <w:jc w:val="center"/>
        </w:trPr>
        <w:tc>
          <w:tcPr>
            <w:tcW w:w="1704" w:type="dxa"/>
            <w:vMerge w:val="continue"/>
            <w:vAlign w:val="center"/>
          </w:tcPr>
          <w:p>
            <w:pPr>
              <w:snapToGrid w:val="0"/>
              <w:textAlignment w:val="baseline"/>
              <w:rPr>
                <w:rFonts w:hint="eastAsia" w:asciiTheme="minorEastAsia" w:hAnsiTheme="minorEastAsia" w:eastAsiaTheme="minorEastAsia" w:cstheme="minorEastAsia"/>
                <w:color w:val="auto"/>
                <w:sz w:val="21"/>
                <w:szCs w:val="21"/>
                <w:lang w:eastAsia="zh-CN"/>
              </w:rPr>
            </w:pPr>
          </w:p>
        </w:tc>
        <w:tc>
          <w:tcPr>
            <w:tcW w:w="5342"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汕尾市农村生活污水治理攻坚行动方案编制</w:t>
            </w:r>
          </w:p>
        </w:tc>
        <w:tc>
          <w:tcPr>
            <w:tcW w:w="1596"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p>
        </w:tc>
        <w:tc>
          <w:tcPr>
            <w:tcW w:w="2334"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市住房城乡建设局、市水务局、市农业农村局</w:t>
            </w:r>
          </w:p>
        </w:tc>
        <w:tc>
          <w:tcPr>
            <w:tcW w:w="1560"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市生态环境局</w:t>
            </w:r>
          </w:p>
        </w:tc>
        <w:tc>
          <w:tcPr>
            <w:tcW w:w="1525"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力争</w:t>
            </w:r>
            <w:r>
              <w:rPr>
                <w:rFonts w:hint="eastAsia" w:asciiTheme="minorEastAsia" w:hAnsiTheme="minorEastAsia" w:eastAsiaTheme="minorEastAsia" w:cstheme="minorEastAsia"/>
                <w:color w:val="auto"/>
                <w:sz w:val="21"/>
                <w:szCs w:val="21"/>
                <w:lang w:eastAsia="zh-CN"/>
              </w:rPr>
              <w:t>202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年1月底前报省级专家团队技术审核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704" w:type="dxa"/>
            <w:vMerge w:val="restart"/>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新建污水处理设施</w:t>
            </w:r>
          </w:p>
        </w:tc>
        <w:tc>
          <w:tcPr>
            <w:tcW w:w="5342"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根据“一村一策”治理清单，明确各自然村治理模式</w:t>
            </w:r>
          </w:p>
        </w:tc>
        <w:tc>
          <w:tcPr>
            <w:tcW w:w="1596"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市生态环境局</w:t>
            </w:r>
          </w:p>
        </w:tc>
        <w:tc>
          <w:tcPr>
            <w:tcW w:w="2334"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市住房城乡建设局、市水务局、市农业农村局</w:t>
            </w:r>
          </w:p>
        </w:tc>
        <w:tc>
          <w:tcPr>
            <w:tcW w:w="1560"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各县（市、区）人民政府</w:t>
            </w:r>
          </w:p>
        </w:tc>
        <w:tc>
          <w:tcPr>
            <w:tcW w:w="1525"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2021年1</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704" w:type="dxa"/>
            <w:vMerge w:val="continue"/>
            <w:vAlign w:val="center"/>
          </w:tcPr>
          <w:p>
            <w:pPr>
              <w:snapToGrid w:val="0"/>
              <w:textAlignment w:val="baseline"/>
              <w:rPr>
                <w:rFonts w:hint="eastAsia" w:asciiTheme="minorEastAsia" w:hAnsiTheme="minorEastAsia" w:eastAsiaTheme="minorEastAsia" w:cstheme="minorEastAsia"/>
                <w:color w:val="auto"/>
                <w:sz w:val="21"/>
                <w:szCs w:val="21"/>
                <w:lang w:eastAsia="zh-CN"/>
              </w:rPr>
            </w:pPr>
          </w:p>
        </w:tc>
        <w:tc>
          <w:tcPr>
            <w:tcW w:w="5342"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合理选用工艺，建设污水处理设施及配套收集管网</w:t>
            </w:r>
          </w:p>
        </w:tc>
        <w:tc>
          <w:tcPr>
            <w:tcW w:w="1596"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市生态环境局</w:t>
            </w:r>
          </w:p>
        </w:tc>
        <w:tc>
          <w:tcPr>
            <w:tcW w:w="2334"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市住房城乡建设局、市水务局、市农业农村局</w:t>
            </w:r>
          </w:p>
        </w:tc>
        <w:tc>
          <w:tcPr>
            <w:tcW w:w="1560"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各县（市、区）人民政府</w:t>
            </w:r>
          </w:p>
        </w:tc>
        <w:tc>
          <w:tcPr>
            <w:tcW w:w="1525"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2021-2025年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704" w:type="dxa"/>
            <w:vMerge w:val="continue"/>
            <w:vAlign w:val="center"/>
          </w:tcPr>
          <w:p>
            <w:pPr>
              <w:snapToGrid w:val="0"/>
              <w:textAlignment w:val="baseline"/>
              <w:rPr>
                <w:rFonts w:hint="eastAsia" w:asciiTheme="minorEastAsia" w:hAnsiTheme="minorEastAsia" w:eastAsiaTheme="minorEastAsia" w:cstheme="minorEastAsia"/>
                <w:color w:val="auto"/>
                <w:sz w:val="21"/>
                <w:szCs w:val="21"/>
                <w:lang w:eastAsia="zh-CN"/>
              </w:rPr>
            </w:pPr>
          </w:p>
        </w:tc>
        <w:tc>
          <w:tcPr>
            <w:tcW w:w="5342"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满足市政排水管网接入要求的村庄，将村（居）民生活污水接入城镇污水收集管网</w:t>
            </w:r>
          </w:p>
        </w:tc>
        <w:tc>
          <w:tcPr>
            <w:tcW w:w="1596" w:type="dxa"/>
            <w:vAlign w:val="center"/>
          </w:tcPr>
          <w:p>
            <w:pPr>
              <w:snapToGrid w:val="0"/>
              <w:jc w:val="both"/>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市住房城乡建设局</w:t>
            </w:r>
          </w:p>
        </w:tc>
        <w:tc>
          <w:tcPr>
            <w:tcW w:w="2334" w:type="dxa"/>
            <w:vAlign w:val="center"/>
          </w:tcPr>
          <w:p>
            <w:pPr>
              <w:snapToGrid w:val="0"/>
              <w:jc w:val="both"/>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市农业农村局、市水务局、市生态环境局</w:t>
            </w:r>
          </w:p>
        </w:tc>
        <w:tc>
          <w:tcPr>
            <w:tcW w:w="1560"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各县（市、区）人民政府</w:t>
            </w:r>
          </w:p>
        </w:tc>
        <w:tc>
          <w:tcPr>
            <w:tcW w:w="1525"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2021-2025年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704" w:type="dxa"/>
            <w:vMerge w:val="continue"/>
            <w:vAlign w:val="center"/>
          </w:tcPr>
          <w:p>
            <w:pPr>
              <w:snapToGrid w:val="0"/>
              <w:textAlignment w:val="baseline"/>
              <w:rPr>
                <w:rFonts w:hint="eastAsia" w:asciiTheme="minorEastAsia" w:hAnsiTheme="minorEastAsia" w:eastAsiaTheme="minorEastAsia" w:cstheme="minorEastAsia"/>
                <w:color w:val="auto"/>
                <w:sz w:val="21"/>
                <w:szCs w:val="21"/>
                <w:lang w:eastAsia="zh-CN"/>
              </w:rPr>
            </w:pPr>
          </w:p>
        </w:tc>
        <w:tc>
          <w:tcPr>
            <w:tcW w:w="5342"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各县（市、区）应按照建设项目管理程序有序推进工程建设，结合实际简化审批环节</w:t>
            </w:r>
          </w:p>
        </w:tc>
        <w:tc>
          <w:tcPr>
            <w:tcW w:w="1596"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市发展改革局</w:t>
            </w:r>
          </w:p>
        </w:tc>
        <w:tc>
          <w:tcPr>
            <w:tcW w:w="2334"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市生态环境局、市自然资源局、市住房城乡建设局、市水务局、市农业农村局、市林业局</w:t>
            </w:r>
          </w:p>
        </w:tc>
        <w:tc>
          <w:tcPr>
            <w:tcW w:w="1560"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各县（市、区）人民政府</w:t>
            </w:r>
          </w:p>
        </w:tc>
        <w:tc>
          <w:tcPr>
            <w:tcW w:w="1525"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2021-2025年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04" w:type="dxa"/>
            <w:vMerge w:val="continue"/>
            <w:vAlign w:val="center"/>
          </w:tcPr>
          <w:p>
            <w:pPr>
              <w:snapToGrid w:val="0"/>
              <w:textAlignment w:val="baseline"/>
              <w:rPr>
                <w:rFonts w:hint="eastAsia" w:asciiTheme="minorEastAsia" w:hAnsiTheme="minorEastAsia" w:eastAsiaTheme="minorEastAsia" w:cstheme="minorEastAsia"/>
                <w:color w:val="auto"/>
                <w:sz w:val="21"/>
                <w:szCs w:val="21"/>
                <w:lang w:eastAsia="zh-CN"/>
              </w:rPr>
            </w:pPr>
          </w:p>
        </w:tc>
        <w:tc>
          <w:tcPr>
            <w:tcW w:w="5342"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使用集体建设用地建设农村生活污水处理项目,无需办理建设项目用地预审与选址意见书;对符合国土空间规划和用途管制的项目,免于办理乡村建设规划许可证。</w:t>
            </w:r>
          </w:p>
        </w:tc>
        <w:tc>
          <w:tcPr>
            <w:tcW w:w="1596"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市自然资源局</w:t>
            </w:r>
          </w:p>
        </w:tc>
        <w:tc>
          <w:tcPr>
            <w:tcW w:w="2334"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市生态环境局、市住房城乡建设局、市水务局、市农业农村局</w:t>
            </w:r>
          </w:p>
        </w:tc>
        <w:tc>
          <w:tcPr>
            <w:tcW w:w="1560"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各县（市、区）人民政府</w:t>
            </w:r>
          </w:p>
        </w:tc>
        <w:tc>
          <w:tcPr>
            <w:tcW w:w="1525"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2021-2025年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704"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老旧设施及管网提升改造</w:t>
            </w:r>
          </w:p>
        </w:tc>
        <w:tc>
          <w:tcPr>
            <w:tcW w:w="5342"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根据老旧、废弃设施修复提升及管网修复改造清单，</w:t>
            </w:r>
            <w:r>
              <w:rPr>
                <w:rFonts w:hint="eastAsia" w:asciiTheme="minorEastAsia" w:hAnsiTheme="minorEastAsia" w:eastAsiaTheme="minorEastAsia" w:cstheme="minorEastAsia"/>
                <w:color w:val="auto"/>
                <w:sz w:val="21"/>
                <w:szCs w:val="21"/>
                <w:lang w:eastAsia="zh-CN" w:bidi="zh-TW"/>
              </w:rPr>
              <w:t>以提升污水处理成效为目标，通过“修复、改造、重建”等方式，分级实施提质增效工程。</w:t>
            </w:r>
          </w:p>
        </w:tc>
        <w:tc>
          <w:tcPr>
            <w:tcW w:w="1596" w:type="dxa"/>
            <w:vAlign w:val="center"/>
          </w:tcPr>
          <w:p>
            <w:pPr>
              <w:snapToGrid w:val="0"/>
              <w:jc w:val="left"/>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市生态环境局、市住房城乡建设局、市发展改革局、市农业农村局、市水务局等部门按职责分工负责。</w:t>
            </w:r>
          </w:p>
        </w:tc>
        <w:tc>
          <w:tcPr>
            <w:tcW w:w="2334" w:type="dxa"/>
            <w:vAlign w:val="center"/>
          </w:tcPr>
          <w:p>
            <w:pPr>
              <w:snapToGrid w:val="0"/>
              <w:jc w:val="left"/>
              <w:textAlignment w:val="baseline"/>
              <w:rPr>
                <w:rFonts w:hint="eastAsia" w:asciiTheme="minorEastAsia" w:hAnsiTheme="minorEastAsia" w:eastAsiaTheme="minorEastAsia" w:cstheme="minorEastAsia"/>
                <w:color w:val="auto"/>
                <w:sz w:val="21"/>
                <w:szCs w:val="21"/>
                <w:lang w:eastAsia="zh-CN"/>
              </w:rPr>
            </w:pPr>
          </w:p>
        </w:tc>
        <w:tc>
          <w:tcPr>
            <w:tcW w:w="1560" w:type="dxa"/>
            <w:vAlign w:val="center"/>
          </w:tcPr>
          <w:p>
            <w:pPr>
              <w:snapToGrid w:val="0"/>
              <w:jc w:val="left"/>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各县（市、区）人民政府</w:t>
            </w:r>
          </w:p>
        </w:tc>
        <w:tc>
          <w:tcPr>
            <w:tcW w:w="1525" w:type="dxa"/>
            <w:vAlign w:val="center"/>
          </w:tcPr>
          <w:p>
            <w:pPr>
              <w:snapToGrid w:val="0"/>
              <w:jc w:val="left"/>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力争</w:t>
            </w:r>
            <w:r>
              <w:rPr>
                <w:rFonts w:hint="eastAsia" w:asciiTheme="minorEastAsia" w:hAnsiTheme="minorEastAsia" w:eastAsiaTheme="minorEastAsia" w:cstheme="minorEastAsia"/>
                <w:color w:val="auto"/>
                <w:sz w:val="21"/>
                <w:szCs w:val="21"/>
                <w:lang w:eastAsia="zh-CN"/>
              </w:rPr>
              <w:t>2022年底前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704"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资源化利用</w:t>
            </w:r>
          </w:p>
        </w:tc>
        <w:tc>
          <w:tcPr>
            <w:tcW w:w="5342" w:type="dxa"/>
            <w:vAlign w:val="center"/>
          </w:tcPr>
          <w:p>
            <w:pPr>
              <w:snapToGrid w:val="0"/>
              <w:textAlignment w:val="baseline"/>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合理选择污水资源化利用方式，建设完善污水收集、暂存和预处理设施</w:t>
            </w:r>
          </w:p>
        </w:tc>
        <w:tc>
          <w:tcPr>
            <w:tcW w:w="1596" w:type="dxa"/>
            <w:vAlign w:val="center"/>
          </w:tcPr>
          <w:p>
            <w:pPr>
              <w:snapToGrid w:val="0"/>
              <w:jc w:val="left"/>
              <w:textAlignment w:val="baseline"/>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市生态环境局、市住房城乡建设局、市发展改革局、市农业农村局、市水务局等部门按职责分工负责。</w:t>
            </w:r>
          </w:p>
        </w:tc>
        <w:tc>
          <w:tcPr>
            <w:tcW w:w="2334" w:type="dxa"/>
            <w:vAlign w:val="center"/>
          </w:tcPr>
          <w:p>
            <w:pPr>
              <w:snapToGrid w:val="0"/>
              <w:jc w:val="left"/>
              <w:textAlignment w:val="baseline"/>
              <w:rPr>
                <w:rFonts w:hint="eastAsia" w:asciiTheme="minorEastAsia" w:hAnsiTheme="minorEastAsia" w:eastAsiaTheme="minorEastAsia" w:cstheme="minorEastAsia"/>
                <w:color w:val="auto"/>
                <w:sz w:val="21"/>
                <w:szCs w:val="21"/>
                <w:lang w:eastAsia="zh-CN" w:bidi="zh-TW"/>
              </w:rPr>
            </w:pPr>
          </w:p>
        </w:tc>
        <w:tc>
          <w:tcPr>
            <w:tcW w:w="1560" w:type="dxa"/>
            <w:vAlign w:val="center"/>
          </w:tcPr>
          <w:p>
            <w:pPr>
              <w:snapToGrid w:val="0"/>
              <w:jc w:val="left"/>
              <w:textAlignment w:val="baseline"/>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各县（市、区）人民政府</w:t>
            </w:r>
          </w:p>
        </w:tc>
        <w:tc>
          <w:tcPr>
            <w:tcW w:w="1525" w:type="dxa"/>
            <w:vAlign w:val="center"/>
          </w:tcPr>
          <w:p>
            <w:pPr>
              <w:snapToGrid w:val="0"/>
              <w:jc w:val="left"/>
              <w:textAlignment w:val="baseline"/>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2023年底前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704"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长效化运维管理</w:t>
            </w:r>
          </w:p>
        </w:tc>
        <w:tc>
          <w:tcPr>
            <w:tcW w:w="5342"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出台农村生活污水处理设施运行维护管理办法，合理选用运维管理模式，落实运维管理经费</w:t>
            </w:r>
          </w:p>
        </w:tc>
        <w:tc>
          <w:tcPr>
            <w:tcW w:w="1596" w:type="dxa"/>
            <w:vAlign w:val="center"/>
          </w:tcPr>
          <w:p>
            <w:pPr>
              <w:snapToGrid w:val="0"/>
              <w:jc w:val="left"/>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市生态环境局、市住房城乡建设局、市农业农村局、市财政局、市水务局等部门按职责分工负责。</w:t>
            </w:r>
          </w:p>
        </w:tc>
        <w:tc>
          <w:tcPr>
            <w:tcW w:w="2334" w:type="dxa"/>
            <w:vAlign w:val="center"/>
          </w:tcPr>
          <w:p>
            <w:pPr>
              <w:snapToGrid w:val="0"/>
              <w:jc w:val="left"/>
              <w:textAlignment w:val="baseline"/>
              <w:rPr>
                <w:rFonts w:hint="eastAsia" w:asciiTheme="minorEastAsia" w:hAnsiTheme="minorEastAsia" w:eastAsiaTheme="minorEastAsia" w:cstheme="minorEastAsia"/>
                <w:color w:val="auto"/>
                <w:sz w:val="21"/>
                <w:szCs w:val="21"/>
                <w:lang w:eastAsia="zh-CN"/>
              </w:rPr>
            </w:pPr>
          </w:p>
        </w:tc>
        <w:tc>
          <w:tcPr>
            <w:tcW w:w="1560"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各县（市、区）人民政府</w:t>
            </w:r>
          </w:p>
        </w:tc>
        <w:tc>
          <w:tcPr>
            <w:tcW w:w="1525"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2022年底前，并长期执行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704" w:type="dxa"/>
            <w:vMerge w:val="restart"/>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实施数字化管理</w:t>
            </w:r>
          </w:p>
        </w:tc>
        <w:tc>
          <w:tcPr>
            <w:tcW w:w="5342"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加快推行农村生活污水治理数字化管理，建立治理电子台账，通过电量、流量数据、视频监控等方式进行实时监管</w:t>
            </w:r>
          </w:p>
        </w:tc>
        <w:tc>
          <w:tcPr>
            <w:tcW w:w="1596"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市住房城乡建设局、市生态环境局等部门按职责负责</w:t>
            </w:r>
          </w:p>
        </w:tc>
        <w:tc>
          <w:tcPr>
            <w:tcW w:w="2334"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市水务局、市农业农村局</w:t>
            </w:r>
          </w:p>
        </w:tc>
        <w:tc>
          <w:tcPr>
            <w:tcW w:w="1560"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各县（市、区）人民政府</w:t>
            </w:r>
          </w:p>
        </w:tc>
        <w:tc>
          <w:tcPr>
            <w:tcW w:w="1525"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2021-2025年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704" w:type="dxa"/>
            <w:vMerge w:val="continue"/>
            <w:vAlign w:val="center"/>
          </w:tcPr>
          <w:p>
            <w:pPr>
              <w:snapToGrid w:val="0"/>
              <w:textAlignment w:val="baseline"/>
              <w:rPr>
                <w:rFonts w:hint="eastAsia" w:asciiTheme="minorEastAsia" w:hAnsiTheme="minorEastAsia" w:eastAsiaTheme="minorEastAsia" w:cstheme="minorEastAsia"/>
                <w:color w:val="auto"/>
                <w:sz w:val="21"/>
                <w:szCs w:val="21"/>
                <w:lang w:eastAsia="zh-CN"/>
              </w:rPr>
            </w:pPr>
          </w:p>
        </w:tc>
        <w:tc>
          <w:tcPr>
            <w:tcW w:w="5342"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将农村生活污水治理纳入数字政府“一网统管”，建立上下联动、部门共享的信息交流机制。</w:t>
            </w:r>
          </w:p>
        </w:tc>
        <w:tc>
          <w:tcPr>
            <w:tcW w:w="1596"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市政务服务数据管理局、市生态环境局、市住房城乡建设局、市水务局、市农业农村局等部门按职责分工负责</w:t>
            </w:r>
          </w:p>
        </w:tc>
        <w:tc>
          <w:tcPr>
            <w:tcW w:w="2334"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p>
        </w:tc>
        <w:tc>
          <w:tcPr>
            <w:tcW w:w="1560"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各县（市、区）人民政府</w:t>
            </w:r>
          </w:p>
        </w:tc>
        <w:tc>
          <w:tcPr>
            <w:tcW w:w="1525"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2021-2025年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704"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加强组织领导</w:t>
            </w:r>
          </w:p>
        </w:tc>
        <w:tc>
          <w:tcPr>
            <w:tcW w:w="5342"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各地参照市成立县级农村生活污水治理专项攻坚领导小组，落实主体责任，组织做好区域内农村生活污水处理设施规划、建设改造、运行维护和资金保障等工作。</w:t>
            </w:r>
          </w:p>
        </w:tc>
        <w:tc>
          <w:tcPr>
            <w:tcW w:w="1596"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市生态环境局</w:t>
            </w:r>
          </w:p>
        </w:tc>
        <w:tc>
          <w:tcPr>
            <w:tcW w:w="2334"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市住房城乡建设局、市水务局、市农业农村局</w:t>
            </w:r>
          </w:p>
        </w:tc>
        <w:tc>
          <w:tcPr>
            <w:tcW w:w="1560"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各县（市、区）人民政府</w:t>
            </w:r>
          </w:p>
        </w:tc>
        <w:tc>
          <w:tcPr>
            <w:tcW w:w="1525"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704" w:type="dxa"/>
            <w:vMerge w:val="restart"/>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加强资金保障</w:t>
            </w:r>
          </w:p>
        </w:tc>
        <w:tc>
          <w:tcPr>
            <w:tcW w:w="5342"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统筹用好生态环境保护资金、涉农资金和土地出让收益，加大对农村生活污水治理工作的支持力度</w:t>
            </w:r>
          </w:p>
        </w:tc>
        <w:tc>
          <w:tcPr>
            <w:tcW w:w="1596"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市财政局</w:t>
            </w:r>
          </w:p>
        </w:tc>
        <w:tc>
          <w:tcPr>
            <w:tcW w:w="2334"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市农业农村局、市生态环境局、市住房城乡建设局、市水务局</w:t>
            </w:r>
          </w:p>
        </w:tc>
        <w:tc>
          <w:tcPr>
            <w:tcW w:w="1560"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各县（市、区）人民政府</w:t>
            </w:r>
          </w:p>
        </w:tc>
        <w:tc>
          <w:tcPr>
            <w:tcW w:w="1525"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2021-2025年，并长期执行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704" w:type="dxa"/>
            <w:vMerge w:val="continue"/>
            <w:vAlign w:val="center"/>
          </w:tcPr>
          <w:p>
            <w:pPr>
              <w:snapToGrid w:val="0"/>
              <w:textAlignment w:val="baseline"/>
              <w:rPr>
                <w:rFonts w:hint="eastAsia" w:asciiTheme="minorEastAsia" w:hAnsiTheme="minorEastAsia" w:eastAsiaTheme="minorEastAsia" w:cstheme="minorEastAsia"/>
                <w:color w:val="auto"/>
                <w:sz w:val="21"/>
                <w:szCs w:val="21"/>
                <w:lang w:eastAsia="zh-CN"/>
              </w:rPr>
            </w:pPr>
          </w:p>
        </w:tc>
        <w:tc>
          <w:tcPr>
            <w:tcW w:w="5342"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鼓励各地积极拓展投融资渠道，优化PPP等项目实施，引导企业、乡贤通过赞助、冠名等方式支持农村生活污水治理</w:t>
            </w:r>
          </w:p>
        </w:tc>
        <w:tc>
          <w:tcPr>
            <w:tcW w:w="1596"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市发展改革局</w:t>
            </w:r>
          </w:p>
        </w:tc>
        <w:tc>
          <w:tcPr>
            <w:tcW w:w="2334"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市住房城乡建设局、市水务局、市农业农村局</w:t>
            </w:r>
          </w:p>
        </w:tc>
        <w:tc>
          <w:tcPr>
            <w:tcW w:w="1560"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各县（市、区）人民政府</w:t>
            </w:r>
          </w:p>
        </w:tc>
        <w:tc>
          <w:tcPr>
            <w:tcW w:w="1525"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2021-2025年，并长期执行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704" w:type="dxa"/>
            <w:vMerge w:val="restart"/>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严格监督考核</w:t>
            </w:r>
          </w:p>
        </w:tc>
        <w:tc>
          <w:tcPr>
            <w:tcW w:w="5342"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将农村生活污水治理工作纳入乡村振兴战略实绩考核内容</w:t>
            </w:r>
          </w:p>
        </w:tc>
        <w:tc>
          <w:tcPr>
            <w:tcW w:w="1596"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市农业农村局</w:t>
            </w:r>
          </w:p>
        </w:tc>
        <w:tc>
          <w:tcPr>
            <w:tcW w:w="2334"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市住房城乡建设局、市生态环境局、市水务局</w:t>
            </w:r>
          </w:p>
        </w:tc>
        <w:tc>
          <w:tcPr>
            <w:tcW w:w="1560"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各县（市、区）人民政府</w:t>
            </w:r>
          </w:p>
        </w:tc>
        <w:tc>
          <w:tcPr>
            <w:tcW w:w="1525"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2021-2025年，并长期执行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704" w:type="dxa"/>
            <w:vMerge w:val="continue"/>
            <w:vAlign w:val="center"/>
          </w:tcPr>
          <w:p>
            <w:pPr>
              <w:snapToGrid w:val="0"/>
              <w:textAlignment w:val="baseline"/>
              <w:rPr>
                <w:rFonts w:hint="eastAsia" w:asciiTheme="minorEastAsia" w:hAnsiTheme="minorEastAsia" w:eastAsiaTheme="minorEastAsia" w:cstheme="minorEastAsia"/>
                <w:color w:val="auto"/>
                <w:sz w:val="21"/>
                <w:szCs w:val="21"/>
                <w:lang w:eastAsia="zh-CN"/>
              </w:rPr>
            </w:pPr>
          </w:p>
        </w:tc>
        <w:tc>
          <w:tcPr>
            <w:tcW w:w="5342"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将农村生活污水治理工作纳入污染防治攻坚战成效等考核内容</w:t>
            </w:r>
          </w:p>
        </w:tc>
        <w:tc>
          <w:tcPr>
            <w:tcW w:w="1596"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市生态环境局</w:t>
            </w:r>
          </w:p>
        </w:tc>
        <w:tc>
          <w:tcPr>
            <w:tcW w:w="2334"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p>
        </w:tc>
        <w:tc>
          <w:tcPr>
            <w:tcW w:w="1560"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各县（市、区）人民政府</w:t>
            </w:r>
          </w:p>
        </w:tc>
        <w:tc>
          <w:tcPr>
            <w:tcW w:w="1525"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2021-2025年，并长期执行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704" w:type="dxa"/>
            <w:vMerge w:val="continue"/>
            <w:vAlign w:val="center"/>
          </w:tcPr>
          <w:p>
            <w:pPr>
              <w:snapToGrid w:val="0"/>
              <w:textAlignment w:val="baseline"/>
              <w:rPr>
                <w:rFonts w:hint="eastAsia" w:asciiTheme="minorEastAsia" w:hAnsiTheme="minorEastAsia" w:eastAsiaTheme="minorEastAsia" w:cstheme="minorEastAsia"/>
                <w:color w:val="auto"/>
                <w:sz w:val="21"/>
                <w:szCs w:val="21"/>
                <w:lang w:eastAsia="zh-CN"/>
              </w:rPr>
            </w:pPr>
          </w:p>
        </w:tc>
        <w:tc>
          <w:tcPr>
            <w:tcW w:w="5342"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将治理设施日常巡查等工作纳入驻镇帮镇扶村工作队、村级河（湖）长、村（居）委会等工作内容</w:t>
            </w:r>
          </w:p>
        </w:tc>
        <w:tc>
          <w:tcPr>
            <w:tcW w:w="1596"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市农业农村局、市水务局</w:t>
            </w:r>
          </w:p>
        </w:tc>
        <w:tc>
          <w:tcPr>
            <w:tcW w:w="2334"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p>
        </w:tc>
        <w:tc>
          <w:tcPr>
            <w:tcW w:w="1560"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各县（市、区）人民政府</w:t>
            </w:r>
          </w:p>
        </w:tc>
        <w:tc>
          <w:tcPr>
            <w:tcW w:w="1525"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2021-2025年，并长期执行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704"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加强宣传教育</w:t>
            </w:r>
          </w:p>
        </w:tc>
        <w:tc>
          <w:tcPr>
            <w:tcW w:w="5342" w:type="dxa"/>
            <w:vAlign w:val="center"/>
          </w:tcPr>
          <w:p>
            <w:pPr>
              <w:snapToGrid w:val="0"/>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加强宣传教育</w:t>
            </w:r>
          </w:p>
        </w:tc>
        <w:tc>
          <w:tcPr>
            <w:tcW w:w="1596"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市生态环境局、市农业农村局</w:t>
            </w:r>
          </w:p>
        </w:tc>
        <w:tc>
          <w:tcPr>
            <w:tcW w:w="2334"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市住房城乡建设局、市水务局</w:t>
            </w:r>
          </w:p>
        </w:tc>
        <w:tc>
          <w:tcPr>
            <w:tcW w:w="1560"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各县（市、区）人民政府</w:t>
            </w:r>
          </w:p>
        </w:tc>
        <w:tc>
          <w:tcPr>
            <w:tcW w:w="1525" w:type="dxa"/>
            <w:vAlign w:val="center"/>
          </w:tcPr>
          <w:p>
            <w:pPr>
              <w:snapToGrid w:val="0"/>
              <w:jc w:val="center"/>
              <w:textAlignment w:val="baseline"/>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2021-2025年，并长期执行</w:t>
            </w:r>
          </w:p>
        </w:tc>
      </w:tr>
    </w:tbl>
    <w:p>
      <w:pPr>
        <w:snapToGrid w:val="0"/>
        <w:textAlignment w:val="baseline"/>
        <w:rPr>
          <w:rFonts w:ascii="仿宋_GB2312" w:eastAsia="仿宋_GB2312"/>
          <w:color w:val="auto"/>
          <w:sz w:val="20"/>
          <w:lang w:eastAsia="zh-CN"/>
        </w:rPr>
      </w:pPr>
      <w:r>
        <w:rPr>
          <w:rFonts w:hint="eastAsia" w:ascii="仿宋_GB2312" w:eastAsia="仿宋_GB2312"/>
          <w:color w:val="auto"/>
          <w:lang w:eastAsia="zh-CN"/>
        </w:rPr>
        <w:br w:type="page"/>
      </w:r>
    </w:p>
    <w:p>
      <w:pPr>
        <w:pStyle w:val="11"/>
        <w:tabs>
          <w:tab w:val="left" w:pos="1513"/>
        </w:tabs>
        <w:snapToGrid w:val="0"/>
        <w:spacing w:line="600" w:lineRule="exact"/>
        <w:ind w:firstLine="0"/>
        <w:jc w:val="both"/>
        <w:textAlignment w:val="baseline"/>
        <w:rPr>
          <w:rFonts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附件3</w:t>
      </w:r>
    </w:p>
    <w:p>
      <w:pPr>
        <w:pStyle w:val="11"/>
        <w:tabs>
          <w:tab w:val="left" w:pos="1513"/>
        </w:tabs>
        <w:snapToGrid w:val="0"/>
        <w:spacing w:line="600" w:lineRule="exact"/>
        <w:ind w:firstLine="0"/>
        <w:jc w:val="both"/>
        <w:textAlignment w:val="baseline"/>
        <w:rPr>
          <w:rFonts w:ascii="仿宋_GB2312" w:hAnsi="仿宋_GB2312" w:eastAsia="仿宋_GB2312" w:cs="仿宋_GB2312"/>
          <w:color w:val="auto"/>
          <w:sz w:val="32"/>
          <w:szCs w:val="32"/>
          <w:lang w:val="en-US" w:eastAsia="zh-CN"/>
        </w:rPr>
      </w:pPr>
    </w:p>
    <w:p>
      <w:pPr>
        <w:pStyle w:val="11"/>
        <w:tabs>
          <w:tab w:val="left" w:pos="1513"/>
        </w:tabs>
        <w:snapToGrid w:val="0"/>
        <w:spacing w:before="0" w:beforeAutospacing="0" w:after="0" w:afterAutospacing="0" w:line="600" w:lineRule="exact"/>
        <w:ind w:firstLine="0"/>
        <w:jc w:val="center"/>
        <w:textAlignment w:val="baseline"/>
        <w:rPr>
          <w:rFonts w:ascii="方正小标宋简体" w:hAnsi="方正小标宋简体" w:eastAsia="方正小标宋简体" w:cs="方正小标宋简体"/>
          <w:b w:val="0"/>
          <w:i w:val="0"/>
          <w:caps w:val="0"/>
          <w:color w:val="auto"/>
          <w:spacing w:val="0"/>
          <w:w w:val="100"/>
          <w:sz w:val="44"/>
          <w:szCs w:val="44"/>
          <w:lang w:val="en-US" w:eastAsia="zh-CN"/>
        </w:rPr>
      </w:pPr>
      <w:r>
        <w:rPr>
          <w:rFonts w:hint="eastAsia" w:ascii="方正小标宋简体" w:hAnsi="方正小标宋简体" w:eastAsia="方正小标宋简体" w:cs="方正小标宋简体"/>
          <w:b w:val="0"/>
          <w:i w:val="0"/>
          <w:caps w:val="0"/>
          <w:color w:val="auto"/>
          <w:spacing w:val="0"/>
          <w:w w:val="100"/>
          <w:sz w:val="44"/>
          <w:szCs w:val="44"/>
          <w:lang w:val="en-US" w:eastAsia="zh-CN"/>
        </w:rPr>
        <w:t>实施农村生活污水治理攻坚行动项目表</w:t>
      </w:r>
    </w:p>
    <w:p>
      <w:pPr>
        <w:pStyle w:val="11"/>
        <w:tabs>
          <w:tab w:val="left" w:pos="1513"/>
        </w:tabs>
        <w:snapToGrid w:val="0"/>
        <w:spacing w:before="0" w:beforeAutospacing="0" w:after="0" w:afterAutospacing="0" w:line="600" w:lineRule="exact"/>
        <w:ind w:firstLine="0"/>
        <w:jc w:val="both"/>
        <w:textAlignment w:val="baseline"/>
        <w:rPr>
          <w:rFonts w:ascii="仿宋_GB2312" w:hAnsi="仿宋_GB2312" w:eastAsia="仿宋_GB2312" w:cs="仿宋_GB2312"/>
          <w:b w:val="0"/>
          <w:i w:val="0"/>
          <w:caps w:val="0"/>
          <w:color w:val="auto"/>
          <w:spacing w:val="0"/>
          <w:w w:val="100"/>
          <w:sz w:val="32"/>
          <w:szCs w:val="32"/>
          <w:lang w:val="en-US" w:eastAsia="zh-CN"/>
        </w:rPr>
      </w:pPr>
    </w:p>
    <w:tbl>
      <w:tblPr>
        <w:tblStyle w:val="8"/>
        <w:tblW w:w="14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4979"/>
        <w:gridCol w:w="5518"/>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7" w:type="dxa"/>
            <w:vAlign w:val="center"/>
          </w:tcPr>
          <w:p>
            <w:pPr>
              <w:widowControl/>
              <w:snapToGrid w:val="0"/>
              <w:spacing w:before="0" w:beforeAutospacing="0" w:after="0" w:afterAutospacing="0" w:line="240" w:lineRule="auto"/>
              <w:jc w:val="center"/>
              <w:textAlignment w:val="baseline"/>
              <w:rPr>
                <w:b/>
                <w:bCs/>
                <w:i w:val="0"/>
                <w:caps w:val="0"/>
                <w:color w:val="auto"/>
                <w:spacing w:val="0"/>
                <w:w w:val="100"/>
                <w:sz w:val="20"/>
                <w:lang w:eastAsia="zh-CN"/>
              </w:rPr>
            </w:pPr>
            <w:r>
              <w:rPr>
                <w:rFonts w:ascii="Times New Roman" w:hAnsi="Times New Roman" w:eastAsia="Times New Roman" w:cs="Times New Roman"/>
                <w:b/>
                <w:bCs/>
                <w:i w:val="0"/>
                <w:caps w:val="0"/>
                <w:color w:val="auto"/>
                <w:spacing w:val="0"/>
                <w:w w:val="100"/>
                <w:sz w:val="24"/>
                <w:lang w:eastAsia="zh-CN"/>
              </w:rPr>
              <w:t>序号</w:t>
            </w:r>
          </w:p>
        </w:tc>
        <w:tc>
          <w:tcPr>
            <w:tcW w:w="4979" w:type="dxa"/>
            <w:vAlign w:val="center"/>
          </w:tcPr>
          <w:p>
            <w:pPr>
              <w:widowControl/>
              <w:snapToGrid w:val="0"/>
              <w:spacing w:before="0" w:beforeAutospacing="0" w:after="0" w:afterAutospacing="0" w:line="240" w:lineRule="auto"/>
              <w:jc w:val="center"/>
              <w:textAlignment w:val="baseline"/>
              <w:rPr>
                <w:b/>
                <w:bCs/>
                <w:i w:val="0"/>
                <w:caps w:val="0"/>
                <w:color w:val="auto"/>
                <w:spacing w:val="0"/>
                <w:w w:val="100"/>
                <w:sz w:val="20"/>
                <w:lang w:eastAsia="zh-CN"/>
              </w:rPr>
            </w:pPr>
            <w:r>
              <w:rPr>
                <w:rFonts w:ascii="Times New Roman" w:hAnsi="Times New Roman" w:eastAsia="Times New Roman" w:cs="Times New Roman"/>
                <w:b/>
                <w:bCs/>
                <w:i w:val="0"/>
                <w:caps w:val="0"/>
                <w:color w:val="auto"/>
                <w:spacing w:val="0"/>
                <w:w w:val="100"/>
                <w:sz w:val="24"/>
                <w:lang w:eastAsia="zh-CN"/>
              </w:rPr>
              <w:t>项目名称</w:t>
            </w:r>
          </w:p>
        </w:tc>
        <w:tc>
          <w:tcPr>
            <w:tcW w:w="5518" w:type="dxa"/>
            <w:vAlign w:val="center"/>
          </w:tcPr>
          <w:p>
            <w:pPr>
              <w:widowControl/>
              <w:snapToGrid w:val="0"/>
              <w:spacing w:before="0" w:beforeAutospacing="0" w:after="0" w:afterAutospacing="0" w:line="240" w:lineRule="auto"/>
              <w:jc w:val="center"/>
              <w:textAlignment w:val="baseline"/>
              <w:rPr>
                <w:b/>
                <w:bCs/>
                <w:i w:val="0"/>
                <w:caps w:val="0"/>
                <w:color w:val="auto"/>
                <w:spacing w:val="0"/>
                <w:w w:val="100"/>
                <w:sz w:val="20"/>
                <w:lang w:eastAsia="zh-CN"/>
              </w:rPr>
            </w:pPr>
            <w:r>
              <w:rPr>
                <w:rFonts w:ascii="Times New Roman" w:hAnsi="Times New Roman" w:eastAsia="Times New Roman" w:cs="Times New Roman"/>
                <w:b/>
                <w:bCs/>
                <w:i w:val="0"/>
                <w:caps w:val="0"/>
                <w:color w:val="auto"/>
                <w:spacing w:val="0"/>
                <w:w w:val="100"/>
                <w:sz w:val="24"/>
                <w:lang w:eastAsia="zh-CN"/>
              </w:rPr>
              <w:t>主要建设任务</w:t>
            </w:r>
          </w:p>
        </w:tc>
        <w:tc>
          <w:tcPr>
            <w:tcW w:w="2704" w:type="dxa"/>
            <w:vAlign w:val="center"/>
          </w:tcPr>
          <w:p>
            <w:pPr>
              <w:widowControl/>
              <w:snapToGrid w:val="0"/>
              <w:spacing w:before="0" w:beforeAutospacing="0" w:after="0" w:afterAutospacing="0" w:line="240" w:lineRule="auto"/>
              <w:jc w:val="center"/>
              <w:textAlignment w:val="baseline"/>
              <w:rPr>
                <w:rFonts w:hint="eastAsia" w:ascii="Times New Roman" w:hAnsi="Times New Roman" w:eastAsia="Times New Roman" w:cs="Times New Roman"/>
                <w:b/>
                <w:bCs/>
                <w:i w:val="0"/>
                <w:caps w:val="0"/>
                <w:color w:val="auto"/>
                <w:spacing w:val="0"/>
                <w:w w:val="100"/>
                <w:sz w:val="24"/>
                <w:lang w:eastAsia="zh-CN"/>
              </w:rPr>
            </w:pPr>
            <w:r>
              <w:rPr>
                <w:rFonts w:hint="eastAsia" w:cs="Times New Roman"/>
                <w:b/>
                <w:bCs/>
                <w:i w:val="0"/>
                <w:caps w:val="0"/>
                <w:color w:val="auto"/>
                <w:spacing w:val="0"/>
                <w:w w:val="100"/>
                <w:sz w:val="24"/>
                <w:lang w:eastAsia="zh-CN"/>
              </w:rPr>
              <w:t>投资估算</w:t>
            </w:r>
            <w:r>
              <w:rPr>
                <w:rFonts w:hint="eastAsia" w:ascii="Times New Roman" w:hAnsi="Times New Roman" w:eastAsia="Times New Roman" w:cs="Times New Roman"/>
                <w:b/>
                <w:bCs/>
                <w:i w:val="0"/>
                <w:caps w:val="0"/>
                <w:color w:val="auto"/>
                <w:spacing w:val="0"/>
                <w:w w:val="100"/>
                <w:sz w:val="24"/>
                <w:lang w:eastAsia="zh-CN"/>
              </w:rPr>
              <w:t xml:space="preserve">  </w:t>
            </w:r>
          </w:p>
          <w:p>
            <w:pPr>
              <w:widowControl/>
              <w:snapToGrid w:val="0"/>
              <w:spacing w:before="0" w:beforeAutospacing="0" w:after="0" w:afterAutospacing="0" w:line="240" w:lineRule="auto"/>
              <w:jc w:val="center"/>
              <w:textAlignment w:val="baseline"/>
              <w:rPr>
                <w:rFonts w:ascii="Times New Roman" w:hAnsi="Times New Roman" w:eastAsia="Times New Roman" w:cs="Times New Roman"/>
                <w:b/>
                <w:bCs/>
                <w:i w:val="0"/>
                <w:caps w:val="0"/>
                <w:color w:val="auto"/>
                <w:spacing w:val="0"/>
                <w:w w:val="100"/>
                <w:sz w:val="24"/>
                <w:lang w:eastAsia="zh-CN"/>
              </w:rPr>
            </w:pPr>
            <w:r>
              <w:rPr>
                <w:rFonts w:hint="eastAsia" w:ascii="Times New Roman" w:hAnsi="Times New Roman" w:eastAsia="Times New Roman" w:cs="Times New Roman"/>
                <w:b/>
                <w:bCs/>
                <w:i w:val="0"/>
                <w:caps w:val="0"/>
                <w:color w:val="auto"/>
                <w:spacing w:val="0"/>
                <w:w w:val="100"/>
                <w:sz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87" w:type="dxa"/>
            <w:vAlign w:val="center"/>
          </w:tcPr>
          <w:p>
            <w:pPr>
              <w:widowControl/>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auto"/>
                <w:spacing w:val="0"/>
                <w:w w:val="100"/>
                <w:sz w:val="24"/>
                <w:lang w:eastAsia="zh-CN"/>
              </w:rPr>
            </w:pPr>
            <w:r>
              <w:rPr>
                <w:rFonts w:hint="eastAsia" w:asciiTheme="minorEastAsia" w:hAnsiTheme="minorEastAsia" w:eastAsiaTheme="minorEastAsia" w:cstheme="minorEastAsia"/>
                <w:b w:val="0"/>
                <w:i w:val="0"/>
                <w:caps w:val="0"/>
                <w:color w:val="auto"/>
                <w:spacing w:val="0"/>
                <w:w w:val="100"/>
                <w:sz w:val="24"/>
                <w:lang w:eastAsia="zh-CN"/>
              </w:rPr>
              <w:t>1</w:t>
            </w:r>
          </w:p>
        </w:tc>
        <w:tc>
          <w:tcPr>
            <w:tcW w:w="4979" w:type="dxa"/>
            <w:vAlign w:val="center"/>
          </w:tcPr>
          <w:p>
            <w:pPr>
              <w:widowControl/>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auto"/>
                <w:spacing w:val="0"/>
                <w:w w:val="100"/>
                <w:sz w:val="24"/>
                <w:lang w:eastAsia="zh-CN"/>
              </w:rPr>
            </w:pPr>
            <w:r>
              <w:rPr>
                <w:rFonts w:hint="eastAsia" w:asciiTheme="minorEastAsia" w:hAnsiTheme="minorEastAsia" w:eastAsiaTheme="minorEastAsia" w:cstheme="minorEastAsia"/>
                <w:b w:val="0"/>
                <w:i w:val="0"/>
                <w:caps w:val="0"/>
                <w:color w:val="auto"/>
                <w:spacing w:val="0"/>
                <w:w w:val="100"/>
                <w:sz w:val="24"/>
                <w:lang w:eastAsia="zh-CN"/>
              </w:rPr>
              <w:t>汕尾市城区农村雨污分流（第二期）</w:t>
            </w:r>
          </w:p>
        </w:tc>
        <w:tc>
          <w:tcPr>
            <w:tcW w:w="5518" w:type="dxa"/>
            <w:vAlign w:val="center"/>
          </w:tcPr>
          <w:p>
            <w:pPr>
              <w:widowControl/>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auto"/>
                <w:spacing w:val="0"/>
                <w:w w:val="100"/>
                <w:sz w:val="24"/>
                <w:lang w:eastAsia="zh-CN"/>
              </w:rPr>
            </w:pPr>
            <w:r>
              <w:rPr>
                <w:rFonts w:hint="eastAsia" w:asciiTheme="minorEastAsia" w:hAnsiTheme="minorEastAsia" w:eastAsiaTheme="minorEastAsia" w:cstheme="minorEastAsia"/>
                <w:b w:val="0"/>
                <w:i w:val="0"/>
                <w:caps w:val="0"/>
                <w:color w:val="auto"/>
                <w:spacing w:val="0"/>
                <w:w w:val="100"/>
                <w:sz w:val="24"/>
                <w:lang w:eastAsia="zh-CN"/>
              </w:rPr>
              <w:t>解决市城区94个自然村雨污分流工作</w:t>
            </w:r>
          </w:p>
        </w:tc>
        <w:tc>
          <w:tcPr>
            <w:tcW w:w="2704" w:type="dxa"/>
            <w:vAlign w:val="center"/>
          </w:tcPr>
          <w:p>
            <w:pPr>
              <w:widowControl/>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auto"/>
                <w:spacing w:val="0"/>
                <w:w w:val="100"/>
                <w:sz w:val="24"/>
                <w:lang w:eastAsia="zh-CN"/>
              </w:rPr>
            </w:pPr>
            <w:r>
              <w:rPr>
                <w:rFonts w:hint="eastAsia" w:asciiTheme="minorEastAsia" w:hAnsiTheme="minorEastAsia" w:eastAsiaTheme="minorEastAsia" w:cstheme="minorEastAsia"/>
                <w:b w:val="0"/>
                <w:i w:val="0"/>
                <w:caps w:val="0"/>
                <w:color w:val="auto"/>
                <w:spacing w:val="0"/>
                <w:w w:val="100"/>
                <w:sz w:val="24"/>
                <w:lang w:eastAsia="zh-CN"/>
              </w:rPr>
              <w:t>28970.74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87" w:type="dxa"/>
            <w:vAlign w:val="center"/>
          </w:tcPr>
          <w:p>
            <w:pPr>
              <w:widowControl/>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auto"/>
                <w:spacing w:val="0"/>
                <w:w w:val="100"/>
                <w:sz w:val="24"/>
                <w:lang w:eastAsia="zh-CN"/>
              </w:rPr>
            </w:pPr>
            <w:r>
              <w:rPr>
                <w:rFonts w:hint="eastAsia" w:asciiTheme="minorEastAsia" w:hAnsiTheme="minorEastAsia" w:eastAsiaTheme="minorEastAsia" w:cstheme="minorEastAsia"/>
                <w:b w:val="0"/>
                <w:i w:val="0"/>
                <w:caps w:val="0"/>
                <w:color w:val="auto"/>
                <w:spacing w:val="0"/>
                <w:w w:val="100"/>
                <w:sz w:val="24"/>
                <w:lang w:eastAsia="zh-CN"/>
              </w:rPr>
              <w:t>2</w:t>
            </w:r>
          </w:p>
        </w:tc>
        <w:tc>
          <w:tcPr>
            <w:tcW w:w="4979" w:type="dxa"/>
            <w:vAlign w:val="center"/>
          </w:tcPr>
          <w:p>
            <w:pPr>
              <w:widowControl/>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auto"/>
                <w:spacing w:val="0"/>
                <w:w w:val="100"/>
                <w:sz w:val="24"/>
                <w:lang w:eastAsia="zh-CN"/>
              </w:rPr>
            </w:pPr>
            <w:r>
              <w:rPr>
                <w:rFonts w:hint="eastAsia" w:asciiTheme="minorEastAsia" w:hAnsiTheme="minorEastAsia" w:eastAsiaTheme="minorEastAsia" w:cstheme="minorEastAsia"/>
                <w:b w:val="0"/>
                <w:i w:val="0"/>
                <w:caps w:val="0"/>
                <w:color w:val="auto"/>
                <w:spacing w:val="0"/>
                <w:w w:val="100"/>
                <w:sz w:val="24"/>
                <w:lang w:eastAsia="zh-CN"/>
              </w:rPr>
              <w:t>海丰县生活污水处理设施整县捆绑PPP项目</w:t>
            </w:r>
          </w:p>
        </w:tc>
        <w:tc>
          <w:tcPr>
            <w:tcW w:w="5518" w:type="dxa"/>
            <w:vAlign w:val="center"/>
          </w:tcPr>
          <w:p>
            <w:pPr>
              <w:widowControl/>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auto"/>
                <w:spacing w:val="0"/>
                <w:w w:val="100"/>
                <w:sz w:val="24"/>
                <w:lang w:eastAsia="zh-CN"/>
              </w:rPr>
            </w:pPr>
            <w:r>
              <w:rPr>
                <w:rFonts w:hint="eastAsia" w:asciiTheme="minorEastAsia" w:hAnsiTheme="minorEastAsia" w:eastAsiaTheme="minorEastAsia" w:cstheme="minorEastAsia"/>
                <w:b w:val="0"/>
                <w:i w:val="0"/>
                <w:caps w:val="0"/>
                <w:color w:val="auto"/>
                <w:spacing w:val="0"/>
                <w:w w:val="100"/>
                <w:sz w:val="24"/>
                <w:lang w:eastAsia="zh-CN"/>
              </w:rPr>
              <w:t>解决海丰县</w:t>
            </w:r>
            <w:r>
              <w:rPr>
                <w:rFonts w:hint="eastAsia" w:asciiTheme="minorEastAsia" w:hAnsiTheme="minorEastAsia" w:eastAsiaTheme="minorEastAsia" w:cstheme="minorEastAsia"/>
                <w:b w:val="0"/>
                <w:i w:val="0"/>
                <w:caps w:val="0"/>
                <w:color w:val="auto"/>
                <w:spacing w:val="0"/>
                <w:w w:val="100"/>
                <w:sz w:val="24"/>
                <w:lang w:val="en-US" w:eastAsia="zh-CN"/>
              </w:rPr>
              <w:t>118</w:t>
            </w:r>
            <w:r>
              <w:rPr>
                <w:rFonts w:hint="eastAsia" w:asciiTheme="minorEastAsia" w:hAnsiTheme="minorEastAsia" w:eastAsiaTheme="minorEastAsia" w:cstheme="minorEastAsia"/>
                <w:b w:val="0"/>
                <w:i w:val="0"/>
                <w:caps w:val="0"/>
                <w:color w:val="auto"/>
                <w:spacing w:val="0"/>
                <w:w w:val="100"/>
                <w:sz w:val="24"/>
                <w:lang w:eastAsia="zh-CN"/>
              </w:rPr>
              <w:t>个自然村生活污水治理工作</w:t>
            </w:r>
          </w:p>
        </w:tc>
        <w:tc>
          <w:tcPr>
            <w:tcW w:w="2704" w:type="dxa"/>
            <w:vAlign w:val="center"/>
          </w:tcPr>
          <w:p>
            <w:pPr>
              <w:widowControl/>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auto"/>
                <w:spacing w:val="0"/>
                <w:w w:val="100"/>
                <w:sz w:val="24"/>
                <w:lang w:val="en-US" w:eastAsia="zh-CN"/>
              </w:rPr>
            </w:pPr>
            <w:r>
              <w:rPr>
                <w:rFonts w:hint="eastAsia" w:asciiTheme="minorEastAsia" w:hAnsiTheme="minorEastAsia" w:eastAsiaTheme="minorEastAsia" w:cstheme="minorEastAsia"/>
                <w:b w:val="0"/>
                <w:i w:val="0"/>
                <w:caps w:val="0"/>
                <w:color w:val="auto"/>
                <w:spacing w:val="0"/>
                <w:w w:val="100"/>
                <w:sz w:val="24"/>
                <w:lang w:val="en-US" w:eastAsia="zh-CN"/>
              </w:rPr>
              <w:t>35200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87" w:type="dxa"/>
            <w:vAlign w:val="center"/>
          </w:tcPr>
          <w:p>
            <w:pPr>
              <w:widowControl/>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auto"/>
                <w:spacing w:val="0"/>
                <w:w w:val="100"/>
                <w:sz w:val="24"/>
                <w:lang w:eastAsia="zh-CN"/>
              </w:rPr>
            </w:pPr>
            <w:r>
              <w:rPr>
                <w:rFonts w:hint="eastAsia" w:asciiTheme="minorEastAsia" w:hAnsiTheme="minorEastAsia" w:eastAsiaTheme="minorEastAsia" w:cstheme="minorEastAsia"/>
                <w:b w:val="0"/>
                <w:i w:val="0"/>
                <w:caps w:val="0"/>
                <w:color w:val="auto"/>
                <w:spacing w:val="0"/>
                <w:w w:val="100"/>
                <w:sz w:val="24"/>
                <w:lang w:eastAsia="zh-CN"/>
              </w:rPr>
              <w:t>3</w:t>
            </w:r>
          </w:p>
        </w:tc>
        <w:tc>
          <w:tcPr>
            <w:tcW w:w="497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bidi="en-US"/>
              </w:rPr>
            </w:pPr>
            <w:r>
              <w:rPr>
                <w:rFonts w:hint="eastAsia" w:asciiTheme="minorEastAsia" w:hAnsiTheme="minorEastAsia" w:eastAsiaTheme="minorEastAsia" w:cstheme="minorEastAsia"/>
                <w:i w:val="0"/>
                <w:iCs w:val="0"/>
                <w:color w:val="000000"/>
                <w:kern w:val="0"/>
                <w:sz w:val="24"/>
                <w:szCs w:val="24"/>
                <w:u w:val="none"/>
                <w:lang w:val="en-US" w:eastAsia="zh-CN" w:bidi="ar"/>
              </w:rPr>
              <w:t>陆丰市高质量推进农村生活污水治理项目</w:t>
            </w:r>
          </w:p>
        </w:tc>
        <w:tc>
          <w:tcPr>
            <w:tcW w:w="55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bidi="en-US"/>
              </w:rPr>
            </w:pPr>
            <w:r>
              <w:rPr>
                <w:rFonts w:hint="eastAsia" w:asciiTheme="minorEastAsia" w:hAnsiTheme="minorEastAsia" w:eastAsiaTheme="minorEastAsia" w:cstheme="minorEastAsia"/>
                <w:i w:val="0"/>
                <w:iCs w:val="0"/>
                <w:color w:val="000000"/>
                <w:kern w:val="0"/>
                <w:sz w:val="24"/>
                <w:szCs w:val="24"/>
                <w:u w:val="none"/>
                <w:lang w:val="en-US" w:eastAsia="zh-CN" w:bidi="ar"/>
              </w:rPr>
              <w:t>解决陆丰市658个自然村生活污水治理工作。</w:t>
            </w:r>
          </w:p>
        </w:tc>
        <w:tc>
          <w:tcPr>
            <w:tcW w:w="2704" w:type="dxa"/>
            <w:vAlign w:val="center"/>
          </w:tcPr>
          <w:p>
            <w:pPr>
              <w:widowControl/>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auto"/>
                <w:spacing w:val="0"/>
                <w:w w:val="100"/>
                <w:sz w:val="24"/>
                <w:lang w:eastAsia="zh-CN"/>
              </w:rPr>
            </w:pPr>
            <w:r>
              <w:rPr>
                <w:rFonts w:hint="eastAsia" w:asciiTheme="minorEastAsia" w:hAnsiTheme="minorEastAsia" w:eastAsiaTheme="minorEastAsia" w:cstheme="minorEastAsia"/>
                <w:b w:val="0"/>
                <w:i w:val="0"/>
                <w:caps w:val="0"/>
                <w:color w:val="auto"/>
                <w:spacing w:val="0"/>
                <w:w w:val="100"/>
                <w:sz w:val="24"/>
                <w:lang w:eastAsia="zh-CN"/>
              </w:rPr>
              <w:t>216892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87" w:type="dxa"/>
            <w:vAlign w:val="center"/>
          </w:tcPr>
          <w:p>
            <w:pPr>
              <w:widowControl/>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auto"/>
                <w:spacing w:val="0"/>
                <w:w w:val="100"/>
                <w:sz w:val="24"/>
                <w:lang w:eastAsia="zh-CN"/>
              </w:rPr>
            </w:pPr>
            <w:r>
              <w:rPr>
                <w:rFonts w:hint="eastAsia" w:asciiTheme="minorEastAsia" w:hAnsiTheme="minorEastAsia" w:eastAsiaTheme="minorEastAsia" w:cstheme="minorEastAsia"/>
                <w:b w:val="0"/>
                <w:i w:val="0"/>
                <w:caps w:val="0"/>
                <w:color w:val="auto"/>
                <w:spacing w:val="0"/>
                <w:w w:val="100"/>
                <w:sz w:val="24"/>
                <w:lang w:eastAsia="zh-CN"/>
              </w:rPr>
              <w:t>4</w:t>
            </w:r>
          </w:p>
        </w:tc>
        <w:tc>
          <w:tcPr>
            <w:tcW w:w="4979" w:type="dxa"/>
            <w:vAlign w:val="center"/>
          </w:tcPr>
          <w:p>
            <w:pPr>
              <w:widowControl/>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auto"/>
                <w:spacing w:val="0"/>
                <w:w w:val="100"/>
                <w:sz w:val="24"/>
                <w:lang w:eastAsia="zh-CN"/>
              </w:rPr>
            </w:pPr>
            <w:r>
              <w:rPr>
                <w:rFonts w:hint="eastAsia" w:asciiTheme="minorEastAsia" w:hAnsiTheme="minorEastAsia" w:eastAsiaTheme="minorEastAsia" w:cstheme="minorEastAsia"/>
                <w:b w:val="0"/>
                <w:i w:val="0"/>
                <w:caps w:val="0"/>
                <w:color w:val="auto"/>
                <w:spacing w:val="0"/>
                <w:w w:val="100"/>
                <w:sz w:val="24"/>
                <w:lang w:eastAsia="zh-CN"/>
              </w:rPr>
              <w:t>陆河县乡村振兴人居环境整治项目（第三期）</w:t>
            </w:r>
          </w:p>
        </w:tc>
        <w:tc>
          <w:tcPr>
            <w:tcW w:w="5518" w:type="dxa"/>
            <w:vAlign w:val="center"/>
          </w:tcPr>
          <w:p>
            <w:pPr>
              <w:widowControl/>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auto"/>
                <w:spacing w:val="0"/>
                <w:w w:val="100"/>
                <w:sz w:val="24"/>
                <w:lang w:eastAsia="zh-CN"/>
              </w:rPr>
            </w:pPr>
            <w:r>
              <w:rPr>
                <w:rFonts w:hint="eastAsia" w:asciiTheme="minorEastAsia" w:hAnsiTheme="minorEastAsia" w:eastAsiaTheme="minorEastAsia" w:cstheme="minorEastAsia"/>
                <w:b w:val="0"/>
                <w:i w:val="0"/>
                <w:caps w:val="0"/>
                <w:color w:val="auto"/>
                <w:spacing w:val="0"/>
                <w:w w:val="100"/>
                <w:sz w:val="24"/>
                <w:lang w:eastAsia="zh-CN"/>
              </w:rPr>
              <w:t>解决陆河县18个行政村生活污水治理工作</w:t>
            </w:r>
          </w:p>
        </w:tc>
        <w:tc>
          <w:tcPr>
            <w:tcW w:w="2704" w:type="dxa"/>
            <w:vAlign w:val="center"/>
          </w:tcPr>
          <w:p>
            <w:pPr>
              <w:widowControl/>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auto"/>
                <w:spacing w:val="0"/>
                <w:w w:val="100"/>
                <w:sz w:val="24"/>
                <w:lang w:val="en-US" w:eastAsia="zh-CN"/>
              </w:rPr>
            </w:pPr>
            <w:r>
              <w:rPr>
                <w:rFonts w:hint="eastAsia" w:asciiTheme="minorEastAsia" w:hAnsiTheme="minorEastAsia" w:eastAsiaTheme="minorEastAsia" w:cstheme="minorEastAsia"/>
                <w:b w:val="0"/>
                <w:i w:val="0"/>
                <w:caps w:val="0"/>
                <w:color w:val="auto"/>
                <w:spacing w:val="0"/>
                <w:w w:val="100"/>
                <w:sz w:val="24"/>
                <w:lang w:eastAsia="zh-CN"/>
              </w:rPr>
              <w:t>8133.8</w:t>
            </w:r>
            <w:r>
              <w:rPr>
                <w:rFonts w:hint="eastAsia" w:asciiTheme="minorEastAsia" w:hAnsiTheme="minorEastAsia" w:eastAsiaTheme="minorEastAsia" w:cstheme="minorEastAsia"/>
                <w:b w:val="0"/>
                <w:i w:val="0"/>
                <w:caps w:val="0"/>
                <w:color w:val="auto"/>
                <w:spacing w:val="0"/>
                <w:w w:val="10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87" w:type="dxa"/>
            <w:vAlign w:val="center"/>
          </w:tcPr>
          <w:p>
            <w:pPr>
              <w:widowControl/>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auto"/>
                <w:spacing w:val="0"/>
                <w:w w:val="100"/>
                <w:sz w:val="24"/>
                <w:lang w:eastAsia="zh-CN"/>
              </w:rPr>
            </w:pPr>
            <w:r>
              <w:rPr>
                <w:rFonts w:hint="eastAsia" w:asciiTheme="minorEastAsia" w:hAnsiTheme="minorEastAsia" w:eastAsiaTheme="minorEastAsia" w:cstheme="minorEastAsia"/>
                <w:b w:val="0"/>
                <w:i w:val="0"/>
                <w:caps w:val="0"/>
                <w:color w:val="auto"/>
                <w:spacing w:val="0"/>
                <w:w w:val="100"/>
                <w:sz w:val="24"/>
                <w:lang w:eastAsia="zh-CN"/>
              </w:rPr>
              <w:t>5</w:t>
            </w:r>
          </w:p>
        </w:tc>
        <w:tc>
          <w:tcPr>
            <w:tcW w:w="4979" w:type="dxa"/>
            <w:vAlign w:val="center"/>
          </w:tcPr>
          <w:p>
            <w:pPr>
              <w:widowControl/>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auto"/>
                <w:spacing w:val="0"/>
                <w:w w:val="100"/>
                <w:sz w:val="24"/>
                <w:lang w:eastAsia="zh-CN"/>
              </w:rPr>
            </w:pPr>
            <w:r>
              <w:rPr>
                <w:rFonts w:hint="eastAsia" w:asciiTheme="minorEastAsia" w:hAnsiTheme="minorEastAsia" w:eastAsiaTheme="minorEastAsia" w:cstheme="minorEastAsia"/>
                <w:b w:val="0"/>
                <w:i w:val="0"/>
                <w:caps w:val="0"/>
                <w:color w:val="auto"/>
                <w:spacing w:val="0"/>
                <w:w w:val="100"/>
                <w:sz w:val="24"/>
                <w:lang w:eastAsia="zh-CN"/>
              </w:rPr>
              <w:t>汕尾红海湾经济开发区污水处理设施及配套工程项目</w:t>
            </w:r>
          </w:p>
        </w:tc>
        <w:tc>
          <w:tcPr>
            <w:tcW w:w="5518" w:type="dxa"/>
            <w:vAlign w:val="center"/>
          </w:tcPr>
          <w:p>
            <w:pPr>
              <w:widowControl/>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auto"/>
                <w:spacing w:val="0"/>
                <w:w w:val="100"/>
                <w:sz w:val="24"/>
                <w:lang w:eastAsia="zh-CN"/>
              </w:rPr>
            </w:pPr>
            <w:r>
              <w:rPr>
                <w:rFonts w:hint="eastAsia" w:asciiTheme="minorEastAsia" w:hAnsiTheme="minorEastAsia" w:eastAsiaTheme="minorEastAsia" w:cstheme="minorEastAsia"/>
                <w:b w:val="0"/>
                <w:i w:val="0"/>
                <w:caps w:val="0"/>
                <w:color w:val="auto"/>
                <w:spacing w:val="0"/>
                <w:w w:val="100"/>
                <w:sz w:val="24"/>
                <w:lang w:eastAsia="zh-CN"/>
              </w:rPr>
              <w:t>解决红海湾经济开发区69个自然村生活污水管道建设</w:t>
            </w:r>
          </w:p>
        </w:tc>
        <w:tc>
          <w:tcPr>
            <w:tcW w:w="2704" w:type="dxa"/>
            <w:vAlign w:val="center"/>
          </w:tcPr>
          <w:p>
            <w:pPr>
              <w:widowControl/>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auto"/>
                <w:spacing w:val="0"/>
                <w:w w:val="100"/>
                <w:sz w:val="24"/>
                <w:lang w:val="en-US" w:eastAsia="zh-CN"/>
              </w:rPr>
            </w:pPr>
            <w:r>
              <w:rPr>
                <w:rFonts w:hint="eastAsia" w:asciiTheme="minorEastAsia" w:hAnsiTheme="minorEastAsia" w:eastAsiaTheme="minorEastAsia" w:cstheme="minorEastAsia"/>
                <w:b w:val="0"/>
                <w:i w:val="0"/>
                <w:caps w:val="0"/>
                <w:color w:val="auto"/>
                <w:spacing w:val="0"/>
                <w:w w:val="100"/>
                <w:sz w:val="24"/>
                <w:lang w:eastAsia="zh-CN"/>
              </w:rPr>
              <w:t>24</w:t>
            </w:r>
            <w:r>
              <w:rPr>
                <w:rFonts w:hint="eastAsia" w:asciiTheme="minorEastAsia" w:hAnsiTheme="minorEastAsia" w:eastAsiaTheme="minorEastAsia" w:cstheme="minorEastAsia"/>
                <w:b w:val="0"/>
                <w:i w:val="0"/>
                <w:caps w:val="0"/>
                <w:color w:val="auto"/>
                <w:spacing w:val="0"/>
                <w:w w:val="10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87" w:type="dxa"/>
            <w:vAlign w:val="center"/>
          </w:tcPr>
          <w:p>
            <w:pPr>
              <w:widowControl/>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auto"/>
                <w:spacing w:val="0"/>
                <w:w w:val="100"/>
                <w:sz w:val="24"/>
                <w:lang w:eastAsia="zh-CN"/>
              </w:rPr>
            </w:pPr>
            <w:r>
              <w:rPr>
                <w:rFonts w:hint="eastAsia" w:asciiTheme="minorEastAsia" w:hAnsiTheme="minorEastAsia" w:eastAsiaTheme="minorEastAsia" w:cstheme="minorEastAsia"/>
                <w:b w:val="0"/>
                <w:i w:val="0"/>
                <w:caps w:val="0"/>
                <w:color w:val="auto"/>
                <w:spacing w:val="0"/>
                <w:w w:val="100"/>
                <w:sz w:val="24"/>
                <w:lang w:eastAsia="zh-CN"/>
              </w:rPr>
              <w:t>6</w:t>
            </w:r>
          </w:p>
        </w:tc>
        <w:tc>
          <w:tcPr>
            <w:tcW w:w="4979" w:type="dxa"/>
            <w:vAlign w:val="center"/>
          </w:tcPr>
          <w:p>
            <w:pPr>
              <w:widowControl/>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auto"/>
                <w:spacing w:val="0"/>
                <w:w w:val="100"/>
                <w:sz w:val="24"/>
                <w:lang w:eastAsia="zh-CN"/>
              </w:rPr>
            </w:pPr>
            <w:r>
              <w:rPr>
                <w:rFonts w:hint="eastAsia" w:asciiTheme="minorEastAsia" w:hAnsiTheme="minorEastAsia" w:eastAsiaTheme="minorEastAsia" w:cstheme="minorEastAsia"/>
                <w:b w:val="0"/>
                <w:i w:val="0"/>
                <w:caps w:val="0"/>
                <w:color w:val="auto"/>
                <w:spacing w:val="0"/>
                <w:w w:val="100"/>
                <w:sz w:val="24"/>
                <w:lang w:eastAsia="zh-CN"/>
              </w:rPr>
              <w:t>华侨管理区新屯寮村、老屯寮村生活污水管道建设工程项目</w:t>
            </w:r>
          </w:p>
        </w:tc>
        <w:tc>
          <w:tcPr>
            <w:tcW w:w="5518" w:type="dxa"/>
            <w:vAlign w:val="center"/>
          </w:tcPr>
          <w:p>
            <w:pPr>
              <w:widowControl/>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auto"/>
                <w:spacing w:val="0"/>
                <w:w w:val="100"/>
                <w:sz w:val="24"/>
                <w:lang w:eastAsia="zh-CN"/>
              </w:rPr>
            </w:pPr>
            <w:r>
              <w:rPr>
                <w:rFonts w:hint="eastAsia" w:asciiTheme="minorEastAsia" w:hAnsiTheme="minorEastAsia" w:eastAsiaTheme="minorEastAsia" w:cstheme="minorEastAsia"/>
                <w:b w:val="0"/>
                <w:i w:val="0"/>
                <w:caps w:val="0"/>
                <w:color w:val="auto"/>
                <w:spacing w:val="0"/>
                <w:w w:val="100"/>
                <w:sz w:val="24"/>
                <w:lang w:eastAsia="zh-CN"/>
              </w:rPr>
              <w:t>解决华侨管理区新屯寮村、老屯寮村生活污水管道建设</w:t>
            </w:r>
          </w:p>
        </w:tc>
        <w:tc>
          <w:tcPr>
            <w:tcW w:w="2704" w:type="dxa"/>
            <w:vAlign w:val="center"/>
          </w:tcPr>
          <w:p>
            <w:pPr>
              <w:widowControl/>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auto"/>
                <w:spacing w:val="0"/>
                <w:w w:val="100"/>
                <w:sz w:val="24"/>
                <w:lang w:eastAsia="zh-CN"/>
              </w:rPr>
            </w:pPr>
            <w:r>
              <w:rPr>
                <w:rFonts w:hint="eastAsia" w:asciiTheme="minorEastAsia" w:hAnsiTheme="minorEastAsia" w:eastAsiaTheme="minorEastAsia" w:cstheme="minorEastAsia"/>
                <w:b w:val="0"/>
                <w:i w:val="0"/>
                <w:caps w:val="0"/>
                <w:color w:val="auto"/>
                <w:spacing w:val="0"/>
                <w:w w:val="100"/>
                <w:sz w:val="24"/>
                <w:lang w:eastAsia="zh-CN"/>
              </w:rPr>
              <w:t>495.37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87" w:type="dxa"/>
            <w:vAlign w:val="center"/>
          </w:tcPr>
          <w:p>
            <w:pPr>
              <w:widowControl/>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auto"/>
                <w:spacing w:val="0"/>
                <w:w w:val="100"/>
                <w:sz w:val="24"/>
                <w:lang w:eastAsia="zh-CN"/>
              </w:rPr>
            </w:pPr>
            <w:r>
              <w:rPr>
                <w:rFonts w:hint="eastAsia" w:asciiTheme="minorEastAsia" w:hAnsiTheme="minorEastAsia" w:eastAsiaTheme="minorEastAsia" w:cstheme="minorEastAsia"/>
                <w:b w:val="0"/>
                <w:i w:val="0"/>
                <w:caps w:val="0"/>
                <w:color w:val="auto"/>
                <w:spacing w:val="0"/>
                <w:w w:val="100"/>
                <w:sz w:val="24"/>
                <w:lang w:eastAsia="zh-CN"/>
              </w:rPr>
              <w:t>合计</w:t>
            </w:r>
          </w:p>
        </w:tc>
        <w:tc>
          <w:tcPr>
            <w:tcW w:w="4979" w:type="dxa"/>
            <w:vAlign w:val="center"/>
          </w:tcPr>
          <w:p>
            <w:pPr>
              <w:widowControl/>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auto"/>
                <w:spacing w:val="0"/>
                <w:w w:val="100"/>
                <w:sz w:val="24"/>
                <w:lang w:eastAsia="zh-CN"/>
              </w:rPr>
            </w:pPr>
          </w:p>
        </w:tc>
        <w:tc>
          <w:tcPr>
            <w:tcW w:w="5518" w:type="dxa"/>
            <w:vAlign w:val="center"/>
          </w:tcPr>
          <w:p>
            <w:pPr>
              <w:widowControl/>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auto"/>
                <w:spacing w:val="0"/>
                <w:w w:val="100"/>
                <w:sz w:val="24"/>
                <w:lang w:eastAsia="zh-CN"/>
              </w:rPr>
            </w:pPr>
          </w:p>
        </w:tc>
        <w:tc>
          <w:tcPr>
            <w:tcW w:w="2704" w:type="dxa"/>
            <w:vAlign w:val="center"/>
          </w:tcPr>
          <w:p>
            <w:pPr>
              <w:widowControl/>
              <w:snapToGrid w:val="0"/>
              <w:spacing w:before="0" w:beforeAutospacing="0" w:after="0" w:afterAutospacing="0" w:line="240" w:lineRule="auto"/>
              <w:jc w:val="center"/>
              <w:textAlignment w:val="baseline"/>
              <w:rPr>
                <w:rFonts w:hint="eastAsia" w:asciiTheme="minorEastAsia" w:hAnsiTheme="minorEastAsia" w:eastAsiaTheme="minorEastAsia" w:cstheme="minorEastAsia"/>
                <w:b w:val="0"/>
                <w:i w:val="0"/>
                <w:caps w:val="0"/>
                <w:color w:val="auto"/>
                <w:spacing w:val="0"/>
                <w:w w:val="100"/>
                <w:sz w:val="24"/>
                <w:lang w:val="en-US" w:eastAsia="zh-CN"/>
              </w:rPr>
            </w:pPr>
            <w:r>
              <w:rPr>
                <w:rFonts w:hint="eastAsia" w:asciiTheme="minorEastAsia" w:hAnsiTheme="minorEastAsia" w:eastAsiaTheme="minorEastAsia" w:cstheme="minorEastAsia"/>
                <w:b w:val="0"/>
                <w:i w:val="0"/>
                <w:caps w:val="0"/>
                <w:color w:val="auto"/>
                <w:spacing w:val="0"/>
                <w:w w:val="100"/>
                <w:sz w:val="24"/>
                <w:lang w:val="en-US" w:eastAsia="zh-CN"/>
              </w:rPr>
              <w:t>313691.95</w:t>
            </w:r>
          </w:p>
        </w:tc>
      </w:tr>
    </w:tbl>
    <w:p>
      <w:pPr>
        <w:widowControl/>
        <w:snapToGrid w:val="0"/>
        <w:spacing w:before="0" w:beforeAutospacing="0" w:after="0" w:afterAutospacing="0" w:line="240" w:lineRule="auto"/>
        <w:textAlignment w:val="baseline"/>
        <w:rPr>
          <w:b w:val="0"/>
          <w:i w:val="0"/>
          <w:caps w:val="0"/>
          <w:color w:val="auto"/>
          <w:spacing w:val="0"/>
          <w:w w:val="100"/>
          <w:sz w:val="20"/>
          <w:lang w:eastAsia="zh-CN"/>
        </w:rPr>
      </w:pPr>
      <w:r>
        <w:rPr>
          <w:rFonts w:ascii="Times New Roman" w:hAnsi="Times New Roman" w:eastAsia="Times New Roman" w:cs="Times New Roman"/>
          <w:b w:val="0"/>
          <w:i w:val="0"/>
          <w:caps w:val="0"/>
          <w:color w:val="auto"/>
          <w:spacing w:val="0"/>
          <w:w w:val="100"/>
          <w:sz w:val="24"/>
          <w:lang w:eastAsia="zh-CN"/>
        </w:rPr>
        <w:t>注：以上项目是各县（市、区）自报的项目。</w:t>
      </w:r>
    </w:p>
    <w:p>
      <w:pPr>
        <w:snapToGrid w:val="0"/>
        <w:textAlignment w:val="baseline"/>
        <w:rPr>
          <w:color w:val="auto"/>
          <w:sz w:val="20"/>
          <w:lang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A3935"/>
    <w:rsid w:val="35FD0B67"/>
    <w:rsid w:val="424A3935"/>
    <w:rsid w:val="7D251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Chars="200"/>
    </w:pPr>
  </w:style>
  <w:style w:type="paragraph" w:styleId="3">
    <w:name w:val="Body Text"/>
    <w:basedOn w:val="1"/>
    <w:next w:val="1"/>
    <w:qFormat/>
    <w:uiPriority w:val="0"/>
    <w:pPr>
      <w:spacing w:line="240" w:lineRule="auto"/>
      <w:ind w:firstLine="0" w:firstLineChars="0"/>
    </w:pPr>
    <w:rPr>
      <w:rFonts w:ascii="Times New Roman" w:hAnsi="Times New Roman" w:eastAsia="宋体" w:cs="Times New Roman"/>
      <w:sz w:val="32"/>
      <w:szCs w:val="24"/>
    </w:rPr>
  </w:style>
  <w:style w:type="paragraph" w:styleId="4">
    <w:name w:val="Body Text Indent"/>
    <w:basedOn w:val="1"/>
    <w:next w:val="1"/>
    <w:qFormat/>
    <w:uiPriority w:val="0"/>
    <w:pPr>
      <w:spacing w:after="120"/>
      <w:ind w:leftChars="200"/>
    </w:pPr>
    <w:rPr>
      <w:rFonts w:cs="Calibri"/>
      <w:szCs w:val="21"/>
    </w:rPr>
  </w:style>
  <w:style w:type="paragraph" w:styleId="5">
    <w:name w:val="Body Text First Indent"/>
    <w:basedOn w:val="3"/>
    <w:unhideWhenUsed/>
    <w:qFormat/>
    <w:uiPriority w:val="99"/>
    <w:pPr>
      <w:widowControl/>
      <w:adjustRightInd w:val="0"/>
      <w:snapToGrid w:val="0"/>
      <w:spacing w:before="100" w:beforeAutospacing="1"/>
      <w:ind w:firstLine="420" w:firstLineChars="100"/>
      <w:jc w:val="left"/>
    </w:pPr>
    <w:rPr>
      <w:rFonts w:ascii="Tahoma" w:hAnsi="Tahoma" w:eastAsia="方正姚体" w:cs="Tahoma"/>
      <w:b/>
      <w:color w:val="FF0000"/>
      <w:kern w:val="0"/>
      <w:sz w:val="22"/>
      <w:lang w:eastAsia="en-US" w:bidi="en-US"/>
    </w:rPr>
  </w:style>
  <w:style w:type="paragraph" w:styleId="6">
    <w:name w:val="Body Text First Indent 2"/>
    <w:basedOn w:val="4"/>
    <w:next w:val="5"/>
    <w:unhideWhenUsed/>
    <w:qFormat/>
    <w:uiPriority w:val="99"/>
    <w:pPr>
      <w:ind w:firstLine="420" w:firstLineChars="200"/>
    </w:pPr>
    <w:rPr>
      <w:rFonts w:eastAsia="宋体"/>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Heading #1|1"/>
    <w:basedOn w:val="1"/>
    <w:qFormat/>
    <w:uiPriority w:val="0"/>
    <w:pPr>
      <w:jc w:val="center"/>
      <w:outlineLvl w:val="0"/>
    </w:pPr>
    <w:rPr>
      <w:rFonts w:ascii="宋体" w:hAnsi="宋体" w:eastAsia="宋体" w:cs="宋体"/>
      <w:color w:val="000000"/>
      <w:kern w:val="0"/>
      <w:sz w:val="42"/>
      <w:szCs w:val="42"/>
      <w:lang w:val="zh-TW" w:eastAsia="zh-TW" w:bidi="zh-TW"/>
    </w:rPr>
  </w:style>
  <w:style w:type="paragraph" w:customStyle="1" w:styleId="11">
    <w:name w:val="Body text|1"/>
    <w:basedOn w:val="1"/>
    <w:qFormat/>
    <w:uiPriority w:val="0"/>
    <w:pPr>
      <w:widowControl w:val="0"/>
      <w:spacing w:line="466" w:lineRule="auto"/>
      <w:ind w:firstLine="400"/>
      <w:jc w:val="both"/>
    </w:pPr>
    <w:rPr>
      <w:rFonts w:ascii="宋体" w:hAnsi="宋体" w:eastAsia="宋体" w:cs="宋体"/>
      <w:kern w:val="2"/>
      <w:sz w:val="28"/>
      <w:szCs w:val="28"/>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2022-03-01T01:58:00Z</dcterms:created>
  <dc:creator>huangjiasi</dc:creator>
  <cp:lastModifiedBy>弘</cp:lastModifiedBy>
  <dcterms:modified xsi:type="dcterms:W3CDTF">2022-03-01T09:22:43Z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