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规上工业企业产值达标</w:t>
      </w:r>
    </w:p>
    <w:p>
      <w:pPr>
        <w:widowControl/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为统筹推进疫情防控和经济社会发展工作，鼓励企业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一季度</w:t>
      </w:r>
      <w:r>
        <w:rPr>
          <w:rFonts w:hint="eastAsia" w:ascii="仿宋" w:hAnsi="仿宋" w:eastAsia="仿宋"/>
          <w:sz w:val="32"/>
          <w:szCs w:val="32"/>
          <w:lang w:eastAsia="zh-CN"/>
        </w:rPr>
        <w:t>保持正常</w:t>
      </w:r>
      <w:r>
        <w:rPr>
          <w:rFonts w:hint="eastAsia" w:ascii="仿宋" w:hAnsi="仿宋" w:eastAsia="仿宋"/>
          <w:sz w:val="32"/>
          <w:szCs w:val="32"/>
        </w:rPr>
        <w:t>生产</w:t>
      </w:r>
      <w:r>
        <w:rPr>
          <w:rFonts w:hint="eastAsia" w:ascii="仿宋" w:hAnsi="仿宋" w:eastAsia="仿宋"/>
          <w:sz w:val="32"/>
          <w:szCs w:val="32"/>
          <w:lang w:eastAsia="zh-CN"/>
        </w:rPr>
        <w:t>经营</w:t>
      </w:r>
      <w:r>
        <w:rPr>
          <w:rFonts w:hint="eastAsia" w:ascii="仿宋" w:hAnsi="仿宋" w:eastAsia="仿宋"/>
          <w:sz w:val="32"/>
          <w:szCs w:val="32"/>
        </w:rPr>
        <w:t>，促进</w:t>
      </w:r>
      <w:r>
        <w:rPr>
          <w:rFonts w:hint="eastAsia" w:ascii="仿宋" w:hAnsi="仿宋" w:eastAsia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/>
          <w:sz w:val="32"/>
          <w:szCs w:val="32"/>
        </w:rPr>
        <w:t>市工业经济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实现“开门稳”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现特制定《汕尾市2022年一季度规上工业企业产值达标奖励方案》。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7" w:firstLineChars="196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列入我市统计部门统计库的规模以上工业企业。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7" w:firstLineChars="196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20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年第一季度没有产值的规上工业企业不列入本次奖励范围。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二、奖励条件和标准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奖励条件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：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汕尾市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年第一季度产值同比增长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%（含）以上（以统计部门统计口径为准）的规模以上工业企业。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奖励标准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一次性奖励5万元。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（一）申报时间：</w:t>
      </w:r>
      <w:r>
        <w:rPr>
          <w:rFonts w:ascii="仿宋" w:hAnsi="仿宋" w:eastAsia="仿宋" w:cs="Times New Roman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15</w:t>
      </w:r>
      <w:r>
        <w:rPr>
          <w:rFonts w:ascii="仿宋" w:hAnsi="仿宋" w:eastAsia="仿宋" w:cs="Times New Roman"/>
          <w:kern w:val="0"/>
          <w:sz w:val="32"/>
          <w:szCs w:val="32"/>
        </w:rPr>
        <w:t>日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至202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hint="eastAsia"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（二）申报流程：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符合条件的企业自主填报《汕尾市202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年一季度规上工业企业产值达标奖励申报表》（详见附件1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下文简称“申报表”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）后，将《申报表》与企业《营业执照》复印件一式三份送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属地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县（市、区）工信主管部门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，由县（市、区）工信主管部门联合本 级统计部门进行初审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各县（市、区）工信主管部门会同统计部门收集本地区符合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奖励标准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的规上工业企业名单进行初审后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《汕尾市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2022年一季度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规上工业企业产值达标奖励资金申报汇总表》（详见附件</w:t>
      </w:r>
      <w:r>
        <w:rPr>
          <w:rFonts w:ascii="仿宋" w:hAnsi="仿宋" w:eastAsia="仿宋" w:cs="Times New Roman"/>
          <w:kern w:val="0"/>
          <w:sz w:val="32"/>
          <w:szCs w:val="32"/>
        </w:rPr>
        <w:t>2）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，连同企业上报的《申报表》（附件1）和《营业执照》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，以正式文件（含加盖公章电子版）报市工信局。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 xml:space="preserve"> 3.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市工信局收到县（市、区）工信主管部门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报送材料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后，会同市统计局对相关情况予以核实，并由市工信局将企业名单在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市工信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局官方网站公示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个工作日。任何单位或者个人有异议的，可以在公示期内向市工信局书面提出，由市工信局牵头组织调查。经调查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反映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情况属实的，由市工信局重新审定，并将调查结果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反馈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异议人。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150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申报程序完成后由市工信局按流程提请市政府审议，在市 政府审定后由市工信局按规定下达项目计划并函告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市财政局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拨 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 xml:space="preserve"> （三）申报材料：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汕尾市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2022年一季度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规上工业企业产值达标奖励申报表；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汕尾市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2022年一季度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规上工业企业产值达标奖励资金申报汇总表。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以上材料一式二份，市工信局、市统计部门各留存一份。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各县(市、区)工信主管部门要广泛宣传奖励政策，发动达标企业和单位积极申报，并服务达标企业做好申报工作，做到“应通知、尽通知，应申报、尽申报”。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企业应当如实申报，并自觉接受工信、财政、审计等部门的监督检查，企业在申报过程中利用不正当手段骗取奖励资 金的，3 年内不受理其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工信部门奖励资金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申报，情节严重的，依法追究相应责任;涉嫌犯罪的，依法移交司法机关处理。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本《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奖励方案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》由市工信局负责解释，涉及的经济指标以市统计局最后确认的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数据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15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本政策自文件下发之日起执行，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工作完成后自动废止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汕尾市202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年一季度规上工业企业产值达标奖励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1920" w:firstLineChars="600"/>
        <w:textAlignment w:val="auto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汕尾市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2022年一季度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规上工业企业产值达标奖励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资金申报汇总表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2748717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27487177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showBreaksInFrames/>
    <w:suppressSpBfAfterPgBrk/>
    <w:footnoteLayoutLikeWW8/>
    <w:forgetLastTabAlignment/>
    <w:adjustLineHeightInTable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365"/>
    <w:rsid w:val="005F285C"/>
    <w:rsid w:val="00790365"/>
    <w:rsid w:val="00D34B40"/>
    <w:rsid w:val="01CF148F"/>
    <w:rsid w:val="0D797534"/>
    <w:rsid w:val="10C96B88"/>
    <w:rsid w:val="15F21016"/>
    <w:rsid w:val="19E6544B"/>
    <w:rsid w:val="1AEF4297"/>
    <w:rsid w:val="28573959"/>
    <w:rsid w:val="2922218C"/>
    <w:rsid w:val="33166E6E"/>
    <w:rsid w:val="33422D00"/>
    <w:rsid w:val="34177F6E"/>
    <w:rsid w:val="3C8F5202"/>
    <w:rsid w:val="3D127A33"/>
    <w:rsid w:val="41B46345"/>
    <w:rsid w:val="46C07E09"/>
    <w:rsid w:val="49160631"/>
    <w:rsid w:val="4C886CE5"/>
    <w:rsid w:val="4D266333"/>
    <w:rsid w:val="52142347"/>
    <w:rsid w:val="54A40386"/>
    <w:rsid w:val="6BBF7897"/>
    <w:rsid w:val="7E4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140</Words>
  <Characters>800</Characters>
  <Lines>6</Lines>
  <Paragraphs>1</Paragraphs>
  <TotalTime>2</TotalTime>
  <ScaleCrop>false</ScaleCrop>
  <LinksUpToDate>false</LinksUpToDate>
  <CharactersWithSpaces>939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2020-03-10T07:11:00Z</dcterms:created>
  <dc:creator>4DFH5643</dc:creator>
  <cp:lastModifiedBy>shalock</cp:lastModifiedBy>
  <cp:lastPrinted>2021-03-17T06:24:00Z</cp:lastPrinted>
  <dcterms:modified xsi:type="dcterms:W3CDTF">2022-02-15T03:04:18Z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824E383BC2AF4AAF8A9DBC4F2D389C37</vt:lpwstr>
  </property>
</Properties>
</file>