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实施创新驱动发展三年行动方案（2020-2022年）任务分解表</w:t>
      </w:r>
      <w:bookmarkEnd w:id="0"/>
    </w:p>
    <w:tbl>
      <w:tblPr>
        <w:tblStyle w:val="3"/>
        <w:tblW w:w="14659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1"/>
        <w:gridCol w:w="8412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重点任务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目标任务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（一）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产业园区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升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级行动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1、推动产业园区升级。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2020年，汕尾高新区列入国家级高新区考察名单，陆河、海丰省级高新区获省政府批准认定，加快陆丰市省级高新区培育工作。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到2022年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争取县域省级高新区全覆盖，汕尾高新区获国家批准认定。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牵头单位：市发改局、市科技局，责任单位:汕尾高新区、有关县区政府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2、大力打造特色产业园。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shd w:val="clear" w:color="auto" w:fill="FFFFFF"/>
              </w:rPr>
              <w:t>2020年，建成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纺织服装、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shd w:val="clear" w:color="auto" w:fill="FFFFFF"/>
              </w:rPr>
              <w:t>珠宝首饰设计产业园，建筑装饰设计产业园。到2022年，建成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新能源汽车产业园、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shd w:val="clear" w:color="auto" w:fill="FFFFFF"/>
              </w:rPr>
              <w:t>陆丰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临港装备制造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shd w:val="clear" w:color="auto" w:fill="FFFFFF"/>
              </w:rPr>
              <w:t>物流产业园。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牵头单位：市工信局、市市监局、市科技局，责任单位:汕尾高新区、有关县区政府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3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3、合力推进产业园区帮扶共建步伐。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各产业园区GDP增速XX以上，产业项目引进投产增速XX%以上，企业创新平台建设增长20%以上，高新技术企业培育数量增长1倍以上。到2022年，各产业园区GDP增速XX%以上，产业项目引进投产增速XX%以上，企业创新平台建设增长30%以上，高新技术企业培育数量增长2倍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牵头单位：市工信局、市科技局、市统计局，责任单位: 汕尾高新区、有关县区政府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4</w:t>
            </w:r>
          </w:p>
        </w:tc>
        <w:tc>
          <w:tcPr>
            <w:tcW w:w="1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4、加快产业园区孵化育成体系建设。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到2022年，新增认定国家孵化器1家，省级孵化器6家，市级孵化器12家，新增国家众创空间1家，省级众创空间6家，市级众创空间12家，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标准化厂房（加速器）30万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㎡。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牵头单位：有关县区政府、汕尾高新区，责任单位: 市科技局、市工信局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5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（二）实体经济提质行动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1"/>
                <w:szCs w:val="21"/>
              </w:rPr>
              <w:t>1、加快</w:t>
            </w:r>
            <w:r>
              <w:rPr>
                <w:rFonts w:hint="eastAsia" w:ascii="仿宋_GB2312" w:hAnsi="楷体" w:eastAsia="仿宋_GB2312"/>
                <w:b/>
                <w:color w:val="auto"/>
                <w:sz w:val="21"/>
                <w:szCs w:val="21"/>
              </w:rPr>
              <w:t>传统产业改造升级</w:t>
            </w:r>
            <w:r>
              <w:rPr>
                <w:rFonts w:hint="eastAsia" w:ascii="仿宋_GB2312" w:hAnsi="楷体" w:eastAsia="仿宋_GB2312"/>
                <w:b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一是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推动骨干企业向数字化、网络化、智能化转型，</w:t>
            </w: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大力发展智能制造。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2020年，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纺织服装、食品加工、珠宝首饰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等领域实施XX家智能工厂、数字车间等智能制造示范项目，形成XX家智能制造示范企业；全市20%以上的制造业骨干企业实现装备智能化、设计数字化、生产自动化、营销网络化，骨干企业装备数控化率20%以上。到2022年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纺织服装、食品加工、珠宝首饰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等领域实施XX家智能工厂、数字车间等智能制造示范项目，形成XX家智能制造示范企业；全市50%以上的制造业骨干企业实现装备智能化、设计数字化、生产自动化、营销网络化，骨干企业装备数控化率50%以上。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牵头单位：市工信局，责任单位: 有关县区政府、汕尾高新区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_GB2312" w:hAnsi="楷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二是推动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中小微企业数字化、网络化、智能化关键环节普及应用。</w:t>
            </w: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推进“互联网＋”发展。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2020年，重点支持海丰产业园区引导深圳的大数据、电子商务入园对接，建设大数据中心、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珠宝首饰设计订制与电商平台，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加快工业智能终端互联互通；到2022年，实现全市规上企业研发设计、生产管理、营销服务等关键环节互联网应用覆盖率达50%以上。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牵头单位：市工信局，责任单位: 有关县区政府、汕尾高新区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_GB2312" w:hAnsi="楷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三是培育发展工业互联网标杆示范效应，带动 企业“上云上平台”。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2020年重点支持纺织服装业、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珠宝首饰业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、食品加工业等优势传统产业，依托大型骨干企业、行业龙头企业，打造XX家工业互联网应用标杆示范项目，企业“上云上平台”XX家。到2022年，完成XX家工业互联网应用标杆示范项目，企业“上云上平台”XX家。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牵头单位：市工信局，责任单位: 有关县区政府、汕尾高新区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_GB2312" w:hAnsi="楷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四是</w:t>
            </w: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组织实施技术标准提升，培育一批掌握国内标准话语权的优势产业和企业。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2020年，培育XX家“汕尾制造”品牌示范企业，参与制（修）订的国家标准或行业标准10项以上，牵头制定“汕尾制造”标准2项以上，培育“汕尾制造”品牌5个以上。到2022年，培育XX家“汕尾制造”品牌示范企业，参与制（修）订的国家标准或行业标准50项以上，牵头制定“汕尾制造”标准10项以上，培育“汕尾制造”品牌30个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牵头单位：市市监局，责任单位: 有关县区政府、市农业农村局、市工信局、汕尾高新区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2、培育发展战略性新兴产业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一是以要素集聚带动产业集聚，发展战略性新兴产业。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重点推进汕尾高新区“5G+智慧园区”建设，市人民医院建设“5G+智慧医院”，保利金町湾建设“5G+酒店”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“5G+旅游度假区”。到2022年，组织实施XX家重大科技成果转化应用示范工程和项目，建成海丰生态城工业互联网创新示范基地等，全市培育发展平台经济、共享经济企业XX家。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牵头单位：市工信局、市发改局、市科技局，责任单位: 有关县区政府、市卫健局、文化旅游局、汕尾高新区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10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二是主动承接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“新基建”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产业项目，培育储备一批战略性新兴产业项目。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2020年，力争XX个以上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“新基建”项目列入省级层面布局。到2022年,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培育XX家重大战略性新兴产业项目。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牵头单位：市发改局，责任单位: 有关县（市、区）政府、市工信局、</w:t>
            </w: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市供电局、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市财政局、市交通局、市科技局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三是大力开展招商引资和招才引智。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2020年，引进高层次人才产业项目12个以上。到2022年，引进高层次人才产业项目XX个以上。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牵头单位：市投资促进局、各招商分局，责任单位:市委组织部、市人社局、市科技局、市金融局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四是切实加强关键技术攻关。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2020年，力争10个以上攻关项目列入省级或“大专项+任务清单”重点研发项目。到2022年，20个以上攻关项目列入省级或“大专项+任务清单”重点研发项目。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各县（市、区）政府、红海湾开发区、华侨管理区、汕尾高新区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2" w:firstLineChars="200"/>
              <w:outlineLvl w:val="2"/>
              <w:rPr>
                <w:rFonts w:hint="eastAsia"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3、营造研发投入氛围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加大财政科技投入，建立财政科技投入稳定增长机制，确保科技经费增长幅度与财政一般公共预算收入同步增长；加大研发投入奖励和税收政策支持力度，不断优化支持研发投入环境，引导以企事业单位为主体的全社会研发投入整体提升，增强科技创新驱动力。全面开展企业负责人、企业财会人员、研发机构负责人相关政策业务培训，企业财务报表须填报研发经费支出，实现“重点企业培训率、服务手册发放率、经办人业务上手率”达到100%，做到“应统尽统”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牵头单位：市财政局、市统计局，责任单位: 各县（市、区）政府、红海湾开发区、华侨管理区、汕尾高新区、市税务局、市科技局、市工信局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4、实施“四个一”企业培育工程，</w:t>
            </w:r>
            <w:r>
              <w:rPr>
                <w:rFonts w:hint="eastAsia" w:ascii="仿宋_GB2312" w:hAnsi="Arial" w:eastAsia="仿宋_GB2312" w:cs="Arial"/>
                <w:b/>
                <w:bCs/>
                <w:color w:val="auto"/>
                <w:kern w:val="0"/>
                <w:sz w:val="21"/>
                <w:szCs w:val="21"/>
              </w:rPr>
              <w:t>推动企业做优做强</w:t>
            </w:r>
            <w:r>
              <w:rPr>
                <w:rFonts w:hint="eastAsia" w:ascii="仿宋_GB2312" w:hAnsi="Arial" w:eastAsia="仿宋_GB2312" w:cs="Arial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1"/>
                <w:szCs w:val="21"/>
              </w:rPr>
              <w:t>到2022年，努力培育ＸＸ家百亿以上航母企业、ＸＸ家50亿以上旗舰企业，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建立科技型上市企业培育库，培育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1"/>
                <w:szCs w:val="21"/>
              </w:rPr>
              <w:t>ＸＸ家“小巨人”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 xml:space="preserve"> 科技型上市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1"/>
                <w:szCs w:val="21"/>
              </w:rPr>
              <w:t>企业，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实施科技型中小企业快速成长计划，培育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1"/>
                <w:szCs w:val="21"/>
              </w:rPr>
              <w:t>ＸＸ家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技型中小企业快速成长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1"/>
                <w:szCs w:val="21"/>
              </w:rPr>
              <w:t>“隐形冠军”企业，壮大特色产业集群。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牵头单位：市工信局</w:t>
            </w: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  <w:lang w:eastAsia="zh-CN"/>
              </w:rPr>
              <w:t>、市金融局</w:t>
            </w: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，责任单位:市发改局、市科技局、市农业农村局、市统计局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（三）高新企业倍增行动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1、加大规模以上工业企业培育力度。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进一步鼓励和促进企业走上规模化之路，培育发展一批有实力规模以上工业的企业。对工业企业年主营业务收入超 1000 万元或年纳税额超 50 万元的企业，建立规上工业培育名录库。从企业知识产权获取、品牌打造、财务制度规范等方面加以指导，推荐认定国家科技型中小企业，培育国家高新技术企业苗子。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牵头单位：市统计局、市工信局，责任单位: 各县（市、区）政府、红海湾开发区、华侨管理区、汕尾高新区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2、加大高技术服务业培育力度。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在信息传输、软件和信息技术服务业、科学研究和技术服务业等重点服务行业，对年营业收入 1000 万元及以上服务业法人单位，建立规上高技术服务业培育名录库。加大对服务业培育和指导，提升企业资质。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牵头单位：市统计局、市工信局，责任单位: 各县（市、区）政府、红海湾开发区、华侨管理区、汕尾高新区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3、挖掘存量，组织实施“高企倍增计划”。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2020年新增10家高新技术企业，新增70个省级高新技术产品，催生66家国家科技型中小企业。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到2022年，新增科技型中小企业200家，新增高新技术企业76家，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新增培育库入库企业76家，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新增220个省级高新技术产品。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各县（市、区）政府、红海湾开发区、华侨管理区、汕尾高新区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_GB2312" w:hAnsi="仿宋" w:eastAsia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4、大力招商引智，实现高企增量。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2020年，整体引进高新技术企业2家。到2022年，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整体引进高新技术企业16家。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牵头单位：市投资促进局、各招商分局、市科技局，责任单位: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82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（四）创新平台拓展行动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1、加强与大院大所央企合作，构建创新大平台。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2020年，重点推进与中广核合作的汕尾分中心建设，开展风机传动链、叶片研发及防腐等关键技术研究；加强与中山大学孙逸仙纪念医院合作，推进医疗研究中心和博士后流动站建设；加强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与省农业科学院、仲恺农业工程学院合作，共建汕尾市农业科学研究院示范基地，建设10家现代农业产业技术研发中心、研发机构。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争取大湾区新能源、高端装备制造、海洋等产业高水平实验室或研究机构到我市设立1家分支机构。到2022年，汕尾分中心完成一期建设任务，传动链、叶片、试验风场等三大大科学装置建成，六大科研课题研究基本完成；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建设30家现代农业产业技术研发中心等研发机构；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大湾区产业高水平实验室或研究机构到我市设立3家分支机构。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牵头单位：市科技局、市农业农村局，责任单位：各县（市、区）政府、市卫健局、市人社局、汕尾高新区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1"/>
                <w:szCs w:val="21"/>
              </w:rPr>
              <w:t>、加强企</w:t>
            </w:r>
            <w:r>
              <w:rPr>
                <w:rFonts w:hint="eastAsia" w:ascii="仿宋_GB2312" w:hAnsi="仿宋" w:eastAsia="仿宋_GB2312"/>
                <w:b/>
                <w:color w:val="auto"/>
                <w:sz w:val="21"/>
                <w:szCs w:val="21"/>
              </w:rPr>
              <w:t>业技术创新载体建设。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支持企业加快建设研发机构，提高技术自给率。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引导企业开展省级企业重点实验室、省级工程技术研究中心、省级新型研发机构、省级企业技术中心申报工作，组建企业创新平台；组织企业开展市级企业研究开发中心认定工作，开展市级新型研发机构设立工作。2020年，新增省级工程技术研究中心6家、省级企业技术中心XX家，新增市级企业研究开发中心20家。到2022年，</w:t>
            </w: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推进大型工业企业研发机构建设“全覆盖”，规上工业企业研发机构建设70%以上，力争全市企业研发机构数量翻一番，总数达到300家，省级以上研发机构达50家以上。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牵头单位：市科技局、市工信局，责任单位: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" w:eastAsia="仿宋_GB2312" w:cs="仿宋"/>
                <w:b/>
                <w:color w:val="auto"/>
                <w:sz w:val="21"/>
                <w:szCs w:val="21"/>
              </w:rPr>
              <w:t>建设科技成果中试基地。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2020年建设1家科技成果中试基地。到2022年建设3家科技成果中试基地。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支持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在深圳市建设创新研发飞地。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2020年，在深圳创客小镇创建技术创新研发中心1家。到2022年力争在深圳、广州新创建技术创新研发中心各1家。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牵头单位：市科技局、市发改局、市工信局，责任单位: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82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（五）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成果转化落地行动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1"/>
                <w:szCs w:val="21"/>
              </w:rPr>
              <w:t>创建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科技成果转化实验区。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2020年，有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10个科技成果在汕尾产业园区实现产业化。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到2022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年，有30个科技成果在汕尾产业园区实现产业化。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2、加强区域知识产权交易服务平台建设。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利用国家专利技术（深圳）展示交易中心、深圳市知识产权运营中心网络平台，延伸为汕尾企业提供便利的知识产权申请、转让、受让等线上线下服务业务。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牵头单位：市市监局，责任单位: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3、构建科技成果转化市场体系。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充分发挥科技成果交易服务超市功能，形成科技成果竞价拍卖等多种技术交易模式；建立网上技术需求、技术创新供给、技术交易平台，促进科技成果高效有序交易流转，实现技术成果交易额超亿元。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182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（六）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科技金融融合行动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1、推动科技与金融深度融合。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2020年，授信额度25亿元以上，2022年授信额度40亿元以上。</w:t>
            </w:r>
          </w:p>
          <w:p>
            <w:pPr>
              <w:ind w:firstLine="420" w:firstLineChars="200"/>
              <w:outlineLvl w:val="2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牵头单位：市金融局、市银监局，责任单位:建设银行汕尾分行、中国银行汕尾分行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2、创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新科技信贷产品。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力发展科贷通、科技担保、科技保险，积极实施专利权质押贷款金融产品，并对创新型项目和企业贷款实行基准利率，推动更多的信贷资金支持创新活动；完善汕尾市中小微企业融资风险补偿平台机制，逐年提高科技型企业信贷风险补偿基金额度，提高风险补偿比例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牵头单位：市金融局、市银监局，责任单位: 市工信局、建设银行汕尾分行、中国银行汕尾分行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outlineLvl w:val="2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shd w:val="clear" w:color="auto" w:fill="FFFFFF"/>
              </w:rPr>
              <w:t>3、充分发挥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财政资金的杠杆作用。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成立汕尾市科技创新风险投资基金，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积极引导各类资本进入科技创新领域，加快形成政府投入为引导、企业投入为主体，各类资本积极参与的多元化科技创新投融资体系。大力吸引各类基金落户汕尾，实现各类基金规模XX亿元以上，为科技型企业提供从种子期、初创期到成长期不同发展阶段的融资支持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牵头单位：市财政局、市金融局，责任单位:风险投资机构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4、加大股权投资支持创新力度。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大力支持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在“新三板”和省股权交易中心挂牌，以及参与“一带一路”科技合作和军民融合的科技型企业，风险投资基金可采取直投或跟投方式给予支持。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牵头单位：市金融局，责任单位: 风险投资机构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5、培育金融支持的创新苗子。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2020年，发动100家企业参加“红海杯”大赛，争取推荐30家企业晋级参加省级以上赛事。到2022年，发动160家企业参加“红海杯”大赛，争取推荐50家企业晋级参加省级以上赛事。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牵头单位：市科技局，责任单位: 各县（市、区）政府、汕尾高新区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82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（七）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高端</w:t>
            </w:r>
            <w:r>
              <w:rPr>
                <w:rFonts w:hint="eastAsia" w:ascii="楷体" w:hAnsi="楷体" w:eastAsia="楷体"/>
                <w:b/>
                <w:color w:val="auto"/>
                <w:sz w:val="21"/>
                <w:szCs w:val="21"/>
              </w:rPr>
              <w:t>人才引领行动</w:t>
            </w: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深入实施《汕尾市红海扬帆人才计划》。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2020年，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引进高层次人才产业项目12个以上，新增大学生6000名、硕士研究生200名、博士生50名。到2022年，引进高层次人才产业项目XX个以上，新增大学生XX名、硕士研究生XX名、博士生XX名。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牵头单位：市委组织部，责任单位: 各县（市、区）政府、汕尾高新区、市人社局、市科技局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</w:rPr>
              <w:t>发挥“人才驿站”等平台作用。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2020年，举办院士讲坛、博士论坛、高层次人才汕尾行等人才系列活动5 次以上，通过活动柔性引进高层次人才100 名以上。到2022年，举办院士讲坛、博士论坛、高层次人才汕尾行等人才系列活动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次以上，通过活动柔性引进高层次人才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名以上。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牵头单位：市委组织部，责任单位: 各县（市、区）政府、市科协、市科技局、市人社局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3、强化高端人才引领。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2020年，引进高端技术人才20名，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争取在引进国家“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”“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”专家、“珠江人才计划”和广东“特支计划”领军人才上取得零的突破。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到2022年，新引进高端技术人才XX人以上，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争取在引进国家“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”“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”专家、“珠江人才计划”和广东“特支计划”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XX名以上。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牵头单位：市委组织部，责任单位: 各县（市、区）政府、市人社局、市科技局、汕尾高新区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8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4、建设高端“工匠”人才队伍。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2020年，培养各类高端“工匠”人才队伍XX人以上。到2022年，培养各类高端“工匠”人才队伍XX人以上。</w:t>
            </w:r>
          </w:p>
        </w:tc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牵头单位：市委组织部，责任单位: 各县（市、区）政府、市人社局、市农业农村局、汕尾高新区</w:t>
            </w:r>
          </w:p>
        </w:tc>
      </w:tr>
    </w:tbl>
    <w:p>
      <w:pPr>
        <w:jc w:val="center"/>
        <w:rPr>
          <w:rFonts w:hint="eastAsia" w:ascii="仿宋_GB2312" w:hAnsi="仿宋" w:eastAsia="仿宋_GB2312" w:cs="仿宋"/>
          <w:color w:val="auto"/>
          <w:sz w:val="44"/>
          <w:szCs w:val="44"/>
        </w:rPr>
      </w:pPr>
    </w:p>
    <w:p/>
    <w:sectPr>
      <w:pgSz w:w="16838" w:h="11906" w:orient="landscape"/>
      <w:pgMar w:top="1380" w:right="1440" w:bottom="139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E6F13"/>
    <w:rsid w:val="026A2F20"/>
    <w:rsid w:val="4A5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15"/>
    <w:basedOn w:val="4"/>
    <w:uiPriority w:val="0"/>
    <w:rPr>
      <w:rFonts w:hint="default"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2020-04-27T10:43:00Z</dcterms:created>
  <dc:creator>Administrator</dc:creator>
  <cp:lastModifiedBy>Administrator</cp:lastModifiedBy>
  <dcterms:modified xsi:type="dcterms:W3CDTF">2020-04-27T10:46:56Z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