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附件3：</w:t>
      </w:r>
    </w:p>
    <w:p>
      <w:pPr>
        <w:pStyle w:val="style0"/>
        <w:spacing w:lineRule="exact" w:line="560"/>
        <w:jc w:val="center"/>
        <w:rPr>
          <w:rFonts w:ascii="华文中宋" w:cs="华文中宋" w:eastAsia="华文中宋" w:hAnsi="华文中宋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ascii="华文中宋" w:cs="华文中宋" w:eastAsia="华文中宋" w:hAnsi="华文中宋"/>
          <w:sz w:val="44"/>
          <w:szCs w:val="44"/>
        </w:rPr>
      </w:pPr>
      <w:r>
        <w:rPr>
          <w:rFonts w:ascii="华文中宋" w:cs="华文中宋" w:eastAsia="华文中宋" w:hAnsi="华文中宋" w:hint="eastAsia"/>
          <w:sz w:val="44"/>
          <w:szCs w:val="44"/>
        </w:rPr>
        <w:t>关于进一步强化中央预算内投资项目申报考核细则</w:t>
      </w:r>
    </w:p>
    <w:p>
      <w:pPr>
        <w:pStyle w:val="style0"/>
        <w:spacing w:lineRule="exact" w:line="560"/>
        <w:jc w:val="center"/>
        <w:rPr>
          <w:sz w:val="32"/>
          <w:szCs w:val="32"/>
        </w:rPr>
      </w:pP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按照</w:t>
      </w:r>
      <w:r>
        <w:rPr>
          <w:rFonts w:ascii="仿宋_GB2312" w:cs="仿宋_GB2312" w:eastAsia="仿宋_GB2312" w:hAnsi="仿宋_GB2312" w:hint="eastAsia"/>
          <w:sz w:val="32"/>
          <w:szCs w:val="32"/>
        </w:rPr>
        <w:t>市委、</w:t>
      </w:r>
      <w:r>
        <w:rPr>
          <w:rFonts w:ascii="仿宋_GB2312" w:cs="仿宋_GB2312" w:eastAsia="仿宋_GB2312" w:hAnsi="仿宋_GB2312" w:hint="eastAsia"/>
          <w:sz w:val="32"/>
          <w:szCs w:val="32"/>
        </w:rPr>
        <w:t>市政府主要领导对于加强中央预算内投资项目申报管理的工作要求，充分提升各县（市、区）、市直有关单位争取2022年中央预算内投资资金的积极性,保障我市“十四五”规划重大项目的资金需求,结合《关于2022年中央预算内投资申报工作方案》要求，制定本考核细则。</w:t>
      </w:r>
    </w:p>
    <w:p>
      <w:pPr>
        <w:pStyle w:val="style0"/>
        <w:numPr>
          <w:ilvl w:val="0"/>
          <w:numId w:val="1"/>
        </w:numPr>
        <w:spacing w:lineRule="exact" w:line="5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考核对象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各县（市、区）、市直有关单位，包括：市住建局、市水</w:t>
      </w:r>
      <w:r>
        <w:rPr>
          <w:rFonts w:ascii="仿宋_GB2312" w:cs="仿宋_GB2312" w:eastAsia="仿宋_GB2312" w:hAnsi="仿宋_GB2312" w:hint="eastAsia"/>
          <w:sz w:val="32"/>
          <w:szCs w:val="32"/>
        </w:rPr>
        <w:t>务</w:t>
      </w:r>
      <w:r>
        <w:rPr>
          <w:rFonts w:ascii="仿宋_GB2312" w:cs="仿宋_GB2312" w:eastAsia="仿宋_GB2312" w:hAnsi="仿宋_GB2312" w:hint="eastAsia"/>
          <w:sz w:val="32"/>
          <w:szCs w:val="32"/>
        </w:rPr>
        <w:t>局、</w:t>
      </w:r>
      <w:r>
        <w:rPr>
          <w:rFonts w:ascii="仿宋_GB2312" w:cs="仿宋_GB2312" w:eastAsia="仿宋_GB2312" w:hAnsi="仿宋_GB2312" w:hint="eastAsia"/>
          <w:sz w:val="32"/>
          <w:szCs w:val="32"/>
        </w:rPr>
        <w:t>市卫健局、市教育局、市文</w:t>
      </w:r>
      <w:r>
        <w:rPr>
          <w:rFonts w:ascii="仿宋_GB2312" w:cs="仿宋_GB2312" w:eastAsia="仿宋_GB2312" w:hAnsi="仿宋_GB2312" w:hint="eastAsia"/>
          <w:sz w:val="32"/>
          <w:szCs w:val="32"/>
        </w:rPr>
        <w:t>广旅体</w:t>
      </w:r>
      <w:r>
        <w:rPr>
          <w:rFonts w:ascii="仿宋_GB2312" w:cs="仿宋_GB2312" w:eastAsia="仿宋_GB2312" w:hAnsi="仿宋_GB2312" w:hint="eastAsia"/>
          <w:sz w:val="32"/>
          <w:szCs w:val="32"/>
        </w:rPr>
        <w:t>局、市民政局、市</w:t>
      </w:r>
      <w:r>
        <w:rPr>
          <w:rFonts w:ascii="仿宋_GB2312" w:cs="仿宋_GB2312" w:eastAsia="仿宋_GB2312" w:hAnsi="仿宋_GB2312" w:hint="eastAsia"/>
          <w:sz w:val="32"/>
          <w:szCs w:val="32"/>
        </w:rPr>
        <w:t>人社</w:t>
      </w:r>
      <w:r>
        <w:rPr>
          <w:rFonts w:ascii="仿宋_GB2312" w:cs="仿宋_GB2312" w:eastAsia="仿宋_GB2312" w:hAnsi="仿宋_GB2312" w:hint="eastAsia"/>
          <w:sz w:val="32"/>
          <w:szCs w:val="32"/>
        </w:rPr>
        <w:t>局、市</w:t>
      </w:r>
      <w:r>
        <w:rPr>
          <w:rFonts w:ascii="仿宋_GB2312" w:cs="仿宋_GB2312" w:eastAsia="仿宋_GB2312" w:hAnsi="仿宋_GB2312" w:hint="eastAsia"/>
          <w:sz w:val="32"/>
          <w:szCs w:val="32"/>
        </w:rPr>
        <w:t>发改</w:t>
      </w:r>
      <w:r>
        <w:rPr>
          <w:rFonts w:ascii="仿宋_GB2312" w:cs="仿宋_GB2312" w:eastAsia="仿宋_GB2312" w:hAnsi="仿宋_GB2312" w:hint="eastAsia"/>
          <w:sz w:val="32"/>
          <w:szCs w:val="32"/>
        </w:rPr>
        <w:t>局、市工信局、市供销社、</w:t>
      </w:r>
      <w:r>
        <w:rPr>
          <w:rFonts w:ascii="仿宋_GB2312" w:cs="仿宋_GB2312" w:eastAsia="仿宋_GB2312" w:hAnsi="仿宋_GB2312" w:hint="eastAsia"/>
          <w:sz w:val="32"/>
          <w:szCs w:val="32"/>
        </w:rPr>
        <w:t>市生态环境局、市农业农村局、市退役军人事务局、市残联、</w:t>
      </w:r>
      <w:r>
        <w:rPr>
          <w:rFonts w:ascii="仿宋_GB2312" w:cs="仿宋_GB2312" w:eastAsia="仿宋_GB2312" w:hAnsi="仿宋_GB2312" w:hint="eastAsia"/>
          <w:sz w:val="32"/>
          <w:szCs w:val="32"/>
        </w:rPr>
        <w:t>市委政法委、市法院、市检察院、市司法局、市公安局、市委宣传部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>
      <w:pPr>
        <w:pStyle w:val="style0"/>
        <w:numPr>
          <w:ilvl w:val="0"/>
          <w:numId w:val="1"/>
        </w:numPr>
        <w:spacing w:lineRule="exact" w:line="5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考核</w:t>
      </w:r>
      <w:r>
        <w:rPr>
          <w:rFonts w:ascii="黑体" w:cs="黑体" w:eastAsia="黑体" w:hAnsi="黑体" w:hint="eastAsia"/>
          <w:sz w:val="32"/>
          <w:szCs w:val="32"/>
        </w:rPr>
        <w:t>办法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考核</w:t>
      </w:r>
      <w:r>
        <w:rPr>
          <w:rFonts w:ascii="仿宋_GB2312" w:cs="仿宋_GB2312" w:eastAsia="仿宋_GB2312" w:hAnsi="仿宋_GB2312" w:hint="eastAsia"/>
          <w:sz w:val="32"/>
          <w:szCs w:val="32"/>
        </w:rPr>
        <w:t>2022年全市各单位争取中央预算内投资资金的落实情况</w:t>
      </w:r>
      <w:r>
        <w:rPr>
          <w:rFonts w:ascii="仿宋_GB2312" w:cs="仿宋_GB2312" w:eastAsia="仿宋_GB2312" w:hAnsi="仿宋_GB2312" w:hint="eastAsia"/>
          <w:sz w:val="32"/>
          <w:szCs w:val="32"/>
        </w:rPr>
        <w:t>，主要包括基础分（6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分）、上报分（3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分）、奖励分（1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分），合计为1</w:t>
      </w:r>
      <w:r>
        <w:rPr>
          <w:rFonts w:ascii="仿宋_GB2312" w:cs="仿宋_GB2312" w:eastAsia="仿宋_GB2312" w:hAnsi="仿宋_GB2312"/>
          <w:sz w:val="32"/>
          <w:szCs w:val="32"/>
        </w:rPr>
        <w:t>00</w:t>
      </w:r>
      <w:r>
        <w:rPr>
          <w:rFonts w:ascii="仿宋_GB2312" w:cs="仿宋_GB2312" w:eastAsia="仿宋_GB2312" w:hAnsi="仿宋_GB2312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基础分是基于 “结果导向”，</w:t>
      </w:r>
      <w:r>
        <w:rPr>
          <w:rFonts w:ascii="仿宋_GB2312" w:cs="仿宋_GB2312" w:eastAsia="仿宋_GB2312" w:hAnsi="仿宋_GB2312" w:hint="eastAsia"/>
          <w:sz w:val="32"/>
          <w:szCs w:val="32"/>
        </w:rPr>
        <w:t>上报分是基于</w:t>
      </w:r>
      <w:r>
        <w:rPr>
          <w:rFonts w:ascii="仿宋_GB2312" w:cs="仿宋_GB2312" w:eastAsia="仿宋_GB2312" w:hAnsi="仿宋_GB2312" w:hint="eastAsia"/>
          <w:sz w:val="32"/>
          <w:szCs w:val="32"/>
        </w:rPr>
        <w:t>上报项目的成熟度，</w:t>
      </w:r>
      <w:bookmarkStart w:id="0" w:name="_GoBack"/>
      <w:bookmarkEnd w:id="0"/>
      <w:r>
        <w:rPr>
          <w:rFonts w:ascii="仿宋_GB2312" w:cs="仿宋_GB2312" w:hAnsi="仿宋_GB2312" w:hint="eastAsia"/>
          <w:sz w:val="32"/>
          <w:szCs w:val="32"/>
          <w:lang w:eastAsia="zh-CN"/>
        </w:rPr>
        <w:t>如</w:t>
      </w:r>
      <w:r>
        <w:rPr>
          <w:rFonts w:ascii="仿宋_GB2312" w:cs="仿宋_GB2312" w:eastAsia="仿宋_GB2312" w:hAnsi="仿宋_GB2312" w:hint="eastAsia"/>
          <w:sz w:val="32"/>
          <w:szCs w:val="32"/>
        </w:rPr>
        <w:t>完成可研、初设</w:t>
      </w:r>
      <w:r>
        <w:rPr>
          <w:rFonts w:ascii="仿宋_GB2312" w:cs="仿宋_GB2312" w:hAnsi="仿宋_GB2312" w:hint="eastAsia"/>
          <w:sz w:val="32"/>
          <w:szCs w:val="32"/>
          <w:lang w:eastAsia="zh-CN"/>
        </w:rPr>
        <w:t>、概算、招标、施工许可</w:t>
      </w:r>
      <w:r>
        <w:rPr>
          <w:rFonts w:ascii="仿宋_GB2312" w:cs="仿宋_GB2312" w:eastAsia="仿宋_GB2312" w:hAnsi="仿宋_GB2312" w:hint="eastAsia"/>
          <w:sz w:val="32"/>
          <w:szCs w:val="32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奖励分是基于“资金下达即可用</w:t>
      </w:r>
      <w:r>
        <w:rPr>
          <w:rFonts w:ascii="仿宋_GB2312" w:cs="仿宋_GB2312" w:eastAsia="仿宋_GB2312" w:hAnsi="仿宋_GB2312" w:hint="eastAsia"/>
          <w:sz w:val="32"/>
          <w:szCs w:val="32"/>
        </w:rPr>
        <w:t>”。</w:t>
      </w:r>
      <w:r>
        <w:rPr>
          <w:rFonts w:ascii="仿宋_GB2312" w:cs="仿宋_GB2312" w:eastAsia="仿宋_GB2312" w:hAnsi="仿宋_GB2312" w:hint="eastAsia"/>
          <w:sz w:val="32"/>
          <w:szCs w:val="32"/>
        </w:rPr>
        <w:t>通过这3项的相关测算，能够更好地衡量各单位争取中央预算内投资资金的落实情况。</w:t>
      </w:r>
      <w:r>
        <w:rPr>
          <w:rFonts w:ascii="仿宋_GB2312" w:cs="仿宋_GB2312" w:eastAsia="仿宋_GB2312" w:hAnsi="仿宋_GB2312" w:hint="eastAsia"/>
          <w:sz w:val="32"/>
          <w:szCs w:val="32"/>
        </w:rPr>
        <w:t xml:space="preserve"> </w:t>
      </w:r>
    </w:p>
    <w:p>
      <w:pPr>
        <w:pStyle w:val="style0"/>
        <w:spacing w:lineRule="exact" w:line="560"/>
        <w:ind w:firstLine="643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（一）</w:t>
      </w:r>
      <w:r>
        <w:rPr>
          <w:rFonts w:ascii="楷体" w:cs="楷体" w:eastAsia="楷体" w:hAnsi="楷体" w:hint="eastAsia"/>
          <w:b/>
          <w:bCs/>
          <w:sz w:val="32"/>
          <w:szCs w:val="32"/>
        </w:rPr>
        <w:t>基础分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首先，计算 2</w:t>
      </w:r>
      <w:r>
        <w:rPr>
          <w:rFonts w:ascii="仿宋_GB2312" w:cs="仿宋_GB2312" w:eastAsia="仿宋_GB2312" w:hAnsi="仿宋_GB2312"/>
          <w:sz w:val="32"/>
          <w:szCs w:val="32"/>
        </w:rPr>
        <w:t>022</w:t>
      </w:r>
      <w:r>
        <w:rPr>
          <w:rFonts w:ascii="仿宋_GB2312" w:cs="仿宋_GB2312" w:eastAsia="仿宋_GB2312" w:hAnsi="仿宋_GB2312" w:hint="eastAsia"/>
          <w:sz w:val="32"/>
          <w:szCs w:val="32"/>
        </w:rPr>
        <w:t>年实际获得中央预算内投资的完成率。计算方法为</w:t>
      </w:r>
      <w:r>
        <w:rPr>
          <w:rFonts w:ascii="仿宋_GB2312" w:cs="仿宋_GB2312" w:eastAsia="仿宋_GB2312" w:hAnsi="仿宋_GB2312" w:hint="eastAsia"/>
          <w:sz w:val="32"/>
          <w:szCs w:val="32"/>
        </w:rPr>
        <w:t>2</w:t>
      </w:r>
      <w:r>
        <w:rPr>
          <w:rFonts w:ascii="仿宋_GB2312" w:cs="仿宋_GB2312" w:eastAsia="仿宋_GB2312" w:hAnsi="仿宋_GB2312"/>
          <w:sz w:val="32"/>
          <w:szCs w:val="32"/>
        </w:rPr>
        <w:t>022</w:t>
      </w:r>
      <w:r>
        <w:rPr>
          <w:rFonts w:ascii="仿宋_GB2312" w:cs="仿宋_GB2312" w:eastAsia="仿宋_GB2312" w:hAnsi="仿宋_GB2312" w:hint="eastAsia"/>
          <w:sz w:val="32"/>
          <w:szCs w:val="32"/>
        </w:rPr>
        <w:t>年</w:t>
      </w:r>
      <w:r>
        <w:rPr>
          <w:rFonts w:ascii="仿宋_GB2312" w:cs="仿宋_GB2312" w:eastAsia="仿宋_GB2312" w:hAnsi="仿宋_GB2312" w:hint="eastAsia"/>
          <w:sz w:val="32"/>
          <w:szCs w:val="32"/>
        </w:rPr>
        <w:t>实际获得中央预算内投资</w:t>
      </w:r>
      <w:r>
        <w:rPr>
          <w:rFonts w:ascii="仿宋_GB2312" w:cs="仿宋_GB2312" w:eastAsia="仿宋_GB2312" w:hAnsi="仿宋_GB2312" w:hint="eastAsia"/>
          <w:sz w:val="32"/>
          <w:szCs w:val="32"/>
        </w:rPr>
        <w:t>的数量与中央预算内投资的任务数量</w:t>
      </w:r>
      <w:r>
        <w:rPr>
          <w:rFonts w:ascii="仿宋_GB2312" w:cs="仿宋_GB2312" w:eastAsia="仿宋_GB2312" w:hAnsi="仿宋_GB2312" w:hint="eastAsia"/>
          <w:sz w:val="32"/>
          <w:szCs w:val="32"/>
        </w:rPr>
        <w:t>的比重。其次，该完成率与基础分（6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分）进行相乘，则可以得出各单位的实际基础分。</w:t>
      </w:r>
    </w:p>
    <w:p>
      <w:pPr>
        <w:pStyle w:val="style0"/>
        <w:spacing w:lineRule="exact" w:line="560"/>
        <w:ind w:firstLine="643" w:firstLineChars="200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（二）上报分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首先，计算2</w:t>
      </w:r>
      <w:r>
        <w:rPr>
          <w:rFonts w:ascii="仿宋_GB2312" w:cs="仿宋_GB2312" w:eastAsia="仿宋_GB2312" w:hAnsi="仿宋_GB2312"/>
          <w:sz w:val="32"/>
          <w:szCs w:val="32"/>
        </w:rPr>
        <w:t>022</w:t>
      </w:r>
      <w:r>
        <w:rPr>
          <w:rFonts w:ascii="仿宋_GB2312" w:cs="仿宋_GB2312" w:eastAsia="仿宋_GB2312" w:hAnsi="仿宋_GB2312" w:hint="eastAsia"/>
          <w:sz w:val="32"/>
          <w:szCs w:val="32"/>
        </w:rPr>
        <w:t>年中央预算内投资的上报率</w:t>
      </w:r>
      <w:r>
        <w:rPr>
          <w:rFonts w:ascii="仿宋_GB2312" w:cs="仿宋_GB2312" w:eastAsia="仿宋_GB2312" w:hAnsi="仿宋_GB2312" w:hint="eastAsia"/>
          <w:sz w:val="32"/>
          <w:szCs w:val="32"/>
        </w:rPr>
        <w:t>。计算方法为2</w:t>
      </w:r>
      <w:r>
        <w:rPr>
          <w:rFonts w:ascii="仿宋_GB2312" w:cs="仿宋_GB2312" w:eastAsia="仿宋_GB2312" w:hAnsi="仿宋_GB2312"/>
          <w:sz w:val="32"/>
          <w:szCs w:val="32"/>
        </w:rPr>
        <w:t>022</w:t>
      </w:r>
      <w:r>
        <w:rPr>
          <w:rFonts w:ascii="仿宋_GB2312" w:cs="仿宋_GB2312" w:eastAsia="仿宋_GB2312" w:hAnsi="仿宋_GB2312" w:hint="eastAsia"/>
          <w:sz w:val="32"/>
          <w:szCs w:val="32"/>
        </w:rPr>
        <w:t>年中央预算内投资的上报数量与</w:t>
      </w:r>
      <w:r>
        <w:rPr>
          <w:rFonts w:ascii="仿宋_GB2312" w:cs="仿宋_GB2312" w:eastAsia="仿宋_GB2312" w:hAnsi="仿宋_GB2312" w:hint="eastAsia"/>
          <w:sz w:val="32"/>
          <w:szCs w:val="32"/>
        </w:rPr>
        <w:t>中央预算内投资的任务数量的比重</w:t>
      </w:r>
      <w:r>
        <w:rPr>
          <w:rFonts w:ascii="仿宋_GB2312" w:cs="仿宋_GB2312" w:eastAsia="仿宋_GB2312" w:hAnsi="仿宋_GB2312" w:hint="eastAsia"/>
          <w:sz w:val="32"/>
          <w:szCs w:val="32"/>
        </w:rPr>
        <w:t>。其次，该上报率与上报分（3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分）进行相乘，</w:t>
      </w:r>
      <w:r>
        <w:rPr>
          <w:rFonts w:ascii="仿宋_GB2312" w:cs="仿宋_GB2312" w:eastAsia="仿宋_GB2312" w:hAnsi="仿宋_GB2312" w:hint="eastAsia"/>
          <w:sz w:val="32"/>
          <w:szCs w:val="32"/>
        </w:rPr>
        <w:t>则可以得出各单位的实际</w:t>
      </w:r>
      <w:r>
        <w:rPr>
          <w:rFonts w:ascii="仿宋_GB2312" w:cs="仿宋_GB2312" w:eastAsia="仿宋_GB2312" w:hAnsi="仿宋_GB2312" w:hint="eastAsia"/>
          <w:sz w:val="32"/>
          <w:szCs w:val="32"/>
        </w:rPr>
        <w:t>上报</w:t>
      </w:r>
      <w:r>
        <w:rPr>
          <w:rFonts w:ascii="仿宋_GB2312" w:cs="仿宋_GB2312" w:eastAsia="仿宋_GB2312" w:hAnsi="仿宋_GB2312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3" w:firstLineChars="200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（三）奖励分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首先，计算各单位</w:t>
      </w:r>
      <w:r>
        <w:rPr>
          <w:rFonts w:ascii="仿宋_GB2312" w:cs="仿宋_GB2312" w:eastAsia="仿宋_GB2312" w:hAnsi="仿宋_GB2312" w:hint="eastAsia"/>
          <w:sz w:val="32"/>
          <w:szCs w:val="32"/>
        </w:rPr>
        <w:t>获得</w:t>
      </w:r>
      <w:r>
        <w:rPr>
          <w:rFonts w:ascii="仿宋_GB2312" w:cs="仿宋_GB2312" w:eastAsia="仿宋_GB2312" w:hAnsi="仿宋_GB2312" w:hint="eastAsia"/>
          <w:sz w:val="32"/>
          <w:szCs w:val="32"/>
        </w:rPr>
        <w:t>中央预算内投资</w:t>
      </w:r>
      <w:r>
        <w:rPr>
          <w:rFonts w:ascii="仿宋_GB2312" w:cs="仿宋_GB2312" w:eastAsia="仿宋_GB2312" w:hAnsi="仿宋_GB2312" w:hint="eastAsia"/>
          <w:sz w:val="32"/>
          <w:szCs w:val="32"/>
        </w:rPr>
        <w:t>资金且取得施工许可证</w:t>
      </w:r>
      <w:r>
        <w:rPr>
          <w:rFonts w:ascii="仿宋_GB2312" w:cs="仿宋_GB2312" w:eastAsia="仿宋_GB2312" w:hAnsi="仿宋_GB2312" w:hint="eastAsia"/>
          <w:sz w:val="32"/>
          <w:szCs w:val="32"/>
        </w:rPr>
        <w:t>的</w:t>
      </w:r>
      <w:r>
        <w:rPr>
          <w:rFonts w:ascii="仿宋_GB2312" w:cs="仿宋_GB2312" w:eastAsia="仿宋_GB2312" w:hAnsi="仿宋_GB2312" w:hint="eastAsia"/>
          <w:sz w:val="32"/>
          <w:szCs w:val="32"/>
        </w:rPr>
        <w:t>项目个数</w:t>
      </w:r>
      <w:r>
        <w:rPr>
          <w:rFonts w:ascii="仿宋_GB2312" w:cs="仿宋_GB2312" w:eastAsia="仿宋_GB2312" w:hAnsi="仿宋_GB2312" w:hint="eastAsia"/>
          <w:sz w:val="32"/>
          <w:szCs w:val="32"/>
        </w:rPr>
        <w:t>。其次，计算该个数与</w:t>
      </w:r>
      <w:r>
        <w:rPr>
          <w:rFonts w:ascii="仿宋_GB2312" w:cs="仿宋_GB2312" w:eastAsia="仿宋_GB2312" w:hAnsi="仿宋_GB2312" w:hint="eastAsia"/>
          <w:sz w:val="32"/>
          <w:szCs w:val="32"/>
        </w:rPr>
        <w:t>全市获得</w:t>
      </w:r>
      <w:r>
        <w:rPr>
          <w:rFonts w:ascii="仿宋_GB2312" w:cs="仿宋_GB2312" w:eastAsia="仿宋_GB2312" w:hAnsi="仿宋_GB2312" w:hint="eastAsia"/>
          <w:sz w:val="32"/>
          <w:szCs w:val="32"/>
        </w:rPr>
        <w:t>中央预算内投资</w:t>
      </w:r>
      <w:r>
        <w:rPr>
          <w:rFonts w:ascii="仿宋_GB2312" w:cs="仿宋_GB2312" w:eastAsia="仿宋_GB2312" w:hAnsi="仿宋_GB2312" w:hint="eastAsia"/>
          <w:sz w:val="32"/>
          <w:szCs w:val="32"/>
        </w:rPr>
        <w:t>资金</w:t>
      </w:r>
      <w:r>
        <w:rPr>
          <w:rFonts w:ascii="仿宋_GB2312" w:cs="仿宋_GB2312" w:eastAsia="仿宋_GB2312" w:hAnsi="仿宋_GB2312" w:hint="eastAsia"/>
          <w:sz w:val="32"/>
          <w:szCs w:val="32"/>
        </w:rPr>
        <w:t>的项目个数的比重，再对该比重与奖励分（1</w:t>
      </w:r>
      <w:r>
        <w:rPr>
          <w:rFonts w:ascii="仿宋_GB2312" w:cs="仿宋_GB2312" w:eastAsia="仿宋_GB2312" w:hAnsi="仿宋_GB2312"/>
          <w:sz w:val="32"/>
          <w:szCs w:val="32"/>
        </w:rPr>
        <w:t>0</w:t>
      </w:r>
      <w:r>
        <w:rPr>
          <w:rFonts w:ascii="仿宋_GB2312" w:cs="仿宋_GB2312" w:eastAsia="仿宋_GB2312" w:hAnsi="仿宋_GB2312" w:hint="eastAsia"/>
          <w:sz w:val="32"/>
          <w:szCs w:val="32"/>
        </w:rPr>
        <w:t>分）进行相乘，</w:t>
      </w:r>
      <w:r>
        <w:rPr>
          <w:rFonts w:ascii="仿宋_GB2312" w:cs="仿宋_GB2312" w:eastAsia="仿宋_GB2312" w:hAnsi="仿宋_GB2312" w:hint="eastAsia"/>
          <w:sz w:val="32"/>
          <w:szCs w:val="32"/>
        </w:rPr>
        <w:t>则可以得出各单位的实际</w:t>
      </w:r>
      <w:r>
        <w:rPr>
          <w:rFonts w:ascii="仿宋_GB2312" w:cs="仿宋_GB2312" w:eastAsia="仿宋_GB2312" w:hAnsi="仿宋_GB2312" w:hint="eastAsia"/>
          <w:sz w:val="32"/>
          <w:szCs w:val="32"/>
        </w:rPr>
        <w:t>奖励</w:t>
      </w:r>
      <w:r>
        <w:rPr>
          <w:rFonts w:ascii="仿宋_GB2312" w:cs="仿宋_GB2312" w:eastAsia="仿宋_GB2312" w:hAnsi="仿宋_GB2312" w:hint="eastAsia"/>
          <w:sz w:val="32"/>
          <w:szCs w:val="32"/>
        </w:rPr>
        <w:t>分。</w:t>
      </w:r>
    </w:p>
    <w:p>
      <w:pPr>
        <w:pStyle w:val="style0"/>
        <w:spacing w:lineRule="exact" w:line="560"/>
        <w:ind w:firstLine="643" w:firstLineChars="200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（</w:t>
      </w:r>
      <w:r>
        <w:rPr>
          <w:rFonts w:ascii="楷体" w:cs="楷体" w:eastAsia="楷体" w:hAnsi="楷体" w:hint="eastAsia"/>
          <w:b/>
          <w:bCs/>
          <w:sz w:val="32"/>
          <w:szCs w:val="32"/>
        </w:rPr>
        <w:t>四</w:t>
      </w:r>
      <w:r>
        <w:rPr>
          <w:rFonts w:ascii="楷体" w:cs="楷体" w:eastAsia="楷体" w:hAnsi="楷体" w:hint="eastAsia"/>
          <w:b/>
          <w:bCs/>
          <w:sz w:val="32"/>
          <w:szCs w:val="32"/>
        </w:rPr>
        <w:t>）考核公式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bCs/>
          <w:sz w:val="32"/>
          <w:szCs w:val="32"/>
        </w:rPr>
        <w:t>基础分：</w:t>
      </w:r>
      <w:r>
        <w:rPr>
          <w:rFonts w:ascii="仿宋_GB2312" w:cs="仿宋_GB2312" w:eastAsia="仿宋_GB2312" w:hAnsi="仿宋_GB2312"/>
          <w:sz w:val="32"/>
          <w:szCs w:val="32"/>
        </w:rPr>
        <w:t>获得资金数</w:t>
      </w:r>
      <w:r>
        <w:rPr>
          <w:rFonts w:ascii="仿宋_GB2312" w:cs="仿宋_GB2312" w:eastAsia="仿宋_GB2312" w:hAnsi="仿宋_GB2312" w:hint="eastAsia"/>
          <w:sz w:val="32"/>
          <w:szCs w:val="32"/>
        </w:rPr>
        <w:t>量</w:t>
      </w:r>
      <w:r>
        <w:rPr>
          <w:rFonts w:ascii="仿宋_GB2312" w:cs="仿宋_GB2312" w:eastAsia="仿宋_GB2312" w:hAnsi="仿宋_GB2312"/>
          <w:sz w:val="32"/>
          <w:szCs w:val="32"/>
        </w:rPr>
        <w:t>/任务数</w:t>
      </w:r>
      <w:r>
        <w:rPr>
          <w:rFonts w:ascii="仿宋_GB2312" w:cs="仿宋_GB2312" w:eastAsia="仿宋_GB2312" w:hAnsi="仿宋_GB2312" w:hint="eastAsia"/>
          <w:sz w:val="32"/>
          <w:szCs w:val="32"/>
        </w:rPr>
        <w:t>量</w:t>
      </w:r>
      <w:r>
        <w:rPr>
          <w:rFonts w:ascii="仿宋_GB2312" w:cs="仿宋_GB2312" w:eastAsia="仿宋_GB2312" w:hAnsi="仿宋_GB2312"/>
          <w:sz w:val="32"/>
          <w:szCs w:val="32"/>
        </w:rPr>
        <w:t>×60分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bCs/>
          <w:sz w:val="32"/>
          <w:szCs w:val="32"/>
        </w:rPr>
        <w:t>上报分：</w:t>
      </w:r>
      <w:r>
        <w:rPr>
          <w:rFonts w:ascii="仿宋_GB2312" w:cs="仿宋_GB2312" w:eastAsia="仿宋_GB2312" w:hAnsi="仿宋_GB2312"/>
          <w:sz w:val="32"/>
          <w:szCs w:val="32"/>
        </w:rPr>
        <w:t>上报资金数</w:t>
      </w:r>
      <w:r>
        <w:rPr>
          <w:rFonts w:ascii="仿宋_GB2312" w:cs="仿宋_GB2312" w:eastAsia="仿宋_GB2312" w:hAnsi="仿宋_GB2312" w:hint="eastAsia"/>
          <w:sz w:val="32"/>
          <w:szCs w:val="32"/>
        </w:rPr>
        <w:t>量</w:t>
      </w:r>
      <w:r>
        <w:rPr>
          <w:rFonts w:ascii="仿宋_GB2312" w:cs="仿宋_GB2312" w:eastAsia="仿宋_GB2312" w:hAnsi="仿宋_GB2312"/>
          <w:sz w:val="32"/>
          <w:szCs w:val="32"/>
        </w:rPr>
        <w:t>/任务数</w:t>
      </w:r>
      <w:r>
        <w:rPr>
          <w:rFonts w:ascii="仿宋_GB2312" w:cs="仿宋_GB2312" w:eastAsia="仿宋_GB2312" w:hAnsi="仿宋_GB2312" w:hint="eastAsia"/>
          <w:sz w:val="32"/>
          <w:szCs w:val="32"/>
        </w:rPr>
        <w:t>量</w:t>
      </w:r>
      <w:r>
        <w:rPr>
          <w:rFonts w:ascii="仿宋_GB2312" w:cs="仿宋_GB2312" w:eastAsia="仿宋_GB2312" w:hAnsi="仿宋_GB2312"/>
          <w:sz w:val="32"/>
          <w:szCs w:val="32"/>
        </w:rPr>
        <w:t>×30分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bCs/>
          <w:sz w:val="32"/>
          <w:szCs w:val="32"/>
        </w:rPr>
        <w:t>奖励分：</w:t>
      </w:r>
      <w:r>
        <w:rPr>
          <w:rFonts w:ascii="仿宋_GB2312" w:cs="仿宋_GB2312" w:eastAsia="仿宋_GB2312" w:hAnsi="仿宋_GB2312"/>
          <w:sz w:val="32"/>
          <w:szCs w:val="32"/>
        </w:rPr>
        <w:t>获得资金且取得施工许可证项目个数/全市获得资金项目个数×10分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举例：</w:t>
      </w:r>
      <w:r>
        <w:rPr>
          <w:rFonts w:ascii="仿宋_GB2312" w:cs="仿宋_GB2312" w:eastAsia="仿宋_GB2312" w:hAnsi="仿宋_GB2312" w:hint="eastAsia"/>
          <w:sz w:val="32"/>
          <w:szCs w:val="32"/>
        </w:rPr>
        <w:t>2022年全市获得10个中央预算内</w:t>
      </w:r>
      <w:r>
        <w:rPr>
          <w:rFonts w:ascii="仿宋_GB2312" w:cs="仿宋_GB2312" w:eastAsia="仿宋_GB2312" w:hAnsi="仿宋_GB2312" w:hint="eastAsia"/>
          <w:sz w:val="32"/>
          <w:szCs w:val="32"/>
        </w:rPr>
        <w:t>投资</w:t>
      </w:r>
      <w:r>
        <w:rPr>
          <w:rFonts w:ascii="仿宋_GB2312" w:cs="仿宋_GB2312" w:eastAsia="仿宋_GB2312" w:hAnsi="仿宋_GB2312" w:hint="eastAsia"/>
          <w:sz w:val="32"/>
          <w:szCs w:val="32"/>
        </w:rPr>
        <w:t>项目，其中</w:t>
      </w:r>
      <w:r>
        <w:rPr>
          <w:rFonts w:ascii="仿宋_GB2312" w:cs="仿宋_GB2312" w:eastAsia="仿宋_GB2312" w:hAnsi="仿宋_GB2312" w:hint="eastAsia"/>
          <w:sz w:val="32"/>
          <w:szCs w:val="32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某局任务数</w:t>
      </w:r>
      <w:r>
        <w:rPr>
          <w:rFonts w:ascii="仿宋_GB2312" w:cs="仿宋_GB2312" w:eastAsia="仿宋_GB2312" w:hAnsi="仿宋_GB2312" w:hint="eastAsia"/>
          <w:sz w:val="32"/>
          <w:szCs w:val="32"/>
        </w:rPr>
        <w:t>量</w:t>
      </w:r>
      <w:r>
        <w:rPr>
          <w:rFonts w:ascii="仿宋_GB2312" w:cs="仿宋_GB2312" w:eastAsia="仿宋_GB2312" w:hAnsi="仿宋_GB2312" w:hint="eastAsia"/>
          <w:sz w:val="32"/>
          <w:szCs w:val="32"/>
        </w:rPr>
        <w:t>8000万元，上报4个项目10000万元，有2个项目合计6000万元获得资金且有1个项目取得施工许可证。则某局考核得分=6000万元/8000万元×60分</w:t>
      </w:r>
      <w:r>
        <w:rPr>
          <w:rFonts w:ascii="仿宋_GB2312" w:cs="仿宋_GB2312" w:eastAsia="仿宋_GB2312" w:hAnsi="仿宋_GB2312" w:hint="eastAsia"/>
          <w:sz w:val="32"/>
          <w:szCs w:val="32"/>
        </w:rPr>
        <w:t>+10000万元/8000万元×30分+1个/10个×10分=45分+37.5分+1分=83.5分。</w:t>
      </w:r>
    </w:p>
    <w:p>
      <w:pPr>
        <w:pStyle w:val="style0"/>
        <w:numPr>
          <w:ilvl w:val="0"/>
          <w:numId w:val="1"/>
        </w:numPr>
        <w:spacing w:lineRule="exact" w:line="5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考核程序</w:t>
      </w:r>
    </w:p>
    <w:p>
      <w:pPr>
        <w:pStyle w:val="style0"/>
        <w:spacing w:lineRule="exact" w:line="560"/>
        <w:ind w:firstLine="640" w:firstLineChars="200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对于各县（市、区）</w:t>
      </w:r>
      <w:r>
        <w:rPr>
          <w:rFonts w:ascii="仿宋_GB2312" w:cs="仿宋_GB2312" w:eastAsia="仿宋_GB2312" w:hAnsi="仿宋_GB2312" w:hint="eastAsia"/>
          <w:sz w:val="32"/>
          <w:szCs w:val="32"/>
        </w:rPr>
        <w:t>和</w:t>
      </w:r>
      <w:r>
        <w:rPr>
          <w:rFonts w:ascii="仿宋_GB2312" w:cs="仿宋_GB2312" w:eastAsia="仿宋_GB2312" w:hAnsi="仿宋_GB2312" w:hint="eastAsia"/>
          <w:sz w:val="32"/>
          <w:szCs w:val="32"/>
        </w:rPr>
        <w:t>市直有关单位争取中央预算内投资的考核，由市发展和</w:t>
      </w:r>
      <w:r>
        <w:rPr>
          <w:rFonts w:ascii="仿宋_GB2312" w:cs="仿宋_GB2312" w:eastAsia="仿宋_GB2312" w:hAnsi="仿宋_GB2312" w:hint="eastAsia"/>
          <w:sz w:val="32"/>
          <w:szCs w:val="32"/>
        </w:rPr>
        <w:t>改革局</w:t>
      </w:r>
      <w:r>
        <w:rPr>
          <w:rFonts w:ascii="仿宋_GB2312" w:cs="仿宋_GB2312" w:eastAsia="仿宋_GB2312" w:hAnsi="仿宋_GB2312" w:hint="eastAsia"/>
          <w:sz w:val="32"/>
          <w:szCs w:val="32"/>
        </w:rPr>
        <w:t>牵头考核。</w:t>
      </w:r>
    </w:p>
    <w:p>
      <w:pPr>
        <w:pStyle w:val="style0"/>
        <w:spacing w:lineRule="exact" w:line="560"/>
        <w:ind w:firstLine="643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（一）单位自评。</w:t>
      </w:r>
      <w:r>
        <w:rPr>
          <w:rFonts w:ascii="仿宋_GB2312" w:cs="仿宋_GB2312" w:eastAsia="仿宋_GB2312" w:hAnsi="仿宋_GB2312" w:hint="eastAsia"/>
          <w:sz w:val="32"/>
          <w:szCs w:val="32"/>
        </w:rPr>
        <w:t>各县（市、区）发展和改革局、市直相关单位根据考核</w:t>
      </w:r>
      <w:r>
        <w:rPr>
          <w:rFonts w:ascii="仿宋_GB2312" w:cs="仿宋_GB2312" w:eastAsia="仿宋_GB2312" w:hAnsi="仿宋_GB2312" w:hint="eastAsia"/>
          <w:sz w:val="32"/>
          <w:szCs w:val="32"/>
        </w:rPr>
        <w:t>细则</w:t>
      </w:r>
      <w:r>
        <w:rPr>
          <w:rFonts w:ascii="仿宋_GB2312" w:cs="仿宋_GB2312" w:eastAsia="仿宋_GB2312" w:hAnsi="仿宋_GB2312" w:hint="eastAsia"/>
          <w:sz w:val="32"/>
          <w:szCs w:val="32"/>
        </w:rPr>
        <w:t>，组织自我评价，填报自评分数，并</w:t>
      </w:r>
      <w:r>
        <w:rPr>
          <w:rFonts w:ascii="仿宋_GB2312" w:cs="仿宋_GB2312" w:eastAsia="仿宋_GB2312" w:hAnsi="仿宋_GB2312" w:hint="eastAsia"/>
          <w:sz w:val="32"/>
          <w:szCs w:val="32"/>
        </w:rPr>
        <w:t>附主要</w:t>
      </w:r>
      <w:r>
        <w:rPr>
          <w:rFonts w:ascii="仿宋_GB2312" w:cs="仿宋_GB2312" w:eastAsia="仿宋_GB2312" w:hAnsi="仿宋_GB2312" w:hint="eastAsia"/>
          <w:sz w:val="32"/>
          <w:szCs w:val="32"/>
        </w:rPr>
        <w:t>佐证材料。</w:t>
      </w:r>
    </w:p>
    <w:p>
      <w:pPr>
        <w:pStyle w:val="style0"/>
        <w:spacing w:lineRule="exact" w:line="560"/>
        <w:ind w:firstLine="643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（二）组织评分。</w:t>
      </w:r>
      <w:r>
        <w:rPr>
          <w:rFonts w:ascii="仿宋_GB2312" w:cs="仿宋_GB2312" w:eastAsia="仿宋_GB2312" w:hAnsi="仿宋_GB2312" w:hint="eastAsia"/>
          <w:sz w:val="32"/>
          <w:szCs w:val="32"/>
        </w:rPr>
        <w:t>市发展和</w:t>
      </w:r>
      <w:r>
        <w:rPr>
          <w:rFonts w:ascii="仿宋_GB2312" w:cs="仿宋_GB2312" w:eastAsia="仿宋_GB2312" w:hAnsi="仿宋_GB2312" w:hint="eastAsia"/>
          <w:sz w:val="32"/>
          <w:szCs w:val="32"/>
        </w:rPr>
        <w:t>改革局</w:t>
      </w:r>
      <w:r>
        <w:rPr>
          <w:rFonts w:ascii="仿宋_GB2312" w:cs="仿宋_GB2312" w:eastAsia="仿宋_GB2312" w:hAnsi="仿宋_GB2312" w:hint="eastAsia"/>
          <w:sz w:val="32"/>
          <w:szCs w:val="32"/>
        </w:rPr>
        <w:t>会同有关部门</w:t>
      </w:r>
      <w:r>
        <w:rPr>
          <w:rFonts w:ascii="仿宋_GB2312" w:cs="仿宋_GB2312" w:eastAsia="仿宋_GB2312" w:hAnsi="仿宋_GB2312" w:hint="eastAsia"/>
          <w:sz w:val="32"/>
          <w:szCs w:val="32"/>
        </w:rPr>
        <w:t>根据中央预算内投资项目的申报及资金下达情况，按考核细则逐项进行评分与排名，必要时须查证相关佐证材料。</w:t>
      </w:r>
    </w:p>
    <w:p>
      <w:pPr>
        <w:pStyle w:val="style0"/>
        <w:numPr>
          <w:ilvl w:val="0"/>
          <w:numId w:val="1"/>
        </w:numPr>
        <w:spacing w:lineRule="exact" w:line="5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压实责任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市发展和改革局将定期通报中央预算内投资储备项目的储备、申报、前期工作推进及获批资金情况，对行动积极、成效明显的</w:t>
      </w:r>
      <w:r>
        <w:rPr>
          <w:rFonts w:ascii="仿宋_GB2312" w:cs="仿宋_GB2312" w:eastAsia="仿宋_GB2312" w:hAnsi="仿宋_GB2312" w:hint="eastAsia"/>
          <w:sz w:val="32"/>
          <w:szCs w:val="32"/>
        </w:rPr>
        <w:t>县（市、区）</w:t>
      </w:r>
      <w:r>
        <w:rPr>
          <w:rFonts w:ascii="仿宋_GB2312" w:cs="仿宋_GB2312" w:eastAsia="仿宋_GB2312" w:hAnsi="仿宋_GB2312" w:hint="eastAsia"/>
          <w:sz w:val="32"/>
          <w:szCs w:val="32"/>
        </w:rPr>
        <w:t>和</w:t>
      </w:r>
      <w:r>
        <w:rPr>
          <w:rFonts w:ascii="仿宋_GB2312" w:cs="仿宋_GB2312" w:eastAsia="仿宋_GB2312" w:hAnsi="仿宋_GB2312" w:hint="eastAsia"/>
          <w:sz w:val="32"/>
          <w:szCs w:val="32"/>
        </w:rPr>
        <w:t>市直</w:t>
      </w:r>
      <w:r>
        <w:rPr>
          <w:rFonts w:ascii="仿宋_GB2312" w:cs="仿宋_GB2312" w:eastAsia="仿宋_GB2312" w:hAnsi="仿宋_GB2312" w:hint="eastAsia"/>
          <w:sz w:val="32"/>
          <w:szCs w:val="32"/>
        </w:rPr>
        <w:t>单位</w:t>
      </w:r>
      <w:r>
        <w:rPr>
          <w:rFonts w:ascii="仿宋_GB2312" w:cs="仿宋_GB2312" w:eastAsia="仿宋_GB2312" w:hAnsi="仿宋_GB2312" w:hint="eastAsia"/>
          <w:sz w:val="32"/>
          <w:szCs w:val="32"/>
        </w:rPr>
        <w:t>、个人给予通报表扬;对拖沓缓慢、成效不佳的</w:t>
      </w:r>
      <w:r>
        <w:rPr>
          <w:rFonts w:ascii="仿宋_GB2312" w:cs="仿宋_GB2312" w:eastAsia="仿宋_GB2312" w:hAnsi="仿宋_GB2312" w:hint="eastAsia"/>
          <w:sz w:val="32"/>
          <w:szCs w:val="32"/>
        </w:rPr>
        <w:t>县（市、区）和市直单位</w:t>
      </w:r>
      <w:r>
        <w:rPr>
          <w:rFonts w:ascii="仿宋_GB2312" w:cs="仿宋_GB2312" w:eastAsia="仿宋_GB2312" w:hAnsi="仿宋_GB2312" w:hint="eastAsia"/>
          <w:sz w:val="32"/>
          <w:szCs w:val="32"/>
        </w:rPr>
        <w:t>、个人进行通报批评</w:t>
      </w:r>
      <w:r>
        <w:rPr>
          <w:rFonts w:ascii="仿宋_GB2312" w:cs="仿宋_GB2312" w:eastAsia="仿宋_GB2312" w:hAnsi="仿宋_GB2312" w:hint="eastAsia"/>
          <w:sz w:val="32"/>
          <w:szCs w:val="32"/>
        </w:rPr>
        <w:t>；</w:t>
      </w:r>
      <w:r>
        <w:rPr>
          <w:rFonts w:ascii="仿宋_GB2312" w:cs="仿宋_GB2312" w:eastAsia="仿宋_GB2312" w:hAnsi="仿宋_GB2312" w:hint="eastAsia"/>
          <w:sz w:val="32"/>
          <w:szCs w:val="32"/>
        </w:rPr>
        <w:t>对不作为、慢作为</w:t>
      </w:r>
      <w:r>
        <w:rPr>
          <w:rFonts w:ascii="仿宋_GB2312" w:cs="仿宋_GB2312" w:eastAsia="仿宋_GB2312" w:hAnsi="仿宋_GB2312" w:hint="eastAsia"/>
          <w:sz w:val="32"/>
          <w:szCs w:val="32"/>
        </w:rPr>
        <w:t>、</w:t>
      </w:r>
      <w:r>
        <w:rPr>
          <w:rFonts w:ascii="仿宋_GB2312" w:cs="仿宋_GB2312" w:eastAsia="仿宋_GB2312" w:hAnsi="仿宋_GB2312" w:hint="eastAsia"/>
          <w:sz w:val="32"/>
          <w:szCs w:val="32"/>
        </w:rPr>
        <w:t>贻误申报时机的</w:t>
      </w:r>
      <w:r>
        <w:rPr>
          <w:rFonts w:ascii="仿宋_GB2312" w:cs="仿宋_GB2312" w:eastAsia="仿宋_GB2312" w:hAnsi="仿宋_GB2312" w:hint="eastAsia"/>
          <w:sz w:val="32"/>
          <w:szCs w:val="32"/>
        </w:rPr>
        <w:t>县（市、区）和市直单位</w:t>
      </w:r>
      <w:r>
        <w:rPr>
          <w:rFonts w:ascii="仿宋_GB2312" w:cs="仿宋_GB2312" w:eastAsia="仿宋_GB2312" w:hAnsi="仿宋_GB2312" w:hint="eastAsia"/>
          <w:sz w:val="32"/>
          <w:szCs w:val="32"/>
        </w:rPr>
        <w:t>、个人，将抄送市主要领导。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建立起“发展改革部门+行业主管部门+项目单位”的协调推进机制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sz w:val="32"/>
          <w:szCs w:val="32"/>
        </w:rPr>
        <w:t>同时</w:t>
      </w:r>
      <w:r>
        <w:rPr>
          <w:rFonts w:ascii="仿宋_GB2312" w:cs="仿宋_GB2312" w:eastAsia="仿宋_GB2312" w:hAnsi="仿宋_GB2312" w:hint="eastAsia"/>
          <w:sz w:val="32"/>
          <w:szCs w:val="32"/>
        </w:rPr>
        <w:t>，</w:t>
      </w:r>
      <w:r>
        <w:rPr>
          <w:rFonts w:ascii="仿宋_GB2312" w:cs="仿宋_GB2312" w:eastAsia="仿宋_GB2312" w:hAnsi="仿宋_GB2312" w:hint="eastAsia"/>
          <w:sz w:val="32"/>
          <w:szCs w:val="32"/>
        </w:rPr>
        <w:t>在发展和改革局内部建立“固定资产投资科+相关业务科室”的工作协同机制，充分发挥各方优势，层层压实各方责任，形成合力，报好、用好、管好中央预算内投资，充分发挥中央预算内投资的引导带动作用，提升中央预算内投资效益。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rPr/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32"/>
      <w:tabs>
        <w:tab w:val="clear" w:pos="8306"/>
      </w:tabs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2CDD373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hybridMultilevel"/>
    <w:tmpl w:val="C3923CAE"/>
    <w:lvl w:ilvl="0" w:tplc="6FE4104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15EC4D7E"/>
    <w:lvl w:ilvl="0" w:tplc="EDE6466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53B23EA8"/>
    <w:lvl w:ilvl="0" w:tplc="9C9E03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94">
    <w:name w:val="Normal (Web)"/>
    <w:basedOn w:val="style0"/>
    <w:next w:val="style94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7">
    <w:name w:val="Strong"/>
    <w:basedOn w:val="style65"/>
    <w:next w:val="style87"/>
    <w:qFormat/>
    <w:rPr>
      <w:b/>
    </w:rPr>
  </w:style>
  <w:style w:type="character" w:customStyle="1" w:styleId="style4097">
    <w:name w:val="页脚 字符"/>
    <w:basedOn w:val="style65"/>
    <w:next w:val="style4097"/>
    <w:link w:val="style32"/>
    <w:qFormat/>
    <w:uiPriority w:val="99"/>
    <w:rPr>
      <w:rFonts w:ascii="Calibri" w:cs="宋体" w:eastAsia="宋体" w:hAnsi="Calibri"/>
      <w:kern w:val="2"/>
      <w:sz w:val="18"/>
      <w:szCs w:val="24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Words>1408</Words>
  <Pages>3</Pages>
  <Characters>1491</Characters>
  <Application>WPS Office</Application>
  <DocSecurity>0</DocSecurity>
  <Paragraphs>35</Paragraphs>
  <ScaleCrop>false</ScaleCrop>
  <LinksUpToDate>false</LinksUpToDate>
  <CharactersWithSpaces>1499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2020-09-25T01:24:00Z</dcterms:created>
  <dc:creator>fgj</dc:creator>
  <lastModifiedBy>ANA-AN00</lastModifiedBy>
  <lastPrinted>2021-11-29T03:38:00Z</lastPrinted>
  <dcterms:modified xsi:type="dcterms:W3CDTF">2021-12-01T07:38:28Z</dcterms:modified>
  <revision>84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