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bCs/>
          <w:sz w:val="44"/>
          <w:szCs w:val="44"/>
        </w:rPr>
      </w:pPr>
    </w:p>
    <w:p>
      <w:pPr>
        <w:spacing w:line="560" w:lineRule="exact"/>
        <w:jc w:val="center"/>
        <w:rPr>
          <w:rFonts w:hint="eastAsia" w:ascii="方正小标宋简体" w:hAnsi="方正小标宋简体" w:eastAsia="方正小标宋简体" w:cs="方正小标宋简体"/>
          <w:bCs/>
          <w:sz w:val="44"/>
          <w:szCs w:val="44"/>
          <w:lang w:eastAsia="zh-CN"/>
        </w:rPr>
      </w:pPr>
      <w:bookmarkStart w:id="0" w:name="_GoBack"/>
      <w:r>
        <w:rPr>
          <w:rFonts w:hint="eastAsia" w:ascii="方正小标宋简体" w:hAnsi="方正小标宋简体" w:eastAsia="方正小标宋简体" w:cs="方正小标宋简体"/>
          <w:bCs/>
          <w:sz w:val="44"/>
          <w:szCs w:val="44"/>
        </w:rPr>
        <w:t>2022年汕尾市中央预算内投资的分配方案</w:t>
      </w:r>
    </w:p>
    <w:p>
      <w:pPr>
        <w:spacing w:line="560" w:lineRule="exact"/>
        <w:ind w:firstLine="420"/>
        <w:jc w:val="center"/>
        <w:rPr>
          <w:rFonts w:ascii="仿宋" w:hAnsi="仿宋" w:eastAsia="仿宋" w:cs="仿宋"/>
          <w:sz w:val="32"/>
          <w:szCs w:val="32"/>
        </w:rPr>
      </w:pPr>
    </w:p>
    <w:p>
      <w:pPr>
        <w:spacing w:line="560" w:lineRule="exact"/>
        <w:ind w:firstLine="420"/>
        <w:jc w:val="center"/>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对于2022年中央预算内投资的</w:t>
      </w:r>
      <w:r>
        <w:rPr>
          <w:rFonts w:ascii="仿宋" w:hAnsi="仿宋" w:eastAsia="仿宋" w:cs="仿宋"/>
          <w:sz w:val="32"/>
          <w:szCs w:val="32"/>
        </w:rPr>
        <w:t>4</w:t>
      </w:r>
      <w:r>
        <w:rPr>
          <w:rFonts w:hint="eastAsia" w:ascii="仿宋" w:hAnsi="仿宋" w:eastAsia="仿宋" w:cs="仿宋"/>
          <w:sz w:val="32"/>
          <w:szCs w:val="32"/>
        </w:rPr>
        <w:t>亿元计划，综合考虑申报领域的对口性、申报资金的可得性、量化考核的可操作性等因素，以及借鉴周边城市的有益经验，经过测算，水利工程投资为</w:t>
      </w:r>
      <w:r>
        <w:rPr>
          <w:rFonts w:ascii="仿宋" w:hAnsi="仿宋" w:eastAsia="仿宋" w:cs="仿宋"/>
          <w:sz w:val="32"/>
          <w:szCs w:val="32"/>
        </w:rPr>
        <w:t>8</w:t>
      </w:r>
      <w:r>
        <w:rPr>
          <w:rFonts w:hint="eastAsia" w:ascii="仿宋" w:hAnsi="仿宋" w:eastAsia="仿宋" w:cs="仿宋"/>
          <w:sz w:val="32"/>
          <w:szCs w:val="32"/>
        </w:rPr>
        <w:t>000万元，教育强国推进工程为5</w:t>
      </w:r>
      <w:r>
        <w:rPr>
          <w:rFonts w:ascii="仿宋" w:hAnsi="仿宋" w:eastAsia="仿宋" w:cs="仿宋"/>
          <w:sz w:val="32"/>
          <w:szCs w:val="32"/>
        </w:rPr>
        <w:t>4</w:t>
      </w:r>
      <w:r>
        <w:rPr>
          <w:rFonts w:hint="eastAsia" w:ascii="仿宋" w:hAnsi="仿宋" w:eastAsia="仿宋" w:cs="仿宋"/>
          <w:sz w:val="32"/>
          <w:szCs w:val="32"/>
        </w:rPr>
        <w:t>00万元，医疗卫生体系为5</w:t>
      </w:r>
      <w:r>
        <w:rPr>
          <w:rFonts w:ascii="仿宋" w:hAnsi="仿宋" w:eastAsia="仿宋" w:cs="仿宋"/>
          <w:sz w:val="32"/>
          <w:szCs w:val="32"/>
        </w:rPr>
        <w:t>4</w:t>
      </w:r>
      <w:r>
        <w:rPr>
          <w:rFonts w:hint="eastAsia" w:ascii="仿宋" w:hAnsi="仿宋" w:eastAsia="仿宋" w:cs="仿宋"/>
          <w:sz w:val="32"/>
          <w:szCs w:val="32"/>
        </w:rPr>
        <w:t>00万元，保障性安居工程为4</w:t>
      </w:r>
      <w:r>
        <w:rPr>
          <w:rFonts w:ascii="仿宋" w:hAnsi="仿宋" w:eastAsia="仿宋" w:cs="仿宋"/>
          <w:sz w:val="32"/>
          <w:szCs w:val="32"/>
        </w:rPr>
        <w:t>600</w:t>
      </w:r>
      <w:r>
        <w:rPr>
          <w:rFonts w:hint="eastAsia" w:ascii="仿宋" w:hAnsi="仿宋" w:eastAsia="仿宋" w:cs="仿宋"/>
          <w:sz w:val="32"/>
          <w:szCs w:val="32"/>
        </w:rPr>
        <w:t>万元，排水设施建设为</w:t>
      </w:r>
      <w:r>
        <w:rPr>
          <w:rFonts w:ascii="仿宋" w:hAnsi="仿宋" w:eastAsia="仿宋" w:cs="仿宋"/>
          <w:sz w:val="32"/>
          <w:szCs w:val="32"/>
        </w:rPr>
        <w:t>4600</w:t>
      </w:r>
      <w:r>
        <w:rPr>
          <w:rFonts w:hint="eastAsia" w:ascii="仿宋" w:hAnsi="仿宋" w:eastAsia="仿宋" w:cs="仿宋"/>
          <w:sz w:val="32"/>
          <w:szCs w:val="32"/>
        </w:rPr>
        <w:t>万元，污染治理和节能减碳、人口老龄化工程和托育建设项目、城乡冷链和国家物流枢纽建设、社会服务设施兜底线工程、文化保护传承利用工程、粮食等重要农产品仓储设施、教育强国推进工程（公共实训基地建设方向）、全民健身设施补短板工程、新一代信息基础设施领域和农业领域分别为</w:t>
      </w:r>
      <w:r>
        <w:rPr>
          <w:rFonts w:ascii="仿宋" w:hAnsi="仿宋" w:eastAsia="仿宋" w:cs="仿宋"/>
          <w:sz w:val="32"/>
          <w:szCs w:val="32"/>
        </w:rPr>
        <w:t>12</w:t>
      </w:r>
      <w:r>
        <w:rPr>
          <w:rFonts w:hint="eastAsia" w:ascii="仿宋" w:hAnsi="仿宋" w:eastAsia="仿宋" w:cs="仿宋"/>
          <w:sz w:val="32"/>
          <w:szCs w:val="32"/>
        </w:rPr>
        <w:t>00万元，合计为4亿元（表1）。</w:t>
      </w:r>
    </w:p>
    <w:p>
      <w:pPr>
        <w:spacing w:line="560" w:lineRule="exact"/>
        <w:ind w:firstLine="640" w:firstLineChars="200"/>
        <w:rPr>
          <w:rFonts w:ascii="Times New Roman" w:hAnsi="Times New Roman" w:eastAsia="仿宋"/>
          <w:sz w:val="32"/>
          <w:szCs w:val="32"/>
        </w:rPr>
      </w:pPr>
      <w:r>
        <w:rPr>
          <w:rFonts w:hint="eastAsia" w:ascii="仿宋" w:hAnsi="仿宋" w:eastAsia="仿宋" w:cs="仿宋"/>
          <w:sz w:val="32"/>
          <w:szCs w:val="32"/>
        </w:rPr>
        <w:t>考虑到市直责任单位和县（市、区）的项目申报、任务分配等方面可能存在着交叉重叠，对此，采用专家咨询法，先将中央预算内投资的</w:t>
      </w:r>
      <w:r>
        <w:rPr>
          <w:rFonts w:ascii="仿宋" w:hAnsi="仿宋" w:eastAsia="仿宋" w:cs="仿宋"/>
          <w:sz w:val="32"/>
          <w:szCs w:val="32"/>
        </w:rPr>
        <w:t>4</w:t>
      </w:r>
      <w:r>
        <w:rPr>
          <w:rFonts w:hint="eastAsia" w:ascii="仿宋" w:hAnsi="仿宋" w:eastAsia="仿宋" w:cs="仿宋"/>
          <w:sz w:val="32"/>
          <w:szCs w:val="32"/>
        </w:rPr>
        <w:t>亿元分配给市直责任单位，再将</w:t>
      </w:r>
      <w:r>
        <w:rPr>
          <w:rFonts w:ascii="仿宋" w:hAnsi="仿宋" w:eastAsia="仿宋" w:cs="仿宋"/>
          <w:sz w:val="32"/>
          <w:szCs w:val="32"/>
        </w:rPr>
        <w:t>4</w:t>
      </w:r>
      <w:r>
        <w:rPr>
          <w:rFonts w:hint="eastAsia" w:ascii="仿宋" w:hAnsi="仿宋" w:eastAsia="仿宋" w:cs="仿宋"/>
          <w:sz w:val="32"/>
          <w:szCs w:val="32"/>
        </w:rPr>
        <w:t>亿元分配给各县（市、区）。最终进行考核时，若市直责任单位作为行业主管部门或指导部门，协同或督导县（市、区）相关部门去争取中央预算内投资资金，则同时记为市直责任单位和县（市、区）的任务完成量，以提高两者协同推进的积极性，避免无储备或无申报项目的市直责任单位陷入消极</w:t>
      </w:r>
      <w:r>
        <w:rPr>
          <w:rFonts w:hint="eastAsia" w:ascii="Times New Roman" w:hAnsi="Times New Roman" w:eastAsia="仿宋"/>
          <w:sz w:val="32"/>
          <w:szCs w:val="32"/>
        </w:rPr>
        <w:t>被动。</w:t>
      </w:r>
    </w:p>
    <w:p>
      <w:pPr>
        <w:spacing w:line="560" w:lineRule="exact"/>
        <w:rPr>
          <w:rFonts w:ascii="仿宋" w:hAnsi="仿宋" w:eastAsia="仿宋" w:cs="仿宋"/>
          <w:sz w:val="32"/>
          <w:szCs w:val="32"/>
        </w:rPr>
      </w:pPr>
    </w:p>
    <w:p>
      <w:pPr>
        <w:spacing w:line="280" w:lineRule="exact"/>
        <w:rPr>
          <w:rFonts w:ascii="仿宋" w:hAnsi="仿宋" w:eastAsia="仿宋" w:cs="仿宋"/>
          <w:sz w:val="32"/>
          <w:szCs w:val="32"/>
        </w:rPr>
      </w:pPr>
    </w:p>
    <w:p>
      <w:pPr>
        <w:spacing w:line="280" w:lineRule="exact"/>
        <w:ind w:firstLine="420" w:firstLineChars="200"/>
        <w:jc w:val="center"/>
        <w:rPr>
          <w:rFonts w:ascii="Times New Roman" w:hAnsi="Times New Roman" w:eastAsia="仿宋"/>
          <w:szCs w:val="21"/>
        </w:rPr>
      </w:pPr>
      <w:r>
        <w:rPr>
          <w:rFonts w:hint="eastAsia" w:ascii="Times New Roman" w:hAnsi="Times New Roman" w:eastAsia="仿宋"/>
          <w:szCs w:val="21"/>
        </w:rPr>
        <w:t>表1</w:t>
      </w:r>
      <w:r>
        <w:rPr>
          <w:rFonts w:ascii="Times New Roman" w:hAnsi="Times New Roman" w:eastAsia="仿宋"/>
          <w:szCs w:val="21"/>
        </w:rPr>
        <w:t xml:space="preserve"> 2022</w:t>
      </w:r>
      <w:r>
        <w:rPr>
          <w:rFonts w:hint="eastAsia" w:ascii="Times New Roman" w:hAnsi="Times New Roman" w:eastAsia="仿宋"/>
          <w:szCs w:val="21"/>
        </w:rPr>
        <w:t>年汕尾市各申报领域的中央预算内投资的分配方案</w:t>
      </w:r>
    </w:p>
    <w:tbl>
      <w:tblPr>
        <w:tblStyle w:val="4"/>
        <w:tblW w:w="8788" w:type="dxa"/>
        <w:jc w:val="center"/>
        <w:tblLayout w:type="fixed"/>
        <w:tblCellMar>
          <w:top w:w="0" w:type="dxa"/>
          <w:left w:w="108" w:type="dxa"/>
          <w:bottom w:w="0" w:type="dxa"/>
          <w:right w:w="108" w:type="dxa"/>
        </w:tblCellMar>
      </w:tblPr>
      <w:tblGrid>
        <w:gridCol w:w="1843"/>
        <w:gridCol w:w="5811"/>
        <w:gridCol w:w="1134"/>
      </w:tblGrid>
      <w:tr>
        <w:tblPrEx>
          <w:tblCellMar>
            <w:top w:w="0" w:type="dxa"/>
            <w:left w:w="108" w:type="dxa"/>
            <w:bottom w:w="0" w:type="dxa"/>
            <w:right w:w="108" w:type="dxa"/>
          </w:tblCellMar>
        </w:tblPrEx>
        <w:trPr>
          <w:trHeight w:val="280" w:hRule="atLeast"/>
          <w:jc w:val="center"/>
        </w:trPr>
        <w:tc>
          <w:tcPr>
            <w:tcW w:w="1843" w:type="dxa"/>
            <w:tcBorders>
              <w:top w:val="single" w:color="auto" w:sz="4" w:space="0"/>
              <w:left w:val="nil"/>
              <w:bottom w:val="single" w:color="auto" w:sz="4" w:space="0"/>
              <w:right w:val="nil"/>
            </w:tcBorders>
            <w:shd w:val="clear" w:color="auto" w:fill="auto"/>
            <w:noWrap/>
            <w:vAlign w:val="center"/>
          </w:tcPr>
          <w:p>
            <w:pPr>
              <w:widowControl/>
              <w:spacing w:line="280" w:lineRule="exact"/>
              <w:jc w:val="center"/>
              <w:rPr>
                <w:rFonts w:ascii="Times New Roman" w:hAnsi="Times New Roman" w:eastAsia="仿宋" w:cs="宋体"/>
                <w:color w:val="000000"/>
                <w:kern w:val="0"/>
                <w:szCs w:val="21"/>
              </w:rPr>
            </w:pPr>
            <w:r>
              <w:rPr>
                <w:rFonts w:hint="eastAsia" w:ascii="Times New Roman" w:hAnsi="Times New Roman" w:eastAsia="仿宋" w:cs="宋体"/>
                <w:color w:val="000000"/>
                <w:kern w:val="0"/>
                <w:szCs w:val="21"/>
              </w:rPr>
              <w:t>申报领域</w:t>
            </w:r>
          </w:p>
        </w:tc>
        <w:tc>
          <w:tcPr>
            <w:tcW w:w="5811" w:type="dxa"/>
            <w:tcBorders>
              <w:top w:val="single" w:color="auto" w:sz="4" w:space="0"/>
              <w:left w:val="nil"/>
              <w:bottom w:val="single" w:color="auto" w:sz="4" w:space="0"/>
              <w:right w:val="nil"/>
            </w:tcBorders>
            <w:vAlign w:val="center"/>
          </w:tcPr>
          <w:p>
            <w:pPr>
              <w:widowControl/>
              <w:spacing w:line="280" w:lineRule="exact"/>
              <w:jc w:val="center"/>
              <w:rPr>
                <w:rFonts w:ascii="Times New Roman" w:hAnsi="Times New Roman" w:eastAsia="仿宋" w:cs="宋体"/>
                <w:color w:val="000000"/>
                <w:kern w:val="0"/>
                <w:szCs w:val="21"/>
              </w:rPr>
            </w:pPr>
            <w:r>
              <w:rPr>
                <w:rFonts w:hint="eastAsia" w:ascii="Times New Roman" w:hAnsi="Times New Roman" w:eastAsia="仿宋" w:cs="宋体"/>
                <w:color w:val="000000"/>
                <w:kern w:val="0"/>
                <w:szCs w:val="21"/>
              </w:rPr>
              <w:t>具体板块</w:t>
            </w:r>
          </w:p>
        </w:tc>
        <w:tc>
          <w:tcPr>
            <w:tcW w:w="1134" w:type="dxa"/>
            <w:tcBorders>
              <w:top w:val="single" w:color="auto" w:sz="4" w:space="0"/>
              <w:left w:val="nil"/>
              <w:bottom w:val="single" w:color="auto" w:sz="4" w:space="0"/>
              <w:right w:val="nil"/>
            </w:tcBorders>
            <w:shd w:val="clear" w:color="auto" w:fill="auto"/>
            <w:noWrap/>
            <w:vAlign w:val="bottom"/>
          </w:tcPr>
          <w:p>
            <w:pPr>
              <w:widowControl/>
              <w:spacing w:line="280" w:lineRule="exact"/>
              <w:jc w:val="center"/>
              <w:rPr>
                <w:rFonts w:ascii="Times New Roman" w:hAnsi="Times New Roman" w:eastAsia="仿宋" w:cs="宋体"/>
                <w:color w:val="000000"/>
                <w:kern w:val="0"/>
                <w:szCs w:val="21"/>
              </w:rPr>
            </w:pPr>
            <w:r>
              <w:rPr>
                <w:rFonts w:hint="eastAsia" w:ascii="Times New Roman" w:hAnsi="Times New Roman" w:eastAsia="仿宋" w:cs="宋体"/>
                <w:color w:val="000000"/>
                <w:kern w:val="0"/>
                <w:szCs w:val="21"/>
              </w:rPr>
              <w:t>分配金额(万元</w:t>
            </w:r>
            <w:r>
              <w:rPr>
                <w:rFonts w:ascii="Times New Roman" w:hAnsi="Times New Roman" w:eastAsia="仿宋" w:cs="宋体"/>
                <w:color w:val="000000"/>
                <w:kern w:val="0"/>
                <w:szCs w:val="21"/>
              </w:rPr>
              <w:t>)</w:t>
            </w:r>
          </w:p>
        </w:tc>
      </w:tr>
      <w:tr>
        <w:tblPrEx>
          <w:tblCellMar>
            <w:top w:w="0" w:type="dxa"/>
            <w:left w:w="108" w:type="dxa"/>
            <w:bottom w:w="0" w:type="dxa"/>
            <w:right w:w="108" w:type="dxa"/>
          </w:tblCellMar>
        </w:tblPrEx>
        <w:trPr>
          <w:trHeight w:val="280" w:hRule="atLeast"/>
          <w:jc w:val="center"/>
        </w:trPr>
        <w:tc>
          <w:tcPr>
            <w:tcW w:w="1843" w:type="dxa"/>
            <w:tcBorders>
              <w:top w:val="nil"/>
              <w:left w:val="nil"/>
              <w:bottom w:val="nil"/>
              <w:right w:val="nil"/>
            </w:tcBorders>
            <w:shd w:val="clear" w:color="auto" w:fill="auto"/>
            <w:noWrap/>
            <w:vAlign w:val="center"/>
          </w:tcPr>
          <w:p>
            <w:pPr>
              <w:widowControl/>
              <w:spacing w:line="280" w:lineRule="exact"/>
              <w:jc w:val="left"/>
              <w:rPr>
                <w:rFonts w:ascii="Times New Roman" w:hAnsi="Times New Roman" w:eastAsia="仿宋" w:cs="宋体"/>
                <w:color w:val="000000"/>
                <w:kern w:val="0"/>
                <w:szCs w:val="21"/>
              </w:rPr>
            </w:pPr>
            <w:r>
              <w:rPr>
                <w:rFonts w:hint="eastAsia" w:ascii="Times New Roman" w:hAnsi="Times New Roman" w:eastAsia="仿宋" w:cs="宋体"/>
                <w:bCs/>
                <w:color w:val="000000"/>
                <w:kern w:val="0"/>
                <w:szCs w:val="21"/>
              </w:rPr>
              <w:t>水利工程投资</w:t>
            </w:r>
          </w:p>
        </w:tc>
        <w:tc>
          <w:tcPr>
            <w:tcW w:w="5811" w:type="dxa"/>
            <w:tcBorders>
              <w:top w:val="nil"/>
              <w:left w:val="nil"/>
              <w:bottom w:val="nil"/>
              <w:right w:val="nil"/>
            </w:tcBorders>
            <w:vAlign w:val="center"/>
          </w:tcPr>
          <w:p>
            <w:pPr>
              <w:widowControl/>
              <w:spacing w:line="280" w:lineRule="exact"/>
              <w:jc w:val="left"/>
              <w:rPr>
                <w:rFonts w:ascii="Times New Roman" w:hAnsi="Times New Roman" w:eastAsia="仿宋" w:cs="宋体"/>
                <w:color w:val="000000"/>
                <w:kern w:val="0"/>
                <w:szCs w:val="21"/>
              </w:rPr>
            </w:pPr>
            <w:r>
              <w:rPr>
                <w:rFonts w:hint="eastAsia" w:ascii="Times New Roman" w:hAnsi="Times New Roman" w:eastAsia="仿宋" w:cs="宋体"/>
                <w:color w:val="000000"/>
                <w:kern w:val="0"/>
                <w:szCs w:val="21"/>
              </w:rPr>
              <w:t>重大水资源配置工程；水安全保障工程专项，包括中小河流治理和重点区域排涝、大中型病险水库除险加固、中型水库、淤地坝及坡耕地综合治理、水文基础设施、永定河等重点水生态治理</w:t>
            </w:r>
          </w:p>
        </w:tc>
        <w:tc>
          <w:tcPr>
            <w:tcW w:w="1134" w:type="dxa"/>
            <w:tcBorders>
              <w:top w:val="nil"/>
              <w:left w:val="nil"/>
              <w:bottom w:val="nil"/>
              <w:right w:val="nil"/>
            </w:tcBorders>
            <w:shd w:val="clear" w:color="auto" w:fill="auto"/>
            <w:noWrap/>
            <w:vAlign w:val="center"/>
          </w:tcPr>
          <w:p>
            <w:pPr>
              <w:widowControl/>
              <w:spacing w:line="280" w:lineRule="exact"/>
              <w:jc w:val="center"/>
              <w:rPr>
                <w:rFonts w:ascii="Times New Roman" w:hAnsi="Times New Roman" w:eastAsia="仿宋" w:cs="宋体"/>
                <w:color w:val="000000"/>
                <w:kern w:val="0"/>
                <w:szCs w:val="21"/>
              </w:rPr>
            </w:pPr>
            <w:r>
              <w:rPr>
                <w:rFonts w:ascii="Times New Roman" w:hAnsi="Times New Roman" w:eastAsia="仿宋" w:cs="宋体"/>
                <w:color w:val="000000"/>
                <w:kern w:val="0"/>
                <w:szCs w:val="21"/>
              </w:rPr>
              <w:t>8</w:t>
            </w:r>
            <w:r>
              <w:rPr>
                <w:rFonts w:hint="eastAsia" w:ascii="Times New Roman" w:hAnsi="Times New Roman" w:eastAsia="仿宋" w:cs="宋体"/>
                <w:color w:val="000000"/>
                <w:kern w:val="0"/>
                <w:szCs w:val="21"/>
              </w:rPr>
              <w:t>000</w:t>
            </w:r>
          </w:p>
        </w:tc>
      </w:tr>
      <w:tr>
        <w:tblPrEx>
          <w:tblCellMar>
            <w:top w:w="0" w:type="dxa"/>
            <w:left w:w="108" w:type="dxa"/>
            <w:bottom w:w="0" w:type="dxa"/>
            <w:right w:w="108" w:type="dxa"/>
          </w:tblCellMar>
        </w:tblPrEx>
        <w:trPr>
          <w:trHeight w:val="280" w:hRule="atLeast"/>
          <w:jc w:val="center"/>
        </w:trPr>
        <w:tc>
          <w:tcPr>
            <w:tcW w:w="1843" w:type="dxa"/>
            <w:tcBorders>
              <w:top w:val="nil"/>
              <w:left w:val="nil"/>
              <w:bottom w:val="nil"/>
              <w:right w:val="nil"/>
            </w:tcBorders>
            <w:shd w:val="clear" w:color="auto" w:fill="auto"/>
            <w:noWrap/>
            <w:vAlign w:val="center"/>
          </w:tcPr>
          <w:p>
            <w:pPr>
              <w:widowControl/>
              <w:spacing w:line="280" w:lineRule="exact"/>
              <w:jc w:val="left"/>
              <w:rPr>
                <w:rFonts w:ascii="Times New Roman" w:hAnsi="Times New Roman" w:eastAsia="仿宋" w:cs="宋体"/>
                <w:color w:val="000000"/>
                <w:kern w:val="0"/>
                <w:szCs w:val="21"/>
              </w:rPr>
            </w:pPr>
            <w:r>
              <w:rPr>
                <w:rFonts w:hint="eastAsia" w:ascii="Times New Roman" w:hAnsi="Times New Roman" w:eastAsia="仿宋" w:cs="宋体"/>
                <w:bCs/>
                <w:color w:val="000000"/>
                <w:kern w:val="0"/>
                <w:szCs w:val="21"/>
              </w:rPr>
              <w:t>教育强国推进工程</w:t>
            </w:r>
          </w:p>
        </w:tc>
        <w:tc>
          <w:tcPr>
            <w:tcW w:w="5811" w:type="dxa"/>
            <w:tcBorders>
              <w:top w:val="nil"/>
              <w:left w:val="nil"/>
              <w:bottom w:val="nil"/>
              <w:right w:val="nil"/>
            </w:tcBorders>
            <w:vAlign w:val="center"/>
          </w:tcPr>
          <w:p>
            <w:pPr>
              <w:widowControl/>
              <w:spacing w:line="280" w:lineRule="exact"/>
              <w:jc w:val="left"/>
              <w:rPr>
                <w:rFonts w:ascii="Times New Roman" w:hAnsi="Times New Roman" w:eastAsia="仿宋" w:cs="宋体"/>
                <w:color w:val="000000"/>
                <w:kern w:val="0"/>
                <w:szCs w:val="21"/>
              </w:rPr>
            </w:pPr>
            <w:r>
              <w:rPr>
                <w:rFonts w:hint="eastAsia" w:ascii="Times New Roman" w:hAnsi="Times New Roman" w:eastAsia="仿宋" w:cs="宋体"/>
                <w:color w:val="000000"/>
                <w:kern w:val="0"/>
                <w:szCs w:val="21"/>
              </w:rPr>
              <w:t>职业院校、应用型本科高校、优质医学和师范院校建设</w:t>
            </w:r>
          </w:p>
        </w:tc>
        <w:tc>
          <w:tcPr>
            <w:tcW w:w="1134" w:type="dxa"/>
            <w:tcBorders>
              <w:top w:val="nil"/>
              <w:left w:val="nil"/>
              <w:bottom w:val="nil"/>
              <w:right w:val="nil"/>
            </w:tcBorders>
            <w:shd w:val="clear" w:color="auto" w:fill="auto"/>
            <w:noWrap/>
            <w:vAlign w:val="center"/>
          </w:tcPr>
          <w:p>
            <w:pPr>
              <w:widowControl/>
              <w:spacing w:line="280" w:lineRule="exact"/>
              <w:jc w:val="center"/>
              <w:rPr>
                <w:rFonts w:ascii="Times New Roman" w:hAnsi="Times New Roman" w:eastAsia="仿宋" w:cs="宋体"/>
                <w:color w:val="000000"/>
                <w:kern w:val="0"/>
                <w:szCs w:val="21"/>
              </w:rPr>
            </w:pPr>
            <w:r>
              <w:rPr>
                <w:rFonts w:ascii="Times New Roman" w:hAnsi="Times New Roman" w:eastAsia="仿宋" w:cs="宋体"/>
                <w:color w:val="000000"/>
                <w:kern w:val="0"/>
                <w:szCs w:val="21"/>
              </w:rPr>
              <w:t>54</w:t>
            </w:r>
            <w:r>
              <w:rPr>
                <w:rFonts w:hint="eastAsia" w:ascii="Times New Roman" w:hAnsi="Times New Roman" w:eastAsia="仿宋" w:cs="宋体"/>
                <w:color w:val="000000"/>
                <w:kern w:val="0"/>
                <w:szCs w:val="21"/>
              </w:rPr>
              <w:t>00</w:t>
            </w:r>
          </w:p>
        </w:tc>
      </w:tr>
      <w:tr>
        <w:tblPrEx>
          <w:tblCellMar>
            <w:top w:w="0" w:type="dxa"/>
            <w:left w:w="108" w:type="dxa"/>
            <w:bottom w:w="0" w:type="dxa"/>
            <w:right w:w="108" w:type="dxa"/>
          </w:tblCellMar>
        </w:tblPrEx>
        <w:trPr>
          <w:trHeight w:val="280" w:hRule="atLeast"/>
          <w:jc w:val="center"/>
        </w:trPr>
        <w:tc>
          <w:tcPr>
            <w:tcW w:w="1843" w:type="dxa"/>
            <w:tcBorders>
              <w:top w:val="nil"/>
              <w:left w:val="nil"/>
              <w:bottom w:val="nil"/>
              <w:right w:val="nil"/>
            </w:tcBorders>
            <w:shd w:val="clear" w:color="auto" w:fill="auto"/>
            <w:noWrap/>
            <w:vAlign w:val="center"/>
          </w:tcPr>
          <w:p>
            <w:pPr>
              <w:widowControl/>
              <w:spacing w:line="280" w:lineRule="exact"/>
              <w:jc w:val="left"/>
              <w:rPr>
                <w:rFonts w:ascii="Times New Roman" w:hAnsi="Times New Roman" w:eastAsia="仿宋" w:cs="宋体"/>
                <w:color w:val="000000"/>
                <w:kern w:val="0"/>
                <w:szCs w:val="21"/>
              </w:rPr>
            </w:pPr>
            <w:r>
              <w:rPr>
                <w:rFonts w:hint="eastAsia" w:ascii="Times New Roman" w:hAnsi="Times New Roman" w:eastAsia="仿宋" w:cs="宋体"/>
                <w:bCs/>
                <w:color w:val="000000"/>
                <w:kern w:val="0"/>
                <w:szCs w:val="21"/>
              </w:rPr>
              <w:t>医疗卫生体系</w:t>
            </w:r>
          </w:p>
        </w:tc>
        <w:tc>
          <w:tcPr>
            <w:tcW w:w="5811" w:type="dxa"/>
            <w:tcBorders>
              <w:top w:val="nil"/>
              <w:left w:val="nil"/>
              <w:bottom w:val="nil"/>
              <w:right w:val="nil"/>
            </w:tcBorders>
            <w:vAlign w:val="center"/>
          </w:tcPr>
          <w:p>
            <w:pPr>
              <w:widowControl/>
              <w:spacing w:line="280" w:lineRule="exact"/>
              <w:jc w:val="left"/>
              <w:rPr>
                <w:rFonts w:ascii="Times New Roman" w:hAnsi="Times New Roman" w:eastAsia="仿宋" w:cs="宋体"/>
                <w:color w:val="000000"/>
                <w:kern w:val="0"/>
                <w:szCs w:val="21"/>
              </w:rPr>
            </w:pPr>
            <w:r>
              <w:rPr>
                <w:rFonts w:hint="eastAsia" w:ascii="Times New Roman" w:hAnsi="Times New Roman" w:eastAsia="仿宋" w:cs="宋体"/>
                <w:color w:val="000000"/>
                <w:kern w:val="0"/>
                <w:szCs w:val="21"/>
              </w:rPr>
              <w:t>现代化疾病预防控制体系建设、县级医院提标扩能建设、妇女儿童健康服务能力建设、促进中医院传承创新工程、</w:t>
            </w:r>
            <w:r>
              <w:rPr>
                <w:rFonts w:ascii="Times New Roman" w:hAnsi="Times New Roman" w:eastAsia="仿宋" w:cs="宋体"/>
                <w:color w:val="000000"/>
                <w:kern w:val="0"/>
                <w:szCs w:val="21"/>
              </w:rPr>
              <w:t xml:space="preserve"> “十三五”疑难病症政治能力提升工程和中医药传承创新工程</w:t>
            </w:r>
          </w:p>
        </w:tc>
        <w:tc>
          <w:tcPr>
            <w:tcW w:w="1134" w:type="dxa"/>
            <w:tcBorders>
              <w:top w:val="nil"/>
              <w:left w:val="nil"/>
              <w:bottom w:val="nil"/>
              <w:right w:val="nil"/>
            </w:tcBorders>
            <w:shd w:val="clear" w:color="auto" w:fill="auto"/>
            <w:noWrap/>
            <w:vAlign w:val="center"/>
          </w:tcPr>
          <w:p>
            <w:pPr>
              <w:widowControl/>
              <w:spacing w:line="280" w:lineRule="exact"/>
              <w:jc w:val="center"/>
              <w:rPr>
                <w:rFonts w:ascii="Times New Roman" w:hAnsi="Times New Roman" w:eastAsia="仿宋" w:cs="宋体"/>
                <w:color w:val="000000"/>
                <w:kern w:val="0"/>
                <w:szCs w:val="21"/>
              </w:rPr>
            </w:pPr>
            <w:r>
              <w:rPr>
                <w:rFonts w:ascii="Times New Roman" w:hAnsi="Times New Roman" w:eastAsia="仿宋" w:cs="宋体"/>
                <w:color w:val="000000"/>
                <w:kern w:val="0"/>
                <w:szCs w:val="21"/>
              </w:rPr>
              <w:t>54</w:t>
            </w:r>
            <w:r>
              <w:rPr>
                <w:rFonts w:hint="eastAsia" w:ascii="Times New Roman" w:hAnsi="Times New Roman" w:eastAsia="仿宋" w:cs="宋体"/>
                <w:color w:val="000000"/>
                <w:kern w:val="0"/>
                <w:szCs w:val="21"/>
              </w:rPr>
              <w:t>00</w:t>
            </w:r>
          </w:p>
        </w:tc>
      </w:tr>
      <w:tr>
        <w:tblPrEx>
          <w:tblCellMar>
            <w:top w:w="0" w:type="dxa"/>
            <w:left w:w="108" w:type="dxa"/>
            <w:bottom w:w="0" w:type="dxa"/>
            <w:right w:w="108" w:type="dxa"/>
          </w:tblCellMar>
        </w:tblPrEx>
        <w:trPr>
          <w:trHeight w:val="280" w:hRule="atLeast"/>
          <w:jc w:val="center"/>
        </w:trPr>
        <w:tc>
          <w:tcPr>
            <w:tcW w:w="1843" w:type="dxa"/>
            <w:tcBorders>
              <w:top w:val="nil"/>
              <w:left w:val="nil"/>
              <w:bottom w:val="nil"/>
              <w:right w:val="nil"/>
            </w:tcBorders>
            <w:shd w:val="clear" w:color="auto" w:fill="auto"/>
            <w:noWrap/>
          </w:tcPr>
          <w:p>
            <w:pPr>
              <w:widowControl/>
              <w:spacing w:line="280" w:lineRule="exact"/>
              <w:jc w:val="left"/>
              <w:rPr>
                <w:rFonts w:ascii="Times New Roman" w:hAnsi="Times New Roman" w:eastAsia="仿宋" w:cs="宋体"/>
                <w:bCs/>
                <w:color w:val="000000"/>
                <w:kern w:val="0"/>
                <w:szCs w:val="21"/>
              </w:rPr>
            </w:pPr>
            <w:r>
              <w:rPr>
                <w:rFonts w:hint="eastAsia" w:ascii="Times New Roman" w:hAnsi="Times New Roman" w:eastAsia="仿宋" w:cs="宋体"/>
                <w:bCs/>
                <w:color w:val="000000"/>
                <w:kern w:val="0"/>
                <w:szCs w:val="21"/>
              </w:rPr>
              <w:t>保障性安居工程</w:t>
            </w:r>
          </w:p>
        </w:tc>
        <w:tc>
          <w:tcPr>
            <w:tcW w:w="5811" w:type="dxa"/>
            <w:tcBorders>
              <w:top w:val="nil"/>
              <w:left w:val="nil"/>
              <w:bottom w:val="nil"/>
              <w:right w:val="nil"/>
            </w:tcBorders>
          </w:tcPr>
          <w:p>
            <w:pPr>
              <w:widowControl/>
              <w:spacing w:line="280" w:lineRule="exact"/>
              <w:jc w:val="left"/>
              <w:rPr>
                <w:rFonts w:ascii="Times New Roman" w:hAnsi="Times New Roman" w:eastAsia="仿宋" w:cs="宋体"/>
                <w:color w:val="000000"/>
                <w:kern w:val="0"/>
                <w:szCs w:val="21"/>
              </w:rPr>
            </w:pPr>
            <w:r>
              <w:rPr>
                <w:rFonts w:ascii="Times New Roman" w:hAnsi="Times New Roman" w:eastAsia="仿宋" w:cs="宋体"/>
                <w:color w:val="000000"/>
                <w:kern w:val="0"/>
                <w:szCs w:val="21"/>
              </w:rPr>
              <w:t>城市、县城（城关镇）老旧小区改造配套基础设施建设</w:t>
            </w:r>
          </w:p>
        </w:tc>
        <w:tc>
          <w:tcPr>
            <w:tcW w:w="1134" w:type="dxa"/>
            <w:tcBorders>
              <w:top w:val="nil"/>
              <w:left w:val="nil"/>
              <w:bottom w:val="nil"/>
              <w:right w:val="nil"/>
            </w:tcBorders>
            <w:shd w:val="clear" w:color="auto" w:fill="auto"/>
            <w:noWrap/>
            <w:vAlign w:val="center"/>
          </w:tcPr>
          <w:p>
            <w:pPr>
              <w:jc w:val="center"/>
              <w:rPr>
                <w:rFonts w:ascii="Times New Roman" w:hAnsi="Times New Roman" w:eastAsia="仿宋" w:cs="宋体"/>
                <w:color w:val="000000"/>
                <w:kern w:val="0"/>
                <w:szCs w:val="21"/>
              </w:rPr>
            </w:pPr>
            <w:r>
              <w:rPr>
                <w:rFonts w:ascii="Times New Roman" w:hAnsi="Times New Roman" w:eastAsia="仿宋" w:cs="宋体"/>
                <w:color w:val="000000"/>
                <w:kern w:val="0"/>
                <w:szCs w:val="21"/>
              </w:rPr>
              <w:t>4600</w:t>
            </w:r>
          </w:p>
        </w:tc>
      </w:tr>
      <w:tr>
        <w:tblPrEx>
          <w:tblCellMar>
            <w:top w:w="0" w:type="dxa"/>
            <w:left w:w="108" w:type="dxa"/>
            <w:bottom w:w="0" w:type="dxa"/>
            <w:right w:w="108" w:type="dxa"/>
          </w:tblCellMar>
        </w:tblPrEx>
        <w:trPr>
          <w:trHeight w:val="280" w:hRule="atLeast"/>
          <w:jc w:val="center"/>
        </w:trPr>
        <w:tc>
          <w:tcPr>
            <w:tcW w:w="1843" w:type="dxa"/>
            <w:tcBorders>
              <w:top w:val="nil"/>
              <w:left w:val="nil"/>
              <w:bottom w:val="nil"/>
              <w:right w:val="nil"/>
            </w:tcBorders>
            <w:shd w:val="clear" w:color="auto" w:fill="auto"/>
            <w:noWrap/>
            <w:vAlign w:val="center"/>
          </w:tcPr>
          <w:p>
            <w:pPr>
              <w:jc w:val="left"/>
              <w:rPr>
                <w:rFonts w:ascii="Times New Roman" w:hAnsi="Times New Roman" w:eastAsia="仿宋" w:cs="宋体"/>
                <w:bCs/>
                <w:color w:val="000000"/>
                <w:kern w:val="0"/>
                <w:szCs w:val="21"/>
              </w:rPr>
            </w:pPr>
            <w:r>
              <w:rPr>
                <w:rFonts w:hint="eastAsia" w:ascii="Times New Roman" w:hAnsi="Times New Roman" w:eastAsia="仿宋" w:cs="宋体"/>
                <w:bCs/>
                <w:color w:val="000000"/>
                <w:kern w:val="0"/>
                <w:szCs w:val="21"/>
              </w:rPr>
              <w:t>排水设施建设</w:t>
            </w:r>
          </w:p>
        </w:tc>
        <w:tc>
          <w:tcPr>
            <w:tcW w:w="5811" w:type="dxa"/>
            <w:tcBorders>
              <w:top w:val="nil"/>
              <w:left w:val="nil"/>
              <w:bottom w:val="nil"/>
              <w:right w:val="nil"/>
            </w:tcBorders>
          </w:tcPr>
          <w:p>
            <w:pPr>
              <w:jc w:val="left"/>
              <w:rPr>
                <w:rFonts w:ascii="Times New Roman" w:hAnsi="Times New Roman" w:eastAsia="仿宋" w:cs="宋体"/>
                <w:bCs/>
                <w:color w:val="000000"/>
                <w:kern w:val="0"/>
                <w:szCs w:val="21"/>
              </w:rPr>
            </w:pPr>
            <w:r>
              <w:rPr>
                <w:rFonts w:ascii="Times New Roman" w:hAnsi="Times New Roman" w:eastAsia="仿宋" w:cs="宋体"/>
                <w:bCs/>
                <w:color w:val="000000"/>
                <w:kern w:val="0"/>
                <w:szCs w:val="21"/>
              </w:rPr>
              <w:t>排水管网建设与改造、泵站建设与改造、排涝通道建设、智慧平台建设</w:t>
            </w:r>
          </w:p>
        </w:tc>
        <w:tc>
          <w:tcPr>
            <w:tcW w:w="1134" w:type="dxa"/>
            <w:tcBorders>
              <w:top w:val="nil"/>
              <w:left w:val="nil"/>
              <w:bottom w:val="nil"/>
              <w:right w:val="nil"/>
            </w:tcBorders>
            <w:shd w:val="clear" w:color="auto" w:fill="auto"/>
            <w:noWrap/>
            <w:vAlign w:val="center"/>
          </w:tcPr>
          <w:p>
            <w:pPr>
              <w:jc w:val="center"/>
              <w:rPr>
                <w:rFonts w:ascii="Times New Roman" w:hAnsi="Times New Roman" w:eastAsia="仿宋" w:cs="宋体"/>
                <w:bCs/>
                <w:color w:val="000000"/>
                <w:kern w:val="0"/>
                <w:szCs w:val="21"/>
              </w:rPr>
            </w:pPr>
            <w:r>
              <w:rPr>
                <w:rFonts w:ascii="Times New Roman" w:hAnsi="Times New Roman" w:eastAsia="仿宋" w:cs="宋体"/>
                <w:bCs/>
                <w:color w:val="000000"/>
                <w:kern w:val="0"/>
                <w:szCs w:val="21"/>
              </w:rPr>
              <w:t>4600</w:t>
            </w:r>
          </w:p>
        </w:tc>
      </w:tr>
      <w:tr>
        <w:tblPrEx>
          <w:tblCellMar>
            <w:top w:w="0" w:type="dxa"/>
            <w:left w:w="108" w:type="dxa"/>
            <w:bottom w:w="0" w:type="dxa"/>
            <w:right w:w="108" w:type="dxa"/>
          </w:tblCellMar>
        </w:tblPrEx>
        <w:trPr>
          <w:trHeight w:val="280" w:hRule="atLeast"/>
          <w:jc w:val="center"/>
        </w:trPr>
        <w:tc>
          <w:tcPr>
            <w:tcW w:w="1843" w:type="dxa"/>
            <w:tcBorders>
              <w:top w:val="nil"/>
              <w:left w:val="nil"/>
              <w:bottom w:val="nil"/>
              <w:right w:val="nil"/>
            </w:tcBorders>
            <w:shd w:val="clear" w:color="auto" w:fill="auto"/>
            <w:noWrap/>
            <w:vAlign w:val="center"/>
          </w:tcPr>
          <w:p>
            <w:pPr>
              <w:widowControl/>
              <w:spacing w:line="280" w:lineRule="exact"/>
              <w:jc w:val="left"/>
              <w:rPr>
                <w:rFonts w:ascii="Times New Roman" w:hAnsi="Times New Roman" w:eastAsia="仿宋" w:cs="宋体"/>
                <w:bCs/>
                <w:color w:val="000000"/>
                <w:kern w:val="0"/>
                <w:szCs w:val="21"/>
              </w:rPr>
            </w:pPr>
            <w:r>
              <w:rPr>
                <w:rFonts w:hint="eastAsia" w:ascii="Times New Roman" w:hAnsi="Times New Roman" w:eastAsia="仿宋" w:cs="宋体"/>
                <w:bCs/>
                <w:color w:val="000000"/>
                <w:kern w:val="0"/>
                <w:szCs w:val="21"/>
              </w:rPr>
              <w:t>污染治理和节能减碳</w:t>
            </w:r>
          </w:p>
        </w:tc>
        <w:tc>
          <w:tcPr>
            <w:tcW w:w="5811" w:type="dxa"/>
            <w:tcBorders>
              <w:top w:val="nil"/>
              <w:left w:val="nil"/>
              <w:bottom w:val="nil"/>
              <w:right w:val="nil"/>
            </w:tcBorders>
            <w:vAlign w:val="center"/>
          </w:tcPr>
          <w:p>
            <w:pPr>
              <w:widowControl/>
              <w:spacing w:line="280" w:lineRule="exact"/>
              <w:jc w:val="left"/>
              <w:rPr>
                <w:rFonts w:ascii="Times New Roman" w:hAnsi="Times New Roman" w:eastAsia="仿宋" w:cs="宋体"/>
                <w:color w:val="000000"/>
                <w:kern w:val="0"/>
                <w:szCs w:val="21"/>
              </w:rPr>
            </w:pPr>
            <w:r>
              <w:rPr>
                <w:rFonts w:hint="eastAsia" w:ascii="Times New Roman" w:hAnsi="Times New Roman" w:eastAsia="仿宋" w:cs="宋体"/>
                <w:color w:val="000000"/>
                <w:kern w:val="0"/>
                <w:szCs w:val="21"/>
              </w:rPr>
              <w:t>污水垃圾处理等环境基础设施建设、节能减排、资源节约与高效利用、突出环境污染治理</w:t>
            </w:r>
          </w:p>
        </w:tc>
        <w:tc>
          <w:tcPr>
            <w:tcW w:w="1134" w:type="dxa"/>
            <w:tcBorders>
              <w:top w:val="nil"/>
              <w:left w:val="nil"/>
              <w:bottom w:val="nil"/>
              <w:right w:val="nil"/>
            </w:tcBorders>
            <w:shd w:val="clear" w:color="auto" w:fill="auto"/>
            <w:noWrap/>
            <w:vAlign w:val="center"/>
          </w:tcPr>
          <w:p>
            <w:pPr>
              <w:widowControl/>
              <w:spacing w:line="280" w:lineRule="exact"/>
              <w:jc w:val="center"/>
              <w:rPr>
                <w:rFonts w:ascii="Times New Roman" w:hAnsi="Times New Roman" w:eastAsia="仿宋" w:cs="宋体"/>
                <w:color w:val="000000"/>
                <w:kern w:val="0"/>
                <w:szCs w:val="21"/>
              </w:rPr>
            </w:pPr>
            <w:r>
              <w:rPr>
                <w:rFonts w:ascii="Times New Roman" w:hAnsi="Times New Roman" w:eastAsia="仿宋" w:cs="宋体"/>
                <w:color w:val="000000"/>
                <w:kern w:val="0"/>
                <w:szCs w:val="21"/>
              </w:rPr>
              <w:t>12</w:t>
            </w:r>
            <w:r>
              <w:rPr>
                <w:rFonts w:hint="eastAsia" w:ascii="Times New Roman" w:hAnsi="Times New Roman" w:eastAsia="仿宋" w:cs="宋体"/>
                <w:color w:val="000000"/>
                <w:kern w:val="0"/>
                <w:szCs w:val="21"/>
              </w:rPr>
              <w:t>00</w:t>
            </w:r>
          </w:p>
        </w:tc>
      </w:tr>
      <w:tr>
        <w:tblPrEx>
          <w:tblCellMar>
            <w:top w:w="0" w:type="dxa"/>
            <w:left w:w="108" w:type="dxa"/>
            <w:bottom w:w="0" w:type="dxa"/>
            <w:right w:w="108" w:type="dxa"/>
          </w:tblCellMar>
        </w:tblPrEx>
        <w:trPr>
          <w:trHeight w:val="280" w:hRule="atLeast"/>
          <w:jc w:val="center"/>
        </w:trPr>
        <w:tc>
          <w:tcPr>
            <w:tcW w:w="1843" w:type="dxa"/>
            <w:tcBorders>
              <w:top w:val="nil"/>
              <w:left w:val="nil"/>
              <w:bottom w:val="nil"/>
              <w:right w:val="nil"/>
            </w:tcBorders>
            <w:shd w:val="clear" w:color="auto" w:fill="auto"/>
            <w:noWrap/>
            <w:vAlign w:val="center"/>
          </w:tcPr>
          <w:p>
            <w:pPr>
              <w:widowControl/>
              <w:spacing w:line="280" w:lineRule="exact"/>
              <w:jc w:val="left"/>
              <w:rPr>
                <w:rFonts w:ascii="Times New Roman" w:hAnsi="Times New Roman" w:eastAsia="仿宋" w:cs="宋体"/>
                <w:bCs/>
                <w:color w:val="000000"/>
                <w:kern w:val="0"/>
                <w:szCs w:val="21"/>
              </w:rPr>
            </w:pPr>
            <w:r>
              <w:rPr>
                <w:rFonts w:hint="eastAsia" w:ascii="Times New Roman" w:hAnsi="Times New Roman" w:eastAsia="仿宋" w:cs="宋体"/>
                <w:bCs/>
                <w:color w:val="000000"/>
                <w:kern w:val="0"/>
                <w:szCs w:val="21"/>
              </w:rPr>
              <w:t>人口老龄化工程和托育建设项目</w:t>
            </w:r>
          </w:p>
        </w:tc>
        <w:tc>
          <w:tcPr>
            <w:tcW w:w="5811" w:type="dxa"/>
            <w:tcBorders>
              <w:top w:val="nil"/>
              <w:left w:val="nil"/>
              <w:bottom w:val="nil"/>
              <w:right w:val="nil"/>
            </w:tcBorders>
            <w:vAlign w:val="center"/>
          </w:tcPr>
          <w:p>
            <w:pPr>
              <w:widowControl/>
              <w:spacing w:line="280" w:lineRule="exact"/>
              <w:jc w:val="left"/>
              <w:rPr>
                <w:rFonts w:ascii="Times New Roman" w:hAnsi="Times New Roman" w:eastAsia="仿宋" w:cs="宋体"/>
                <w:color w:val="000000"/>
                <w:kern w:val="0"/>
                <w:szCs w:val="21"/>
              </w:rPr>
            </w:pPr>
            <w:r>
              <w:rPr>
                <w:rFonts w:hint="eastAsia" w:ascii="Times New Roman" w:hAnsi="Times New Roman" w:eastAsia="仿宋" w:cs="宋体"/>
                <w:color w:val="000000"/>
                <w:kern w:val="0"/>
                <w:szCs w:val="21"/>
              </w:rPr>
              <w:t>公办养老服务机构能力提升项目、普惠养老城企联动专项行动（“社区、医养、旅居、培训养老机构转型为养老服务设施”</w:t>
            </w:r>
            <w:r>
              <w:rPr>
                <w:rFonts w:ascii="Times New Roman" w:hAnsi="Times New Roman" w:eastAsia="仿宋" w:cs="宋体"/>
                <w:color w:val="000000"/>
                <w:kern w:val="0"/>
                <w:szCs w:val="21"/>
              </w:rPr>
              <w:t>4类项目）、公办托育服务能力建设项目、普惠托育服务专项行动</w:t>
            </w:r>
          </w:p>
        </w:tc>
        <w:tc>
          <w:tcPr>
            <w:tcW w:w="1134" w:type="dxa"/>
            <w:tcBorders>
              <w:top w:val="nil"/>
              <w:left w:val="nil"/>
              <w:bottom w:val="nil"/>
              <w:right w:val="nil"/>
            </w:tcBorders>
            <w:shd w:val="clear" w:color="auto" w:fill="auto"/>
            <w:noWrap/>
            <w:vAlign w:val="center"/>
          </w:tcPr>
          <w:p>
            <w:pPr>
              <w:widowControl/>
              <w:spacing w:line="280" w:lineRule="exact"/>
              <w:jc w:val="center"/>
              <w:rPr>
                <w:rFonts w:ascii="Times New Roman" w:hAnsi="Times New Roman" w:eastAsia="仿宋" w:cs="宋体"/>
                <w:color w:val="000000"/>
                <w:kern w:val="0"/>
                <w:szCs w:val="21"/>
              </w:rPr>
            </w:pPr>
            <w:r>
              <w:rPr>
                <w:rFonts w:ascii="Times New Roman" w:hAnsi="Times New Roman" w:eastAsia="仿宋" w:cs="宋体"/>
                <w:color w:val="000000"/>
                <w:kern w:val="0"/>
                <w:szCs w:val="21"/>
              </w:rPr>
              <w:t>12</w:t>
            </w:r>
            <w:r>
              <w:rPr>
                <w:rFonts w:hint="eastAsia" w:ascii="Times New Roman" w:hAnsi="Times New Roman" w:eastAsia="仿宋" w:cs="宋体"/>
                <w:color w:val="000000"/>
                <w:kern w:val="0"/>
                <w:szCs w:val="21"/>
              </w:rPr>
              <w:t>00</w:t>
            </w:r>
          </w:p>
        </w:tc>
      </w:tr>
      <w:tr>
        <w:tblPrEx>
          <w:tblCellMar>
            <w:top w:w="0" w:type="dxa"/>
            <w:left w:w="108" w:type="dxa"/>
            <w:bottom w:w="0" w:type="dxa"/>
            <w:right w:w="108" w:type="dxa"/>
          </w:tblCellMar>
        </w:tblPrEx>
        <w:trPr>
          <w:trHeight w:val="280" w:hRule="atLeast"/>
          <w:jc w:val="center"/>
        </w:trPr>
        <w:tc>
          <w:tcPr>
            <w:tcW w:w="1843" w:type="dxa"/>
            <w:tcBorders>
              <w:top w:val="nil"/>
              <w:left w:val="nil"/>
              <w:bottom w:val="nil"/>
              <w:right w:val="nil"/>
            </w:tcBorders>
            <w:shd w:val="clear" w:color="auto" w:fill="auto"/>
            <w:noWrap/>
            <w:vAlign w:val="center"/>
          </w:tcPr>
          <w:p>
            <w:pPr>
              <w:widowControl/>
              <w:spacing w:line="280" w:lineRule="exact"/>
              <w:jc w:val="left"/>
              <w:rPr>
                <w:rFonts w:ascii="Times New Roman" w:hAnsi="Times New Roman" w:eastAsia="仿宋" w:cs="宋体"/>
                <w:bCs/>
                <w:color w:val="000000"/>
                <w:kern w:val="0"/>
                <w:szCs w:val="21"/>
              </w:rPr>
            </w:pPr>
            <w:r>
              <w:rPr>
                <w:rFonts w:hint="eastAsia" w:ascii="Times New Roman" w:hAnsi="Times New Roman" w:eastAsia="仿宋" w:cs="宋体"/>
                <w:bCs/>
                <w:color w:val="000000"/>
                <w:kern w:val="0"/>
                <w:szCs w:val="21"/>
              </w:rPr>
              <w:t>城乡冷链和国家物流枢纽建设</w:t>
            </w:r>
          </w:p>
        </w:tc>
        <w:tc>
          <w:tcPr>
            <w:tcW w:w="5811" w:type="dxa"/>
            <w:tcBorders>
              <w:top w:val="nil"/>
              <w:left w:val="nil"/>
              <w:bottom w:val="nil"/>
              <w:right w:val="nil"/>
            </w:tcBorders>
            <w:vAlign w:val="center"/>
          </w:tcPr>
          <w:p>
            <w:pPr>
              <w:widowControl/>
              <w:spacing w:line="280" w:lineRule="exact"/>
              <w:jc w:val="left"/>
              <w:rPr>
                <w:rFonts w:ascii="Times New Roman" w:hAnsi="Times New Roman" w:eastAsia="仿宋" w:cs="宋体"/>
                <w:color w:val="000000"/>
                <w:kern w:val="0"/>
                <w:szCs w:val="21"/>
              </w:rPr>
            </w:pPr>
            <w:r>
              <w:rPr>
                <w:rFonts w:hint="eastAsia" w:ascii="Times New Roman" w:hAnsi="Times New Roman" w:eastAsia="仿宋" w:cs="宋体"/>
                <w:color w:val="000000"/>
                <w:kern w:val="0"/>
                <w:szCs w:val="21"/>
              </w:rPr>
              <w:t>肉类冷链物流设施项目</w:t>
            </w:r>
          </w:p>
        </w:tc>
        <w:tc>
          <w:tcPr>
            <w:tcW w:w="1134" w:type="dxa"/>
            <w:tcBorders>
              <w:top w:val="nil"/>
              <w:left w:val="nil"/>
              <w:bottom w:val="nil"/>
              <w:right w:val="nil"/>
            </w:tcBorders>
            <w:shd w:val="clear" w:color="auto" w:fill="auto"/>
            <w:noWrap/>
            <w:vAlign w:val="center"/>
          </w:tcPr>
          <w:p>
            <w:pPr>
              <w:widowControl/>
              <w:spacing w:line="280" w:lineRule="exact"/>
              <w:jc w:val="center"/>
              <w:rPr>
                <w:rFonts w:ascii="Times New Roman" w:hAnsi="Times New Roman" w:eastAsia="仿宋" w:cs="宋体"/>
                <w:color w:val="000000"/>
                <w:kern w:val="0"/>
                <w:szCs w:val="21"/>
              </w:rPr>
            </w:pPr>
            <w:r>
              <w:rPr>
                <w:rFonts w:ascii="Times New Roman" w:hAnsi="Times New Roman" w:eastAsia="仿宋" w:cs="宋体"/>
                <w:color w:val="000000"/>
                <w:kern w:val="0"/>
                <w:szCs w:val="21"/>
              </w:rPr>
              <w:t>12</w:t>
            </w:r>
            <w:r>
              <w:rPr>
                <w:rFonts w:hint="eastAsia" w:ascii="Times New Roman" w:hAnsi="Times New Roman" w:eastAsia="仿宋" w:cs="宋体"/>
                <w:color w:val="000000"/>
                <w:kern w:val="0"/>
                <w:szCs w:val="21"/>
              </w:rPr>
              <w:t>00</w:t>
            </w:r>
          </w:p>
        </w:tc>
      </w:tr>
      <w:tr>
        <w:tblPrEx>
          <w:tblCellMar>
            <w:top w:w="0" w:type="dxa"/>
            <w:left w:w="108" w:type="dxa"/>
            <w:bottom w:w="0" w:type="dxa"/>
            <w:right w:w="108" w:type="dxa"/>
          </w:tblCellMar>
        </w:tblPrEx>
        <w:trPr>
          <w:trHeight w:val="280" w:hRule="atLeast"/>
          <w:jc w:val="center"/>
        </w:trPr>
        <w:tc>
          <w:tcPr>
            <w:tcW w:w="1843" w:type="dxa"/>
            <w:tcBorders>
              <w:top w:val="nil"/>
              <w:left w:val="nil"/>
              <w:bottom w:val="nil"/>
              <w:right w:val="nil"/>
            </w:tcBorders>
            <w:shd w:val="clear" w:color="auto" w:fill="auto"/>
            <w:noWrap/>
            <w:vAlign w:val="center"/>
          </w:tcPr>
          <w:p>
            <w:pPr>
              <w:widowControl/>
              <w:spacing w:line="280" w:lineRule="exact"/>
              <w:jc w:val="left"/>
              <w:rPr>
                <w:rFonts w:ascii="Times New Roman" w:hAnsi="Times New Roman" w:eastAsia="仿宋" w:cs="宋体"/>
                <w:bCs/>
                <w:color w:val="000000"/>
                <w:kern w:val="0"/>
                <w:szCs w:val="21"/>
              </w:rPr>
            </w:pPr>
            <w:r>
              <w:rPr>
                <w:rFonts w:hint="eastAsia" w:ascii="Times New Roman" w:hAnsi="Times New Roman" w:eastAsia="仿宋" w:cs="宋体"/>
                <w:bCs/>
                <w:color w:val="000000"/>
                <w:kern w:val="0"/>
                <w:szCs w:val="21"/>
              </w:rPr>
              <w:t>社会服务设施兜底线工程</w:t>
            </w:r>
          </w:p>
        </w:tc>
        <w:tc>
          <w:tcPr>
            <w:tcW w:w="5811" w:type="dxa"/>
            <w:tcBorders>
              <w:top w:val="nil"/>
              <w:left w:val="nil"/>
              <w:bottom w:val="nil"/>
              <w:right w:val="nil"/>
            </w:tcBorders>
            <w:vAlign w:val="center"/>
          </w:tcPr>
          <w:p>
            <w:pPr>
              <w:widowControl/>
              <w:spacing w:line="280" w:lineRule="exact"/>
              <w:jc w:val="left"/>
              <w:rPr>
                <w:rFonts w:ascii="Times New Roman" w:hAnsi="Times New Roman" w:eastAsia="仿宋" w:cs="宋体"/>
                <w:color w:val="000000"/>
                <w:kern w:val="0"/>
                <w:szCs w:val="21"/>
              </w:rPr>
            </w:pPr>
            <w:r>
              <w:rPr>
                <w:rFonts w:hint="eastAsia" w:ascii="Times New Roman" w:hAnsi="Times New Roman" w:eastAsia="仿宋" w:cs="宋体"/>
                <w:color w:val="000000"/>
                <w:kern w:val="0"/>
                <w:szCs w:val="21"/>
              </w:rPr>
              <w:t>儿童福利设施、未成年人保护设施、流浪乞讨人员救助管理站、殡葬服务设施、精神卫生福利设施、烈士纪念设施、光荣院、残疾人康复设施、残疾人托养设施</w:t>
            </w:r>
          </w:p>
        </w:tc>
        <w:tc>
          <w:tcPr>
            <w:tcW w:w="1134" w:type="dxa"/>
            <w:tcBorders>
              <w:top w:val="nil"/>
              <w:left w:val="nil"/>
              <w:bottom w:val="nil"/>
              <w:right w:val="nil"/>
            </w:tcBorders>
            <w:shd w:val="clear" w:color="auto" w:fill="auto"/>
            <w:noWrap/>
            <w:vAlign w:val="center"/>
          </w:tcPr>
          <w:p>
            <w:pPr>
              <w:widowControl/>
              <w:spacing w:line="280" w:lineRule="exact"/>
              <w:jc w:val="center"/>
              <w:rPr>
                <w:rFonts w:ascii="Times New Roman" w:hAnsi="Times New Roman" w:eastAsia="仿宋" w:cs="宋体"/>
                <w:color w:val="000000"/>
                <w:kern w:val="0"/>
                <w:szCs w:val="21"/>
              </w:rPr>
            </w:pPr>
            <w:r>
              <w:rPr>
                <w:rFonts w:ascii="Times New Roman" w:hAnsi="Times New Roman" w:eastAsia="仿宋" w:cs="宋体"/>
                <w:color w:val="000000"/>
                <w:kern w:val="0"/>
                <w:szCs w:val="21"/>
              </w:rPr>
              <w:t>12</w:t>
            </w:r>
            <w:r>
              <w:rPr>
                <w:rFonts w:hint="eastAsia" w:ascii="Times New Roman" w:hAnsi="Times New Roman" w:eastAsia="仿宋" w:cs="宋体"/>
                <w:color w:val="000000"/>
                <w:kern w:val="0"/>
                <w:szCs w:val="21"/>
              </w:rPr>
              <w:t>00</w:t>
            </w:r>
          </w:p>
        </w:tc>
      </w:tr>
      <w:tr>
        <w:tblPrEx>
          <w:tblCellMar>
            <w:top w:w="0" w:type="dxa"/>
            <w:left w:w="108" w:type="dxa"/>
            <w:bottom w:w="0" w:type="dxa"/>
            <w:right w:w="108" w:type="dxa"/>
          </w:tblCellMar>
        </w:tblPrEx>
        <w:trPr>
          <w:trHeight w:val="280" w:hRule="atLeast"/>
          <w:jc w:val="center"/>
        </w:trPr>
        <w:tc>
          <w:tcPr>
            <w:tcW w:w="1843" w:type="dxa"/>
            <w:tcBorders>
              <w:top w:val="nil"/>
              <w:left w:val="nil"/>
              <w:bottom w:val="nil"/>
              <w:right w:val="nil"/>
            </w:tcBorders>
            <w:shd w:val="clear" w:color="auto" w:fill="auto"/>
            <w:noWrap/>
            <w:vAlign w:val="center"/>
          </w:tcPr>
          <w:p>
            <w:pPr>
              <w:widowControl/>
              <w:spacing w:line="280" w:lineRule="exact"/>
              <w:jc w:val="left"/>
              <w:rPr>
                <w:rFonts w:ascii="Times New Roman" w:hAnsi="Times New Roman" w:eastAsia="仿宋" w:cs="宋体"/>
                <w:bCs/>
                <w:color w:val="000000"/>
                <w:kern w:val="0"/>
                <w:szCs w:val="21"/>
              </w:rPr>
            </w:pPr>
            <w:r>
              <w:rPr>
                <w:rFonts w:hint="eastAsia" w:ascii="Times New Roman" w:hAnsi="Times New Roman" w:eastAsia="仿宋" w:cs="宋体"/>
                <w:bCs/>
                <w:color w:val="000000"/>
                <w:kern w:val="0"/>
                <w:szCs w:val="21"/>
              </w:rPr>
              <w:t>文化保护传承利用工程</w:t>
            </w:r>
          </w:p>
        </w:tc>
        <w:tc>
          <w:tcPr>
            <w:tcW w:w="5811" w:type="dxa"/>
            <w:tcBorders>
              <w:top w:val="nil"/>
              <w:left w:val="nil"/>
              <w:bottom w:val="nil"/>
              <w:right w:val="nil"/>
            </w:tcBorders>
            <w:vAlign w:val="center"/>
          </w:tcPr>
          <w:p>
            <w:pPr>
              <w:widowControl/>
              <w:spacing w:line="280" w:lineRule="exact"/>
              <w:jc w:val="left"/>
              <w:rPr>
                <w:rFonts w:ascii="Times New Roman" w:hAnsi="Times New Roman" w:eastAsia="仿宋" w:cs="宋体"/>
                <w:color w:val="000000"/>
                <w:kern w:val="0"/>
                <w:szCs w:val="21"/>
              </w:rPr>
            </w:pPr>
            <w:r>
              <w:rPr>
                <w:rFonts w:hint="eastAsia" w:ascii="Times New Roman" w:hAnsi="Times New Roman" w:eastAsia="仿宋" w:cs="宋体"/>
                <w:color w:val="000000"/>
                <w:kern w:val="0"/>
                <w:szCs w:val="21"/>
              </w:rPr>
              <w:t>国家文化公园建设、国家重点文物保护和考古发掘、国家公园等重要自然遗产保护展示、重大旅游基础设施建设</w:t>
            </w:r>
          </w:p>
        </w:tc>
        <w:tc>
          <w:tcPr>
            <w:tcW w:w="1134" w:type="dxa"/>
            <w:tcBorders>
              <w:top w:val="nil"/>
              <w:left w:val="nil"/>
              <w:bottom w:val="nil"/>
              <w:right w:val="nil"/>
            </w:tcBorders>
            <w:shd w:val="clear" w:color="auto" w:fill="auto"/>
            <w:noWrap/>
            <w:vAlign w:val="center"/>
          </w:tcPr>
          <w:p>
            <w:pPr>
              <w:widowControl/>
              <w:spacing w:line="280" w:lineRule="exact"/>
              <w:jc w:val="center"/>
              <w:rPr>
                <w:rFonts w:ascii="Times New Roman" w:hAnsi="Times New Roman" w:eastAsia="仿宋" w:cs="宋体"/>
                <w:color w:val="000000"/>
                <w:kern w:val="0"/>
                <w:szCs w:val="21"/>
              </w:rPr>
            </w:pPr>
            <w:r>
              <w:rPr>
                <w:rFonts w:ascii="Times New Roman" w:hAnsi="Times New Roman" w:eastAsia="仿宋" w:cs="宋体"/>
                <w:color w:val="000000"/>
                <w:kern w:val="0"/>
                <w:szCs w:val="21"/>
              </w:rPr>
              <w:t>12</w:t>
            </w:r>
            <w:r>
              <w:rPr>
                <w:rFonts w:hint="eastAsia" w:ascii="Times New Roman" w:hAnsi="Times New Roman" w:eastAsia="仿宋" w:cs="宋体"/>
                <w:color w:val="000000"/>
                <w:kern w:val="0"/>
                <w:szCs w:val="21"/>
              </w:rPr>
              <w:t>00</w:t>
            </w:r>
          </w:p>
        </w:tc>
      </w:tr>
      <w:tr>
        <w:tblPrEx>
          <w:tblCellMar>
            <w:top w:w="0" w:type="dxa"/>
            <w:left w:w="108" w:type="dxa"/>
            <w:bottom w:w="0" w:type="dxa"/>
            <w:right w:w="108" w:type="dxa"/>
          </w:tblCellMar>
        </w:tblPrEx>
        <w:trPr>
          <w:trHeight w:val="280" w:hRule="atLeast"/>
          <w:jc w:val="center"/>
        </w:trPr>
        <w:tc>
          <w:tcPr>
            <w:tcW w:w="1843" w:type="dxa"/>
            <w:tcBorders>
              <w:top w:val="nil"/>
              <w:left w:val="nil"/>
              <w:bottom w:val="nil"/>
              <w:right w:val="nil"/>
            </w:tcBorders>
            <w:shd w:val="clear" w:color="auto" w:fill="auto"/>
            <w:noWrap/>
            <w:vAlign w:val="center"/>
          </w:tcPr>
          <w:p>
            <w:pPr>
              <w:widowControl/>
              <w:spacing w:line="280" w:lineRule="exact"/>
              <w:jc w:val="left"/>
              <w:rPr>
                <w:rFonts w:ascii="Times New Roman" w:hAnsi="Times New Roman" w:eastAsia="仿宋" w:cs="宋体"/>
                <w:bCs/>
                <w:color w:val="000000"/>
                <w:kern w:val="0"/>
                <w:szCs w:val="21"/>
              </w:rPr>
            </w:pPr>
            <w:r>
              <w:rPr>
                <w:rFonts w:hint="eastAsia" w:ascii="Times New Roman" w:hAnsi="Times New Roman" w:eastAsia="仿宋" w:cs="宋体"/>
                <w:bCs/>
                <w:color w:val="000000"/>
                <w:kern w:val="0"/>
                <w:szCs w:val="21"/>
              </w:rPr>
              <w:t>粮食等重要农产品仓储设施</w:t>
            </w:r>
          </w:p>
        </w:tc>
        <w:tc>
          <w:tcPr>
            <w:tcW w:w="5811" w:type="dxa"/>
            <w:tcBorders>
              <w:top w:val="nil"/>
              <w:left w:val="nil"/>
              <w:bottom w:val="nil"/>
              <w:right w:val="nil"/>
            </w:tcBorders>
            <w:vAlign w:val="center"/>
          </w:tcPr>
          <w:p>
            <w:pPr>
              <w:widowControl/>
              <w:spacing w:line="280" w:lineRule="exact"/>
              <w:jc w:val="left"/>
              <w:rPr>
                <w:rFonts w:ascii="Times New Roman" w:hAnsi="Times New Roman" w:eastAsia="仿宋" w:cs="宋体"/>
                <w:color w:val="000000"/>
                <w:kern w:val="0"/>
                <w:szCs w:val="21"/>
              </w:rPr>
            </w:pPr>
            <w:r>
              <w:rPr>
                <w:rFonts w:hint="eastAsia" w:ascii="Times New Roman" w:hAnsi="Times New Roman" w:eastAsia="仿宋" w:cs="宋体"/>
                <w:color w:val="000000"/>
                <w:kern w:val="0"/>
                <w:szCs w:val="21"/>
              </w:rPr>
              <w:t>与地方政府粮食储备配套的粮食仓储物流设施项目，政策性粮食收购有仓容缺口区域的粮食仓储设施项目</w:t>
            </w:r>
          </w:p>
        </w:tc>
        <w:tc>
          <w:tcPr>
            <w:tcW w:w="1134" w:type="dxa"/>
            <w:tcBorders>
              <w:top w:val="nil"/>
              <w:left w:val="nil"/>
              <w:bottom w:val="nil"/>
              <w:right w:val="nil"/>
            </w:tcBorders>
            <w:shd w:val="clear" w:color="auto" w:fill="auto"/>
            <w:noWrap/>
            <w:vAlign w:val="center"/>
          </w:tcPr>
          <w:p>
            <w:pPr>
              <w:widowControl/>
              <w:spacing w:line="280" w:lineRule="exact"/>
              <w:jc w:val="center"/>
              <w:rPr>
                <w:rFonts w:ascii="Times New Roman" w:hAnsi="Times New Roman" w:eastAsia="仿宋" w:cs="宋体"/>
                <w:color w:val="000000"/>
                <w:kern w:val="0"/>
                <w:szCs w:val="21"/>
              </w:rPr>
            </w:pPr>
            <w:r>
              <w:rPr>
                <w:rFonts w:ascii="Times New Roman" w:hAnsi="Times New Roman" w:eastAsia="仿宋" w:cs="宋体"/>
                <w:color w:val="000000"/>
                <w:kern w:val="0"/>
                <w:szCs w:val="21"/>
              </w:rPr>
              <w:t>12</w:t>
            </w:r>
            <w:r>
              <w:rPr>
                <w:rFonts w:hint="eastAsia" w:ascii="Times New Roman" w:hAnsi="Times New Roman" w:eastAsia="仿宋" w:cs="宋体"/>
                <w:color w:val="000000"/>
                <w:kern w:val="0"/>
                <w:szCs w:val="21"/>
              </w:rPr>
              <w:t>00</w:t>
            </w:r>
          </w:p>
        </w:tc>
      </w:tr>
      <w:tr>
        <w:tblPrEx>
          <w:tblCellMar>
            <w:top w:w="0" w:type="dxa"/>
            <w:left w:w="108" w:type="dxa"/>
            <w:bottom w:w="0" w:type="dxa"/>
            <w:right w:w="108" w:type="dxa"/>
          </w:tblCellMar>
        </w:tblPrEx>
        <w:trPr>
          <w:trHeight w:val="280" w:hRule="atLeast"/>
          <w:jc w:val="center"/>
        </w:trPr>
        <w:tc>
          <w:tcPr>
            <w:tcW w:w="1843" w:type="dxa"/>
            <w:tcBorders>
              <w:top w:val="nil"/>
              <w:left w:val="nil"/>
              <w:bottom w:val="nil"/>
              <w:right w:val="nil"/>
            </w:tcBorders>
            <w:shd w:val="clear" w:color="auto" w:fill="auto"/>
            <w:noWrap/>
            <w:vAlign w:val="center"/>
          </w:tcPr>
          <w:p>
            <w:pPr>
              <w:widowControl/>
              <w:spacing w:line="280" w:lineRule="exact"/>
              <w:jc w:val="left"/>
              <w:rPr>
                <w:rFonts w:ascii="Times New Roman" w:hAnsi="Times New Roman" w:eastAsia="仿宋" w:cs="宋体"/>
                <w:bCs/>
                <w:color w:val="000000"/>
                <w:kern w:val="0"/>
                <w:szCs w:val="21"/>
              </w:rPr>
            </w:pPr>
            <w:r>
              <w:rPr>
                <w:rFonts w:hint="eastAsia" w:ascii="Times New Roman" w:hAnsi="Times New Roman" w:eastAsia="仿宋" w:cs="宋体"/>
                <w:bCs/>
                <w:color w:val="000000"/>
                <w:kern w:val="0"/>
                <w:szCs w:val="21"/>
              </w:rPr>
              <w:t>教育强国推进工程（公共实训基地建设方向）</w:t>
            </w:r>
          </w:p>
        </w:tc>
        <w:tc>
          <w:tcPr>
            <w:tcW w:w="5811" w:type="dxa"/>
            <w:tcBorders>
              <w:top w:val="nil"/>
              <w:left w:val="nil"/>
              <w:bottom w:val="nil"/>
              <w:right w:val="nil"/>
            </w:tcBorders>
            <w:vAlign w:val="center"/>
          </w:tcPr>
          <w:p>
            <w:pPr>
              <w:widowControl/>
              <w:spacing w:line="280" w:lineRule="exact"/>
              <w:jc w:val="left"/>
              <w:rPr>
                <w:rFonts w:ascii="Times New Roman" w:hAnsi="Times New Roman" w:eastAsia="仿宋" w:cs="宋体"/>
                <w:color w:val="000000"/>
                <w:kern w:val="0"/>
                <w:szCs w:val="21"/>
              </w:rPr>
            </w:pPr>
            <w:r>
              <w:rPr>
                <w:rFonts w:hint="eastAsia" w:ascii="Times New Roman" w:hAnsi="Times New Roman" w:eastAsia="仿宋" w:cs="宋体"/>
                <w:color w:val="000000"/>
                <w:kern w:val="0"/>
                <w:szCs w:val="21"/>
              </w:rPr>
              <w:t>公共实训基地</w:t>
            </w:r>
          </w:p>
        </w:tc>
        <w:tc>
          <w:tcPr>
            <w:tcW w:w="1134" w:type="dxa"/>
            <w:tcBorders>
              <w:top w:val="nil"/>
              <w:left w:val="nil"/>
              <w:bottom w:val="nil"/>
              <w:right w:val="nil"/>
            </w:tcBorders>
            <w:shd w:val="clear" w:color="auto" w:fill="auto"/>
            <w:noWrap/>
            <w:vAlign w:val="center"/>
          </w:tcPr>
          <w:p>
            <w:pPr>
              <w:widowControl/>
              <w:spacing w:line="280" w:lineRule="exact"/>
              <w:jc w:val="center"/>
              <w:rPr>
                <w:rFonts w:ascii="Times New Roman" w:hAnsi="Times New Roman" w:eastAsia="仿宋" w:cs="宋体"/>
                <w:color w:val="000000"/>
                <w:kern w:val="0"/>
                <w:szCs w:val="21"/>
              </w:rPr>
            </w:pPr>
            <w:r>
              <w:rPr>
                <w:rFonts w:ascii="Times New Roman" w:hAnsi="Times New Roman" w:eastAsia="仿宋" w:cs="宋体"/>
                <w:color w:val="000000"/>
                <w:kern w:val="0"/>
                <w:szCs w:val="21"/>
              </w:rPr>
              <w:t>12</w:t>
            </w:r>
            <w:r>
              <w:rPr>
                <w:rFonts w:hint="eastAsia" w:ascii="Times New Roman" w:hAnsi="Times New Roman" w:eastAsia="仿宋" w:cs="宋体"/>
                <w:color w:val="000000"/>
                <w:kern w:val="0"/>
                <w:szCs w:val="21"/>
              </w:rPr>
              <w:t>00</w:t>
            </w:r>
          </w:p>
        </w:tc>
      </w:tr>
      <w:tr>
        <w:tblPrEx>
          <w:tblCellMar>
            <w:top w:w="0" w:type="dxa"/>
            <w:left w:w="108" w:type="dxa"/>
            <w:bottom w:w="0" w:type="dxa"/>
            <w:right w:w="108" w:type="dxa"/>
          </w:tblCellMar>
        </w:tblPrEx>
        <w:trPr>
          <w:trHeight w:val="280" w:hRule="atLeast"/>
          <w:jc w:val="center"/>
        </w:trPr>
        <w:tc>
          <w:tcPr>
            <w:tcW w:w="1843" w:type="dxa"/>
            <w:tcBorders>
              <w:top w:val="nil"/>
              <w:left w:val="nil"/>
              <w:bottom w:val="nil"/>
              <w:right w:val="nil"/>
            </w:tcBorders>
            <w:shd w:val="clear" w:color="auto" w:fill="auto"/>
            <w:noWrap/>
            <w:vAlign w:val="center"/>
          </w:tcPr>
          <w:p>
            <w:pPr>
              <w:widowControl/>
              <w:spacing w:line="280" w:lineRule="exact"/>
              <w:jc w:val="left"/>
              <w:rPr>
                <w:rFonts w:ascii="Times New Roman" w:hAnsi="Times New Roman" w:eastAsia="仿宋" w:cs="宋体"/>
                <w:bCs/>
                <w:color w:val="000000"/>
                <w:kern w:val="0"/>
                <w:szCs w:val="21"/>
              </w:rPr>
            </w:pPr>
            <w:r>
              <w:rPr>
                <w:rFonts w:hint="eastAsia" w:ascii="Times New Roman" w:hAnsi="Times New Roman" w:eastAsia="仿宋" w:cs="宋体"/>
                <w:bCs/>
                <w:color w:val="000000"/>
                <w:kern w:val="0"/>
                <w:szCs w:val="21"/>
              </w:rPr>
              <w:t>全民健身设施补短板工程</w:t>
            </w:r>
          </w:p>
        </w:tc>
        <w:tc>
          <w:tcPr>
            <w:tcW w:w="5811" w:type="dxa"/>
            <w:tcBorders>
              <w:top w:val="nil"/>
              <w:left w:val="nil"/>
              <w:bottom w:val="nil"/>
              <w:right w:val="nil"/>
            </w:tcBorders>
            <w:vAlign w:val="center"/>
          </w:tcPr>
          <w:p>
            <w:pPr>
              <w:widowControl/>
              <w:spacing w:line="280" w:lineRule="exact"/>
              <w:jc w:val="left"/>
              <w:rPr>
                <w:rFonts w:ascii="Times New Roman" w:hAnsi="Times New Roman" w:eastAsia="仿宋" w:cs="宋体"/>
                <w:color w:val="000000"/>
                <w:kern w:val="0"/>
                <w:szCs w:val="21"/>
              </w:rPr>
            </w:pPr>
            <w:r>
              <w:rPr>
                <w:rFonts w:hint="eastAsia" w:ascii="Times New Roman" w:hAnsi="Times New Roman" w:eastAsia="仿宋" w:cs="宋体"/>
                <w:color w:val="000000"/>
                <w:kern w:val="0"/>
                <w:szCs w:val="21"/>
              </w:rPr>
              <w:t>体育公园、全民健身中心（小型体育综合体）、公共体育场中标准田径跑道和标准足球场地、社会足球场、健身步道、户外运动公共服务设施</w:t>
            </w:r>
          </w:p>
        </w:tc>
        <w:tc>
          <w:tcPr>
            <w:tcW w:w="1134" w:type="dxa"/>
            <w:tcBorders>
              <w:top w:val="nil"/>
              <w:left w:val="nil"/>
              <w:bottom w:val="nil"/>
              <w:right w:val="nil"/>
            </w:tcBorders>
            <w:shd w:val="clear" w:color="auto" w:fill="auto"/>
            <w:noWrap/>
            <w:vAlign w:val="center"/>
          </w:tcPr>
          <w:p>
            <w:pPr>
              <w:widowControl/>
              <w:spacing w:line="280" w:lineRule="exact"/>
              <w:jc w:val="center"/>
              <w:rPr>
                <w:rFonts w:ascii="Times New Roman" w:hAnsi="Times New Roman" w:eastAsia="仿宋" w:cs="宋体"/>
                <w:color w:val="000000"/>
                <w:kern w:val="0"/>
                <w:szCs w:val="21"/>
              </w:rPr>
            </w:pPr>
            <w:r>
              <w:rPr>
                <w:rFonts w:ascii="Times New Roman" w:hAnsi="Times New Roman" w:eastAsia="仿宋" w:cs="宋体"/>
                <w:color w:val="000000"/>
                <w:kern w:val="0"/>
                <w:szCs w:val="21"/>
              </w:rPr>
              <w:t>12</w:t>
            </w:r>
            <w:r>
              <w:rPr>
                <w:rFonts w:hint="eastAsia" w:ascii="Times New Roman" w:hAnsi="Times New Roman" w:eastAsia="仿宋" w:cs="宋体"/>
                <w:color w:val="000000"/>
                <w:kern w:val="0"/>
                <w:szCs w:val="21"/>
              </w:rPr>
              <w:t>00</w:t>
            </w:r>
          </w:p>
        </w:tc>
      </w:tr>
      <w:tr>
        <w:tblPrEx>
          <w:tblCellMar>
            <w:top w:w="0" w:type="dxa"/>
            <w:left w:w="108" w:type="dxa"/>
            <w:bottom w:w="0" w:type="dxa"/>
            <w:right w:w="108" w:type="dxa"/>
          </w:tblCellMar>
        </w:tblPrEx>
        <w:trPr>
          <w:trHeight w:val="280" w:hRule="atLeast"/>
          <w:jc w:val="center"/>
        </w:trPr>
        <w:tc>
          <w:tcPr>
            <w:tcW w:w="1843" w:type="dxa"/>
            <w:tcBorders>
              <w:top w:val="nil"/>
              <w:left w:val="nil"/>
              <w:bottom w:val="nil"/>
              <w:right w:val="nil"/>
            </w:tcBorders>
            <w:shd w:val="clear" w:color="auto" w:fill="auto"/>
            <w:noWrap/>
            <w:vAlign w:val="center"/>
          </w:tcPr>
          <w:p>
            <w:pPr>
              <w:widowControl/>
              <w:spacing w:line="280" w:lineRule="exact"/>
              <w:jc w:val="left"/>
              <w:rPr>
                <w:rFonts w:ascii="Times New Roman" w:hAnsi="Times New Roman" w:eastAsia="仿宋" w:cs="宋体"/>
                <w:bCs/>
                <w:color w:val="000000"/>
                <w:kern w:val="0"/>
                <w:szCs w:val="21"/>
              </w:rPr>
            </w:pPr>
            <w:r>
              <w:rPr>
                <w:rFonts w:hint="eastAsia" w:ascii="Times New Roman" w:hAnsi="Times New Roman" w:eastAsia="仿宋" w:cs="宋体"/>
                <w:bCs/>
                <w:color w:val="000000"/>
                <w:kern w:val="0"/>
                <w:szCs w:val="21"/>
              </w:rPr>
              <w:t>新一代信息基础设施领域</w:t>
            </w:r>
          </w:p>
        </w:tc>
        <w:tc>
          <w:tcPr>
            <w:tcW w:w="5811" w:type="dxa"/>
            <w:tcBorders>
              <w:top w:val="nil"/>
              <w:left w:val="nil"/>
              <w:bottom w:val="nil"/>
              <w:right w:val="nil"/>
            </w:tcBorders>
            <w:vAlign w:val="center"/>
          </w:tcPr>
          <w:p>
            <w:pPr>
              <w:widowControl/>
              <w:spacing w:line="280" w:lineRule="exact"/>
              <w:jc w:val="left"/>
              <w:rPr>
                <w:rFonts w:ascii="Times New Roman" w:hAnsi="Times New Roman" w:eastAsia="仿宋" w:cs="宋体"/>
                <w:color w:val="000000"/>
                <w:kern w:val="0"/>
                <w:szCs w:val="21"/>
              </w:rPr>
            </w:pPr>
            <w:r>
              <w:rPr>
                <w:rFonts w:hint="eastAsia" w:ascii="Times New Roman" w:hAnsi="Times New Roman" w:eastAsia="仿宋" w:cs="宋体"/>
                <w:color w:val="000000"/>
                <w:kern w:val="0"/>
                <w:szCs w:val="21"/>
              </w:rPr>
              <w:t>密件</w:t>
            </w:r>
          </w:p>
        </w:tc>
        <w:tc>
          <w:tcPr>
            <w:tcW w:w="1134" w:type="dxa"/>
            <w:tcBorders>
              <w:top w:val="nil"/>
              <w:left w:val="nil"/>
              <w:bottom w:val="nil"/>
              <w:right w:val="nil"/>
            </w:tcBorders>
            <w:shd w:val="clear" w:color="auto" w:fill="auto"/>
            <w:noWrap/>
            <w:vAlign w:val="center"/>
          </w:tcPr>
          <w:p>
            <w:pPr>
              <w:widowControl/>
              <w:spacing w:line="280" w:lineRule="exact"/>
              <w:jc w:val="center"/>
              <w:rPr>
                <w:rFonts w:ascii="Times New Roman" w:hAnsi="Times New Roman" w:eastAsia="仿宋" w:cs="宋体"/>
                <w:color w:val="000000"/>
                <w:kern w:val="0"/>
                <w:szCs w:val="21"/>
              </w:rPr>
            </w:pPr>
            <w:r>
              <w:rPr>
                <w:rFonts w:ascii="Times New Roman" w:hAnsi="Times New Roman" w:eastAsia="仿宋" w:cs="宋体"/>
                <w:color w:val="000000"/>
                <w:kern w:val="0"/>
                <w:szCs w:val="21"/>
              </w:rPr>
              <w:t>12</w:t>
            </w:r>
            <w:r>
              <w:rPr>
                <w:rFonts w:hint="eastAsia" w:ascii="Times New Roman" w:hAnsi="Times New Roman" w:eastAsia="仿宋" w:cs="宋体"/>
                <w:color w:val="000000"/>
                <w:kern w:val="0"/>
                <w:szCs w:val="21"/>
              </w:rPr>
              <w:t>00</w:t>
            </w:r>
          </w:p>
        </w:tc>
      </w:tr>
      <w:tr>
        <w:tblPrEx>
          <w:tblCellMar>
            <w:top w:w="0" w:type="dxa"/>
            <w:left w:w="108" w:type="dxa"/>
            <w:bottom w:w="0" w:type="dxa"/>
            <w:right w:w="108" w:type="dxa"/>
          </w:tblCellMar>
        </w:tblPrEx>
        <w:trPr>
          <w:trHeight w:val="280" w:hRule="atLeast"/>
          <w:jc w:val="center"/>
        </w:trPr>
        <w:tc>
          <w:tcPr>
            <w:tcW w:w="1843" w:type="dxa"/>
            <w:tcBorders>
              <w:top w:val="nil"/>
              <w:left w:val="nil"/>
              <w:bottom w:val="nil"/>
              <w:right w:val="nil"/>
            </w:tcBorders>
            <w:shd w:val="clear" w:color="auto" w:fill="auto"/>
            <w:noWrap/>
            <w:vAlign w:val="center"/>
          </w:tcPr>
          <w:p>
            <w:pPr>
              <w:widowControl/>
              <w:spacing w:line="280" w:lineRule="exact"/>
              <w:jc w:val="left"/>
              <w:rPr>
                <w:rFonts w:ascii="Times New Roman" w:hAnsi="Times New Roman" w:eastAsia="仿宋" w:cs="宋体"/>
                <w:bCs/>
                <w:color w:val="000000"/>
                <w:kern w:val="0"/>
                <w:szCs w:val="21"/>
              </w:rPr>
            </w:pPr>
            <w:r>
              <w:rPr>
                <w:rFonts w:hint="eastAsia" w:ascii="Times New Roman" w:hAnsi="Times New Roman" w:eastAsia="仿宋" w:cs="宋体"/>
                <w:bCs/>
                <w:color w:val="000000"/>
                <w:kern w:val="0"/>
                <w:szCs w:val="21"/>
              </w:rPr>
              <w:t>农业领域</w:t>
            </w:r>
          </w:p>
        </w:tc>
        <w:tc>
          <w:tcPr>
            <w:tcW w:w="5811" w:type="dxa"/>
            <w:tcBorders>
              <w:top w:val="nil"/>
              <w:left w:val="nil"/>
              <w:bottom w:val="nil"/>
              <w:right w:val="nil"/>
            </w:tcBorders>
            <w:vAlign w:val="center"/>
          </w:tcPr>
          <w:p>
            <w:pPr>
              <w:widowControl/>
              <w:spacing w:line="280" w:lineRule="exact"/>
              <w:jc w:val="left"/>
              <w:rPr>
                <w:rFonts w:ascii="Times New Roman" w:hAnsi="Times New Roman" w:eastAsia="仿宋" w:cs="宋体"/>
                <w:color w:val="000000"/>
                <w:kern w:val="0"/>
                <w:szCs w:val="21"/>
              </w:rPr>
            </w:pPr>
            <w:r>
              <w:rPr>
                <w:rFonts w:hint="eastAsia" w:ascii="Times New Roman" w:hAnsi="Times New Roman" w:eastAsia="仿宋" w:cs="宋体"/>
                <w:color w:val="000000"/>
                <w:kern w:val="0"/>
                <w:szCs w:val="21"/>
              </w:rPr>
              <w:t>现代种业提升工程；动植物保护项目包括动物保护能力提升工程、植物保护能力提升工程、进出境动植物检疫能力提升工程；农业行业基础能力建设项目；畜禽粪污资源化利用整县推进项目</w:t>
            </w:r>
          </w:p>
        </w:tc>
        <w:tc>
          <w:tcPr>
            <w:tcW w:w="1134" w:type="dxa"/>
            <w:tcBorders>
              <w:top w:val="nil"/>
              <w:left w:val="nil"/>
              <w:bottom w:val="nil"/>
              <w:right w:val="nil"/>
            </w:tcBorders>
            <w:shd w:val="clear" w:color="auto" w:fill="auto"/>
            <w:noWrap/>
            <w:vAlign w:val="center"/>
          </w:tcPr>
          <w:p>
            <w:pPr>
              <w:widowControl/>
              <w:spacing w:line="280" w:lineRule="exact"/>
              <w:jc w:val="center"/>
              <w:rPr>
                <w:rFonts w:ascii="Times New Roman" w:hAnsi="Times New Roman" w:eastAsia="仿宋" w:cs="宋体"/>
                <w:color w:val="000000"/>
                <w:kern w:val="0"/>
                <w:szCs w:val="21"/>
              </w:rPr>
            </w:pPr>
            <w:r>
              <w:rPr>
                <w:rFonts w:ascii="Times New Roman" w:hAnsi="Times New Roman" w:eastAsia="仿宋" w:cs="宋体"/>
                <w:color w:val="000000"/>
                <w:kern w:val="0"/>
                <w:szCs w:val="21"/>
              </w:rPr>
              <w:t>12</w:t>
            </w:r>
            <w:r>
              <w:rPr>
                <w:rFonts w:hint="eastAsia" w:ascii="Times New Roman" w:hAnsi="Times New Roman" w:eastAsia="仿宋" w:cs="宋体"/>
                <w:color w:val="000000"/>
                <w:kern w:val="0"/>
                <w:szCs w:val="21"/>
              </w:rPr>
              <w:t>00</w:t>
            </w:r>
          </w:p>
        </w:tc>
      </w:tr>
      <w:tr>
        <w:tblPrEx>
          <w:tblCellMar>
            <w:top w:w="0" w:type="dxa"/>
            <w:left w:w="108" w:type="dxa"/>
            <w:bottom w:w="0" w:type="dxa"/>
            <w:right w:w="108" w:type="dxa"/>
          </w:tblCellMar>
        </w:tblPrEx>
        <w:trPr>
          <w:trHeight w:val="280" w:hRule="atLeast"/>
          <w:jc w:val="center"/>
        </w:trPr>
        <w:tc>
          <w:tcPr>
            <w:tcW w:w="1843" w:type="dxa"/>
            <w:tcBorders>
              <w:top w:val="nil"/>
              <w:left w:val="nil"/>
              <w:bottom w:val="nil"/>
              <w:right w:val="nil"/>
            </w:tcBorders>
            <w:shd w:val="clear" w:color="auto" w:fill="auto"/>
            <w:noWrap/>
            <w:vAlign w:val="center"/>
          </w:tcPr>
          <w:p>
            <w:pPr>
              <w:widowControl/>
              <w:spacing w:line="280" w:lineRule="exact"/>
              <w:jc w:val="left"/>
              <w:rPr>
                <w:rFonts w:ascii="Times New Roman" w:hAnsi="Times New Roman" w:eastAsia="仿宋" w:cs="宋体"/>
                <w:bCs/>
                <w:color w:val="000000"/>
                <w:kern w:val="0"/>
                <w:szCs w:val="21"/>
              </w:rPr>
            </w:pPr>
            <w:r>
              <w:rPr>
                <w:rFonts w:hint="eastAsia" w:ascii="Times New Roman" w:hAnsi="Times New Roman" w:eastAsia="仿宋" w:cs="宋体"/>
                <w:bCs/>
                <w:color w:val="000000"/>
                <w:kern w:val="0"/>
                <w:szCs w:val="21"/>
              </w:rPr>
              <w:t>政法基础设施</w:t>
            </w:r>
          </w:p>
        </w:tc>
        <w:tc>
          <w:tcPr>
            <w:tcW w:w="5811" w:type="dxa"/>
            <w:tcBorders>
              <w:top w:val="nil"/>
              <w:left w:val="nil"/>
              <w:bottom w:val="nil"/>
              <w:right w:val="nil"/>
            </w:tcBorders>
            <w:vAlign w:val="center"/>
          </w:tcPr>
          <w:p>
            <w:pPr>
              <w:widowControl/>
              <w:spacing w:line="280" w:lineRule="exact"/>
              <w:jc w:val="left"/>
              <w:rPr>
                <w:rFonts w:ascii="Times New Roman" w:hAnsi="Times New Roman" w:eastAsia="仿宋" w:cs="宋体"/>
                <w:color w:val="000000"/>
                <w:kern w:val="0"/>
                <w:szCs w:val="21"/>
              </w:rPr>
            </w:pPr>
            <w:r>
              <w:rPr>
                <w:rFonts w:hint="eastAsia" w:ascii="Times New Roman" w:hAnsi="Times New Roman" w:eastAsia="仿宋" w:cs="宋体"/>
                <w:color w:val="000000"/>
                <w:kern w:val="0"/>
                <w:szCs w:val="21"/>
              </w:rPr>
              <w:t>密件（2</w:t>
            </w:r>
            <w:r>
              <w:rPr>
                <w:rFonts w:ascii="Times New Roman" w:hAnsi="Times New Roman" w:eastAsia="仿宋" w:cs="宋体"/>
                <w:color w:val="000000"/>
                <w:kern w:val="0"/>
                <w:szCs w:val="21"/>
              </w:rPr>
              <w:t>022</w:t>
            </w:r>
            <w:r>
              <w:rPr>
                <w:rFonts w:hint="eastAsia" w:ascii="Times New Roman" w:hAnsi="Times New Roman" w:eastAsia="仿宋" w:cs="宋体"/>
                <w:color w:val="000000"/>
                <w:kern w:val="0"/>
                <w:szCs w:val="21"/>
              </w:rPr>
              <w:t>年未列入中央预算内投资的支持方向）</w:t>
            </w:r>
          </w:p>
        </w:tc>
        <w:tc>
          <w:tcPr>
            <w:tcW w:w="1134" w:type="dxa"/>
            <w:tcBorders>
              <w:top w:val="nil"/>
              <w:left w:val="nil"/>
              <w:bottom w:val="nil"/>
              <w:right w:val="nil"/>
            </w:tcBorders>
            <w:shd w:val="clear" w:color="auto" w:fill="auto"/>
            <w:noWrap/>
            <w:vAlign w:val="center"/>
          </w:tcPr>
          <w:p>
            <w:pPr>
              <w:widowControl/>
              <w:spacing w:line="280" w:lineRule="exact"/>
              <w:jc w:val="center"/>
              <w:rPr>
                <w:rFonts w:ascii="Times New Roman" w:hAnsi="Times New Roman" w:eastAsia="仿宋" w:cs="宋体"/>
                <w:color w:val="000000"/>
                <w:kern w:val="0"/>
                <w:szCs w:val="21"/>
              </w:rPr>
            </w:pPr>
            <w:r>
              <w:rPr>
                <w:rFonts w:ascii="Times New Roman" w:hAnsi="Times New Roman" w:eastAsia="仿宋" w:cs="宋体"/>
                <w:color w:val="000000"/>
                <w:kern w:val="0"/>
                <w:szCs w:val="21"/>
              </w:rPr>
              <w:t>0</w:t>
            </w:r>
          </w:p>
        </w:tc>
      </w:tr>
      <w:tr>
        <w:tblPrEx>
          <w:tblCellMar>
            <w:top w:w="0" w:type="dxa"/>
            <w:left w:w="108" w:type="dxa"/>
            <w:bottom w:w="0" w:type="dxa"/>
            <w:right w:w="108" w:type="dxa"/>
          </w:tblCellMar>
        </w:tblPrEx>
        <w:trPr>
          <w:trHeight w:val="280" w:hRule="atLeast"/>
          <w:jc w:val="center"/>
        </w:trPr>
        <w:tc>
          <w:tcPr>
            <w:tcW w:w="1843" w:type="dxa"/>
            <w:tcBorders>
              <w:top w:val="nil"/>
              <w:left w:val="nil"/>
              <w:bottom w:val="single" w:color="auto" w:sz="4" w:space="0"/>
              <w:right w:val="nil"/>
            </w:tcBorders>
            <w:shd w:val="clear" w:color="auto" w:fill="auto"/>
            <w:noWrap/>
            <w:vAlign w:val="center"/>
          </w:tcPr>
          <w:p>
            <w:pPr>
              <w:widowControl/>
              <w:spacing w:line="280" w:lineRule="exact"/>
              <w:jc w:val="left"/>
              <w:rPr>
                <w:rFonts w:ascii="Times New Roman" w:hAnsi="Times New Roman" w:eastAsia="仿宋" w:cs="宋体"/>
                <w:bCs/>
                <w:color w:val="000000"/>
                <w:kern w:val="0"/>
                <w:szCs w:val="21"/>
              </w:rPr>
            </w:pPr>
            <w:r>
              <w:rPr>
                <w:rFonts w:hint="eastAsia" w:ascii="Times New Roman" w:hAnsi="Times New Roman" w:eastAsia="仿宋" w:cs="宋体"/>
                <w:bCs/>
                <w:color w:val="000000"/>
                <w:kern w:val="0"/>
                <w:szCs w:val="21"/>
              </w:rPr>
              <w:t>保障性租赁住房</w:t>
            </w:r>
          </w:p>
        </w:tc>
        <w:tc>
          <w:tcPr>
            <w:tcW w:w="5811" w:type="dxa"/>
            <w:tcBorders>
              <w:top w:val="nil"/>
              <w:left w:val="nil"/>
              <w:bottom w:val="single" w:color="auto" w:sz="4" w:space="0"/>
              <w:right w:val="nil"/>
            </w:tcBorders>
            <w:vAlign w:val="center"/>
          </w:tcPr>
          <w:p>
            <w:pPr>
              <w:widowControl/>
              <w:spacing w:line="280" w:lineRule="exact"/>
              <w:jc w:val="left"/>
              <w:rPr>
                <w:rFonts w:ascii="Times New Roman" w:hAnsi="Times New Roman" w:eastAsia="仿宋" w:cs="宋体"/>
                <w:color w:val="000000"/>
                <w:kern w:val="0"/>
                <w:szCs w:val="21"/>
              </w:rPr>
            </w:pPr>
            <w:r>
              <w:rPr>
                <w:rFonts w:hint="eastAsia" w:ascii="Times New Roman" w:hAnsi="Times New Roman" w:eastAsia="仿宋" w:cs="宋体"/>
                <w:color w:val="000000"/>
                <w:kern w:val="0"/>
                <w:szCs w:val="21"/>
              </w:rPr>
              <w:t>汕尾市不符合该申报领域</w:t>
            </w:r>
          </w:p>
        </w:tc>
        <w:tc>
          <w:tcPr>
            <w:tcW w:w="1134" w:type="dxa"/>
            <w:tcBorders>
              <w:top w:val="nil"/>
              <w:left w:val="nil"/>
              <w:bottom w:val="single" w:color="auto" w:sz="4" w:space="0"/>
              <w:right w:val="nil"/>
            </w:tcBorders>
            <w:shd w:val="clear" w:color="auto" w:fill="auto"/>
            <w:noWrap/>
            <w:vAlign w:val="center"/>
          </w:tcPr>
          <w:p>
            <w:pPr>
              <w:widowControl/>
              <w:spacing w:line="280" w:lineRule="exact"/>
              <w:jc w:val="center"/>
              <w:rPr>
                <w:rFonts w:ascii="Times New Roman" w:hAnsi="Times New Roman" w:eastAsia="仿宋" w:cs="宋体"/>
                <w:color w:val="000000"/>
                <w:kern w:val="0"/>
                <w:szCs w:val="21"/>
              </w:rPr>
            </w:pPr>
            <w:r>
              <w:rPr>
                <w:rFonts w:hint="eastAsia" w:ascii="Times New Roman" w:hAnsi="Times New Roman" w:eastAsia="仿宋" w:cs="宋体"/>
                <w:color w:val="000000"/>
                <w:kern w:val="0"/>
                <w:szCs w:val="21"/>
              </w:rPr>
              <w:t>0</w:t>
            </w:r>
          </w:p>
        </w:tc>
      </w:tr>
    </w:tbl>
    <w:p>
      <w:pPr>
        <w:spacing w:line="280" w:lineRule="exact"/>
        <w:rPr>
          <w:rFonts w:ascii="Times New Roman" w:hAnsi="Times New Roman" w:eastAsia="仿宋"/>
          <w:szCs w:val="21"/>
        </w:rPr>
      </w:pPr>
      <w:r>
        <w:rPr>
          <w:rFonts w:hint="eastAsia" w:ascii="Times New Roman" w:hAnsi="Times New Roman" w:eastAsia="仿宋"/>
          <w:szCs w:val="21"/>
        </w:rPr>
        <w:t>注：具体板块为汕尾市符合条件的可申报方向。</w:t>
      </w:r>
    </w:p>
    <w:p>
      <w:pPr>
        <w:spacing w:line="280" w:lineRule="exact"/>
        <w:rPr>
          <w:rFonts w:ascii="Times New Roman" w:hAnsi="Times New Roman" w:eastAsia="仿宋"/>
          <w:szCs w:val="21"/>
        </w:rPr>
      </w:pPr>
    </w:p>
    <w:p>
      <w:pPr>
        <w:spacing w:line="280" w:lineRule="exact"/>
        <w:rPr>
          <w:rFonts w:ascii="Times New Roman" w:hAnsi="Times New Roman" w:eastAsia="仿宋"/>
          <w:szCs w:val="21"/>
        </w:rPr>
      </w:pPr>
    </w:p>
    <w:p>
      <w:pPr>
        <w:spacing w:line="280" w:lineRule="exact"/>
        <w:rPr>
          <w:rFonts w:ascii="Times New Roman" w:hAnsi="Times New Roman" w:eastAsia="仿宋"/>
          <w:szCs w:val="21"/>
        </w:rPr>
      </w:pPr>
    </w:p>
    <w:p>
      <w:pPr>
        <w:spacing w:line="560" w:lineRule="exact"/>
        <w:ind w:firstLine="420" w:firstLineChars="200"/>
        <w:jc w:val="center"/>
        <w:rPr>
          <w:rFonts w:ascii="Times New Roman" w:hAnsi="Times New Roman" w:eastAsia="仿宋"/>
          <w:szCs w:val="21"/>
        </w:rPr>
      </w:pPr>
      <w:r>
        <w:rPr>
          <w:rFonts w:hint="eastAsia" w:ascii="Times New Roman" w:hAnsi="Times New Roman" w:eastAsia="仿宋"/>
          <w:szCs w:val="21"/>
        </w:rPr>
        <w:t>表2</w:t>
      </w:r>
      <w:r>
        <w:rPr>
          <w:rFonts w:ascii="Times New Roman" w:hAnsi="Times New Roman" w:eastAsia="仿宋"/>
          <w:szCs w:val="21"/>
        </w:rPr>
        <w:t xml:space="preserve"> 2022</w:t>
      </w:r>
      <w:r>
        <w:rPr>
          <w:rFonts w:hint="eastAsia" w:ascii="Times New Roman" w:hAnsi="Times New Roman" w:eastAsia="仿宋"/>
          <w:szCs w:val="21"/>
        </w:rPr>
        <w:t>年汕尾市市直责任单位的中央预算内投资的分配方案</w:t>
      </w:r>
    </w:p>
    <w:tbl>
      <w:tblPr>
        <w:tblStyle w:val="4"/>
        <w:tblW w:w="9498" w:type="dxa"/>
        <w:jc w:val="center"/>
        <w:tblLayout w:type="fixed"/>
        <w:tblCellMar>
          <w:top w:w="0" w:type="dxa"/>
          <w:left w:w="108" w:type="dxa"/>
          <w:bottom w:w="0" w:type="dxa"/>
          <w:right w:w="108" w:type="dxa"/>
        </w:tblCellMar>
      </w:tblPr>
      <w:tblGrid>
        <w:gridCol w:w="1985"/>
        <w:gridCol w:w="6379"/>
        <w:gridCol w:w="1134"/>
      </w:tblGrid>
      <w:tr>
        <w:tblPrEx>
          <w:tblCellMar>
            <w:top w:w="0" w:type="dxa"/>
            <w:left w:w="108" w:type="dxa"/>
            <w:bottom w:w="0" w:type="dxa"/>
            <w:right w:w="108" w:type="dxa"/>
          </w:tblCellMar>
        </w:tblPrEx>
        <w:trPr>
          <w:trHeight w:val="280" w:hRule="atLeast"/>
          <w:jc w:val="center"/>
        </w:trPr>
        <w:tc>
          <w:tcPr>
            <w:tcW w:w="1985" w:type="dxa"/>
            <w:tcBorders>
              <w:top w:val="single" w:color="auto" w:sz="4" w:space="0"/>
              <w:left w:val="nil"/>
              <w:bottom w:val="single" w:color="auto" w:sz="4" w:space="0"/>
              <w:right w:val="nil"/>
            </w:tcBorders>
            <w:shd w:val="clear" w:color="auto" w:fill="auto"/>
            <w:noWrap/>
            <w:vAlign w:val="center"/>
          </w:tcPr>
          <w:p>
            <w:pPr>
              <w:widowControl/>
              <w:spacing w:line="560" w:lineRule="exact"/>
              <w:jc w:val="center"/>
              <w:rPr>
                <w:rFonts w:ascii="Times New Roman" w:hAnsi="Times New Roman" w:eastAsia="仿宋" w:cs="宋体"/>
                <w:color w:val="000000"/>
                <w:kern w:val="0"/>
                <w:szCs w:val="21"/>
              </w:rPr>
            </w:pPr>
            <w:r>
              <w:rPr>
                <w:rFonts w:hint="eastAsia" w:ascii="Times New Roman" w:hAnsi="Times New Roman" w:eastAsia="仿宋" w:cs="宋体"/>
                <w:color w:val="000000"/>
                <w:kern w:val="0"/>
                <w:szCs w:val="21"/>
              </w:rPr>
              <w:t>市直责任单位</w:t>
            </w:r>
          </w:p>
        </w:tc>
        <w:tc>
          <w:tcPr>
            <w:tcW w:w="6379" w:type="dxa"/>
            <w:tcBorders>
              <w:top w:val="single" w:color="auto" w:sz="4" w:space="0"/>
              <w:left w:val="nil"/>
              <w:bottom w:val="single" w:color="auto" w:sz="4" w:space="0"/>
              <w:right w:val="nil"/>
            </w:tcBorders>
            <w:vAlign w:val="center"/>
          </w:tcPr>
          <w:p>
            <w:pPr>
              <w:widowControl/>
              <w:spacing w:line="560" w:lineRule="exact"/>
              <w:jc w:val="center"/>
              <w:rPr>
                <w:rFonts w:ascii="Times New Roman" w:hAnsi="Times New Roman" w:eastAsia="仿宋" w:cs="宋体"/>
                <w:color w:val="000000"/>
                <w:kern w:val="0"/>
                <w:szCs w:val="21"/>
              </w:rPr>
            </w:pPr>
            <w:r>
              <w:rPr>
                <w:rFonts w:hint="eastAsia" w:ascii="Times New Roman" w:hAnsi="Times New Roman" w:eastAsia="仿宋" w:cs="宋体"/>
                <w:color w:val="000000"/>
                <w:kern w:val="0"/>
                <w:szCs w:val="21"/>
              </w:rPr>
              <w:t>涉及领域</w:t>
            </w:r>
          </w:p>
        </w:tc>
        <w:tc>
          <w:tcPr>
            <w:tcW w:w="1134" w:type="dxa"/>
            <w:tcBorders>
              <w:top w:val="single" w:color="auto" w:sz="4" w:space="0"/>
              <w:left w:val="nil"/>
              <w:bottom w:val="single" w:color="auto" w:sz="4" w:space="0"/>
              <w:right w:val="nil"/>
            </w:tcBorders>
            <w:shd w:val="clear" w:color="auto" w:fill="auto"/>
            <w:noWrap/>
            <w:vAlign w:val="center"/>
          </w:tcPr>
          <w:p>
            <w:pPr>
              <w:widowControl/>
              <w:spacing w:line="560" w:lineRule="exact"/>
              <w:jc w:val="center"/>
              <w:rPr>
                <w:rFonts w:ascii="Times New Roman" w:hAnsi="Times New Roman" w:eastAsia="仿宋" w:cs="宋体"/>
                <w:color w:val="000000"/>
                <w:kern w:val="0"/>
                <w:szCs w:val="21"/>
              </w:rPr>
            </w:pPr>
            <w:r>
              <w:rPr>
                <w:rFonts w:hint="eastAsia" w:ascii="Times New Roman" w:hAnsi="Times New Roman" w:eastAsia="仿宋" w:cs="宋体"/>
                <w:color w:val="000000"/>
                <w:kern w:val="0"/>
                <w:szCs w:val="21"/>
              </w:rPr>
              <w:t>分配金额(万元)</w:t>
            </w:r>
          </w:p>
        </w:tc>
      </w:tr>
      <w:tr>
        <w:tblPrEx>
          <w:tblCellMar>
            <w:top w:w="0" w:type="dxa"/>
            <w:left w:w="108" w:type="dxa"/>
            <w:bottom w:w="0" w:type="dxa"/>
            <w:right w:w="108" w:type="dxa"/>
          </w:tblCellMar>
        </w:tblPrEx>
        <w:trPr>
          <w:trHeight w:val="280" w:hRule="atLeast"/>
          <w:jc w:val="center"/>
        </w:trPr>
        <w:tc>
          <w:tcPr>
            <w:tcW w:w="1985" w:type="dxa"/>
            <w:tcBorders>
              <w:top w:val="nil"/>
              <w:left w:val="nil"/>
              <w:bottom w:val="nil"/>
              <w:right w:val="nil"/>
            </w:tcBorders>
            <w:shd w:val="clear" w:color="auto" w:fill="auto"/>
            <w:noWrap/>
            <w:vAlign w:val="center"/>
          </w:tcPr>
          <w:p>
            <w:pPr>
              <w:widowControl/>
              <w:spacing w:line="560" w:lineRule="exact"/>
              <w:jc w:val="center"/>
              <w:rPr>
                <w:rFonts w:ascii="Times New Roman" w:hAnsi="Times New Roman" w:eastAsia="仿宋" w:cs="宋体"/>
                <w:color w:val="000000"/>
                <w:kern w:val="0"/>
                <w:szCs w:val="21"/>
              </w:rPr>
            </w:pPr>
            <w:r>
              <w:rPr>
                <w:rFonts w:hint="eastAsia" w:ascii="Times New Roman" w:hAnsi="Times New Roman" w:eastAsia="仿宋" w:cs="宋体"/>
                <w:bCs/>
                <w:color w:val="000000"/>
                <w:kern w:val="0"/>
                <w:szCs w:val="21"/>
              </w:rPr>
              <w:t>市住建局</w:t>
            </w:r>
          </w:p>
        </w:tc>
        <w:tc>
          <w:tcPr>
            <w:tcW w:w="6379" w:type="dxa"/>
            <w:tcBorders>
              <w:top w:val="nil"/>
              <w:left w:val="nil"/>
              <w:bottom w:val="nil"/>
              <w:right w:val="nil"/>
            </w:tcBorders>
          </w:tcPr>
          <w:p>
            <w:pPr>
              <w:widowControl/>
              <w:spacing w:line="560" w:lineRule="exact"/>
              <w:jc w:val="center"/>
              <w:rPr>
                <w:rFonts w:ascii="Times New Roman" w:hAnsi="Times New Roman" w:eastAsia="仿宋" w:cs="宋体"/>
                <w:color w:val="000000"/>
                <w:kern w:val="0"/>
                <w:szCs w:val="21"/>
              </w:rPr>
            </w:pPr>
            <w:r>
              <w:rPr>
                <w:rFonts w:hint="eastAsia" w:ascii="Times New Roman" w:hAnsi="Times New Roman" w:eastAsia="仿宋" w:cs="宋体"/>
                <w:color w:val="000000"/>
                <w:kern w:val="0"/>
                <w:szCs w:val="21"/>
              </w:rPr>
              <w:t>保障性安居工程、排水设施建设、污染治理和节能减碳</w:t>
            </w:r>
          </w:p>
        </w:tc>
        <w:tc>
          <w:tcPr>
            <w:tcW w:w="1134" w:type="dxa"/>
            <w:tcBorders>
              <w:top w:val="nil"/>
              <w:left w:val="nil"/>
              <w:bottom w:val="nil"/>
              <w:right w:val="nil"/>
            </w:tcBorders>
            <w:shd w:val="clear" w:color="auto" w:fill="auto"/>
            <w:noWrap/>
            <w:vAlign w:val="center"/>
          </w:tcPr>
          <w:p>
            <w:pPr>
              <w:widowControl/>
              <w:spacing w:line="560" w:lineRule="exact"/>
              <w:jc w:val="center"/>
              <w:rPr>
                <w:rFonts w:ascii="Times New Roman" w:hAnsi="Times New Roman" w:eastAsia="仿宋" w:cs="宋体"/>
                <w:color w:val="000000"/>
                <w:kern w:val="0"/>
                <w:szCs w:val="21"/>
              </w:rPr>
            </w:pPr>
            <w:r>
              <w:rPr>
                <w:rFonts w:ascii="Times New Roman" w:hAnsi="Times New Roman" w:eastAsia="仿宋" w:cs="宋体"/>
                <w:color w:val="000000"/>
                <w:kern w:val="0"/>
                <w:szCs w:val="21"/>
              </w:rPr>
              <w:t>94</w:t>
            </w:r>
            <w:r>
              <w:rPr>
                <w:rFonts w:hint="eastAsia" w:ascii="Times New Roman" w:hAnsi="Times New Roman" w:eastAsia="仿宋" w:cs="宋体"/>
                <w:color w:val="000000"/>
                <w:kern w:val="0"/>
                <w:szCs w:val="21"/>
              </w:rPr>
              <w:t>00</w:t>
            </w:r>
          </w:p>
        </w:tc>
      </w:tr>
      <w:tr>
        <w:tblPrEx>
          <w:tblCellMar>
            <w:top w:w="0" w:type="dxa"/>
            <w:left w:w="108" w:type="dxa"/>
            <w:bottom w:w="0" w:type="dxa"/>
            <w:right w:w="108" w:type="dxa"/>
          </w:tblCellMar>
        </w:tblPrEx>
        <w:trPr>
          <w:trHeight w:val="280" w:hRule="atLeast"/>
          <w:jc w:val="center"/>
        </w:trPr>
        <w:tc>
          <w:tcPr>
            <w:tcW w:w="1985" w:type="dxa"/>
            <w:tcBorders>
              <w:top w:val="nil"/>
              <w:left w:val="nil"/>
              <w:bottom w:val="nil"/>
              <w:right w:val="nil"/>
            </w:tcBorders>
            <w:shd w:val="clear" w:color="auto" w:fill="auto"/>
            <w:noWrap/>
            <w:vAlign w:val="center"/>
          </w:tcPr>
          <w:p>
            <w:pPr>
              <w:widowControl/>
              <w:spacing w:line="560" w:lineRule="exact"/>
              <w:jc w:val="center"/>
              <w:rPr>
                <w:rFonts w:ascii="Times New Roman" w:hAnsi="Times New Roman" w:eastAsia="仿宋" w:cs="宋体"/>
                <w:color w:val="000000"/>
                <w:kern w:val="0"/>
                <w:szCs w:val="21"/>
              </w:rPr>
            </w:pPr>
            <w:r>
              <w:rPr>
                <w:rFonts w:hint="eastAsia" w:ascii="Times New Roman" w:hAnsi="Times New Roman" w:eastAsia="仿宋" w:cs="宋体"/>
                <w:bCs/>
                <w:color w:val="000000"/>
                <w:kern w:val="0"/>
                <w:szCs w:val="21"/>
              </w:rPr>
              <w:t>市水务局</w:t>
            </w:r>
          </w:p>
        </w:tc>
        <w:tc>
          <w:tcPr>
            <w:tcW w:w="6379" w:type="dxa"/>
            <w:tcBorders>
              <w:top w:val="nil"/>
              <w:left w:val="nil"/>
              <w:bottom w:val="nil"/>
              <w:right w:val="nil"/>
            </w:tcBorders>
          </w:tcPr>
          <w:p>
            <w:pPr>
              <w:widowControl/>
              <w:spacing w:line="560" w:lineRule="exact"/>
              <w:jc w:val="center"/>
              <w:rPr>
                <w:rFonts w:ascii="Times New Roman" w:hAnsi="Times New Roman" w:eastAsia="仿宋" w:cs="宋体"/>
                <w:color w:val="000000"/>
                <w:kern w:val="0"/>
                <w:szCs w:val="21"/>
              </w:rPr>
            </w:pPr>
            <w:r>
              <w:rPr>
                <w:rFonts w:hint="eastAsia" w:ascii="Times New Roman" w:hAnsi="Times New Roman" w:eastAsia="仿宋" w:cs="宋体"/>
                <w:color w:val="000000"/>
                <w:kern w:val="0"/>
                <w:szCs w:val="21"/>
              </w:rPr>
              <w:t>水利工程投资</w:t>
            </w:r>
          </w:p>
        </w:tc>
        <w:tc>
          <w:tcPr>
            <w:tcW w:w="1134" w:type="dxa"/>
            <w:tcBorders>
              <w:top w:val="nil"/>
              <w:left w:val="nil"/>
              <w:bottom w:val="nil"/>
              <w:right w:val="nil"/>
            </w:tcBorders>
            <w:shd w:val="clear" w:color="auto" w:fill="auto"/>
            <w:noWrap/>
            <w:vAlign w:val="center"/>
          </w:tcPr>
          <w:p>
            <w:pPr>
              <w:widowControl/>
              <w:spacing w:line="560" w:lineRule="exact"/>
              <w:jc w:val="center"/>
              <w:rPr>
                <w:rFonts w:ascii="Times New Roman" w:hAnsi="Times New Roman" w:eastAsia="仿宋" w:cs="宋体"/>
                <w:color w:val="000000"/>
                <w:kern w:val="0"/>
                <w:szCs w:val="21"/>
              </w:rPr>
            </w:pPr>
            <w:r>
              <w:rPr>
                <w:rFonts w:ascii="Times New Roman" w:hAnsi="Times New Roman" w:eastAsia="仿宋" w:cs="宋体"/>
                <w:color w:val="000000"/>
                <w:kern w:val="0"/>
                <w:szCs w:val="21"/>
              </w:rPr>
              <w:t>8</w:t>
            </w:r>
            <w:r>
              <w:rPr>
                <w:rFonts w:hint="eastAsia" w:ascii="Times New Roman" w:hAnsi="Times New Roman" w:eastAsia="仿宋" w:cs="宋体"/>
                <w:color w:val="000000"/>
                <w:kern w:val="0"/>
                <w:szCs w:val="21"/>
              </w:rPr>
              <w:t>000</w:t>
            </w:r>
          </w:p>
        </w:tc>
      </w:tr>
      <w:tr>
        <w:tblPrEx>
          <w:tblCellMar>
            <w:top w:w="0" w:type="dxa"/>
            <w:left w:w="108" w:type="dxa"/>
            <w:bottom w:w="0" w:type="dxa"/>
            <w:right w:w="108" w:type="dxa"/>
          </w:tblCellMar>
        </w:tblPrEx>
        <w:trPr>
          <w:trHeight w:val="280" w:hRule="atLeast"/>
          <w:jc w:val="center"/>
        </w:trPr>
        <w:tc>
          <w:tcPr>
            <w:tcW w:w="1985" w:type="dxa"/>
            <w:tcBorders>
              <w:top w:val="nil"/>
              <w:left w:val="nil"/>
              <w:bottom w:val="nil"/>
              <w:right w:val="nil"/>
            </w:tcBorders>
            <w:shd w:val="clear" w:color="auto" w:fill="auto"/>
            <w:noWrap/>
            <w:vAlign w:val="center"/>
          </w:tcPr>
          <w:p>
            <w:pPr>
              <w:widowControl/>
              <w:spacing w:line="560" w:lineRule="exact"/>
              <w:jc w:val="center"/>
              <w:rPr>
                <w:rFonts w:ascii="Times New Roman" w:hAnsi="Times New Roman" w:eastAsia="仿宋" w:cs="宋体"/>
                <w:color w:val="000000"/>
                <w:kern w:val="0"/>
                <w:szCs w:val="21"/>
              </w:rPr>
            </w:pPr>
            <w:r>
              <w:rPr>
                <w:rFonts w:hint="eastAsia" w:ascii="Times New Roman" w:hAnsi="Times New Roman" w:eastAsia="仿宋" w:cs="宋体"/>
                <w:bCs/>
                <w:color w:val="000000"/>
                <w:kern w:val="0"/>
                <w:szCs w:val="21"/>
              </w:rPr>
              <w:t>市卫健局</w:t>
            </w:r>
          </w:p>
        </w:tc>
        <w:tc>
          <w:tcPr>
            <w:tcW w:w="6379" w:type="dxa"/>
            <w:tcBorders>
              <w:top w:val="nil"/>
              <w:left w:val="nil"/>
              <w:bottom w:val="nil"/>
              <w:right w:val="nil"/>
            </w:tcBorders>
          </w:tcPr>
          <w:p>
            <w:pPr>
              <w:widowControl/>
              <w:spacing w:line="560" w:lineRule="exact"/>
              <w:jc w:val="center"/>
              <w:rPr>
                <w:rFonts w:ascii="Times New Roman" w:hAnsi="Times New Roman" w:eastAsia="仿宋" w:cs="宋体"/>
                <w:color w:val="000000"/>
                <w:kern w:val="0"/>
                <w:szCs w:val="21"/>
              </w:rPr>
            </w:pPr>
            <w:r>
              <w:rPr>
                <w:rFonts w:hint="eastAsia" w:ascii="Times New Roman" w:hAnsi="Times New Roman" w:eastAsia="仿宋" w:cs="宋体"/>
                <w:color w:val="000000"/>
                <w:kern w:val="0"/>
                <w:szCs w:val="21"/>
              </w:rPr>
              <w:t>医疗卫生体系、人口老龄化工程和托育建设项目</w:t>
            </w:r>
          </w:p>
        </w:tc>
        <w:tc>
          <w:tcPr>
            <w:tcW w:w="1134" w:type="dxa"/>
            <w:tcBorders>
              <w:top w:val="nil"/>
              <w:left w:val="nil"/>
              <w:bottom w:val="nil"/>
              <w:right w:val="nil"/>
            </w:tcBorders>
            <w:shd w:val="clear" w:color="auto" w:fill="auto"/>
            <w:noWrap/>
            <w:vAlign w:val="center"/>
          </w:tcPr>
          <w:p>
            <w:pPr>
              <w:widowControl/>
              <w:spacing w:line="560" w:lineRule="exact"/>
              <w:jc w:val="center"/>
              <w:rPr>
                <w:rFonts w:ascii="Times New Roman" w:hAnsi="Times New Roman" w:eastAsia="仿宋" w:cs="宋体"/>
                <w:color w:val="000000"/>
                <w:kern w:val="0"/>
                <w:szCs w:val="21"/>
              </w:rPr>
            </w:pPr>
            <w:r>
              <w:rPr>
                <w:rFonts w:ascii="Times New Roman" w:hAnsi="Times New Roman" w:eastAsia="仿宋" w:cs="宋体"/>
                <w:color w:val="000000"/>
                <w:kern w:val="0"/>
                <w:szCs w:val="21"/>
              </w:rPr>
              <w:t>58</w:t>
            </w:r>
            <w:r>
              <w:rPr>
                <w:rFonts w:hint="eastAsia" w:ascii="Times New Roman" w:hAnsi="Times New Roman" w:eastAsia="仿宋" w:cs="宋体"/>
                <w:color w:val="000000"/>
                <w:kern w:val="0"/>
                <w:szCs w:val="21"/>
              </w:rPr>
              <w:t>00</w:t>
            </w:r>
          </w:p>
        </w:tc>
      </w:tr>
      <w:tr>
        <w:tblPrEx>
          <w:tblCellMar>
            <w:top w:w="0" w:type="dxa"/>
            <w:left w:w="108" w:type="dxa"/>
            <w:bottom w:w="0" w:type="dxa"/>
            <w:right w:w="108" w:type="dxa"/>
          </w:tblCellMar>
        </w:tblPrEx>
        <w:trPr>
          <w:trHeight w:val="280" w:hRule="atLeast"/>
          <w:jc w:val="center"/>
        </w:trPr>
        <w:tc>
          <w:tcPr>
            <w:tcW w:w="1985" w:type="dxa"/>
            <w:tcBorders>
              <w:top w:val="nil"/>
              <w:left w:val="nil"/>
              <w:bottom w:val="nil"/>
              <w:right w:val="nil"/>
            </w:tcBorders>
            <w:shd w:val="clear" w:color="auto" w:fill="auto"/>
            <w:noWrap/>
            <w:vAlign w:val="center"/>
          </w:tcPr>
          <w:p>
            <w:pPr>
              <w:widowControl/>
              <w:spacing w:line="560" w:lineRule="exact"/>
              <w:jc w:val="center"/>
              <w:rPr>
                <w:rFonts w:ascii="Times New Roman" w:hAnsi="Times New Roman" w:eastAsia="仿宋" w:cs="宋体"/>
                <w:color w:val="000000"/>
                <w:kern w:val="0"/>
                <w:szCs w:val="21"/>
              </w:rPr>
            </w:pPr>
            <w:r>
              <w:rPr>
                <w:rFonts w:hint="eastAsia" w:ascii="Times New Roman" w:hAnsi="Times New Roman" w:eastAsia="仿宋" w:cs="宋体"/>
                <w:bCs/>
                <w:color w:val="000000"/>
                <w:kern w:val="0"/>
                <w:szCs w:val="21"/>
              </w:rPr>
              <w:t>市教育局</w:t>
            </w:r>
          </w:p>
        </w:tc>
        <w:tc>
          <w:tcPr>
            <w:tcW w:w="6379" w:type="dxa"/>
            <w:tcBorders>
              <w:top w:val="nil"/>
              <w:left w:val="nil"/>
              <w:bottom w:val="nil"/>
              <w:right w:val="nil"/>
            </w:tcBorders>
          </w:tcPr>
          <w:p>
            <w:pPr>
              <w:widowControl/>
              <w:spacing w:line="560" w:lineRule="exact"/>
              <w:jc w:val="center"/>
              <w:rPr>
                <w:rFonts w:ascii="Times New Roman" w:hAnsi="Times New Roman" w:eastAsia="仿宋" w:cs="宋体"/>
                <w:color w:val="000000"/>
                <w:kern w:val="0"/>
                <w:szCs w:val="21"/>
              </w:rPr>
            </w:pPr>
            <w:r>
              <w:rPr>
                <w:rFonts w:hint="eastAsia" w:ascii="Times New Roman" w:hAnsi="Times New Roman" w:eastAsia="仿宋" w:cs="宋体"/>
                <w:color w:val="000000"/>
                <w:kern w:val="0"/>
                <w:szCs w:val="21"/>
              </w:rPr>
              <w:t>教育强国推进工程</w:t>
            </w:r>
          </w:p>
        </w:tc>
        <w:tc>
          <w:tcPr>
            <w:tcW w:w="1134" w:type="dxa"/>
            <w:tcBorders>
              <w:top w:val="nil"/>
              <w:left w:val="nil"/>
              <w:bottom w:val="nil"/>
              <w:right w:val="nil"/>
            </w:tcBorders>
            <w:shd w:val="clear" w:color="auto" w:fill="auto"/>
            <w:noWrap/>
            <w:vAlign w:val="center"/>
          </w:tcPr>
          <w:p>
            <w:pPr>
              <w:widowControl/>
              <w:spacing w:line="560" w:lineRule="exact"/>
              <w:jc w:val="center"/>
              <w:rPr>
                <w:rFonts w:ascii="Times New Roman" w:hAnsi="Times New Roman" w:eastAsia="仿宋" w:cs="宋体"/>
                <w:color w:val="000000"/>
                <w:kern w:val="0"/>
                <w:szCs w:val="21"/>
              </w:rPr>
            </w:pPr>
            <w:r>
              <w:rPr>
                <w:rFonts w:ascii="Times New Roman" w:hAnsi="Times New Roman" w:eastAsia="仿宋" w:cs="宋体"/>
                <w:color w:val="000000"/>
                <w:kern w:val="0"/>
                <w:szCs w:val="21"/>
              </w:rPr>
              <w:t>50</w:t>
            </w:r>
            <w:r>
              <w:rPr>
                <w:rFonts w:hint="eastAsia" w:ascii="Times New Roman" w:hAnsi="Times New Roman" w:eastAsia="仿宋" w:cs="宋体"/>
                <w:color w:val="000000"/>
                <w:kern w:val="0"/>
                <w:szCs w:val="21"/>
              </w:rPr>
              <w:t>00</w:t>
            </w:r>
          </w:p>
        </w:tc>
      </w:tr>
      <w:tr>
        <w:tblPrEx>
          <w:tblCellMar>
            <w:top w:w="0" w:type="dxa"/>
            <w:left w:w="108" w:type="dxa"/>
            <w:bottom w:w="0" w:type="dxa"/>
            <w:right w:w="108" w:type="dxa"/>
          </w:tblCellMar>
        </w:tblPrEx>
        <w:trPr>
          <w:trHeight w:val="280" w:hRule="atLeast"/>
          <w:jc w:val="center"/>
        </w:trPr>
        <w:tc>
          <w:tcPr>
            <w:tcW w:w="1985" w:type="dxa"/>
            <w:tcBorders>
              <w:top w:val="nil"/>
              <w:left w:val="nil"/>
              <w:bottom w:val="nil"/>
              <w:right w:val="nil"/>
            </w:tcBorders>
            <w:shd w:val="clear" w:color="auto" w:fill="auto"/>
            <w:noWrap/>
            <w:vAlign w:val="center"/>
          </w:tcPr>
          <w:p>
            <w:pPr>
              <w:widowControl/>
              <w:spacing w:line="560" w:lineRule="exact"/>
              <w:jc w:val="center"/>
              <w:rPr>
                <w:rFonts w:ascii="Times New Roman" w:hAnsi="Times New Roman" w:eastAsia="仿宋" w:cs="宋体"/>
                <w:color w:val="000000"/>
                <w:kern w:val="0"/>
                <w:szCs w:val="21"/>
              </w:rPr>
            </w:pPr>
            <w:r>
              <w:rPr>
                <w:rFonts w:hint="eastAsia" w:ascii="Times New Roman" w:hAnsi="Times New Roman" w:eastAsia="仿宋" w:cs="宋体"/>
                <w:bCs/>
                <w:color w:val="000000"/>
                <w:kern w:val="0"/>
                <w:szCs w:val="21"/>
              </w:rPr>
              <w:t>市文广旅体局</w:t>
            </w:r>
          </w:p>
        </w:tc>
        <w:tc>
          <w:tcPr>
            <w:tcW w:w="6379" w:type="dxa"/>
            <w:tcBorders>
              <w:top w:val="nil"/>
              <w:left w:val="nil"/>
              <w:bottom w:val="nil"/>
              <w:right w:val="nil"/>
            </w:tcBorders>
          </w:tcPr>
          <w:p>
            <w:pPr>
              <w:widowControl/>
              <w:spacing w:line="560" w:lineRule="exact"/>
              <w:jc w:val="center"/>
              <w:rPr>
                <w:rFonts w:ascii="Times New Roman" w:hAnsi="Times New Roman" w:eastAsia="仿宋" w:cs="宋体"/>
                <w:color w:val="000000"/>
                <w:kern w:val="0"/>
                <w:szCs w:val="21"/>
              </w:rPr>
            </w:pPr>
            <w:r>
              <w:rPr>
                <w:rFonts w:hint="eastAsia" w:ascii="Times New Roman" w:hAnsi="Times New Roman" w:eastAsia="仿宋" w:cs="宋体"/>
                <w:color w:val="000000"/>
                <w:kern w:val="0"/>
                <w:szCs w:val="21"/>
              </w:rPr>
              <w:t>全民健身设施补短板工程、文化保护传承利用工程</w:t>
            </w:r>
          </w:p>
        </w:tc>
        <w:tc>
          <w:tcPr>
            <w:tcW w:w="1134" w:type="dxa"/>
            <w:tcBorders>
              <w:top w:val="nil"/>
              <w:left w:val="nil"/>
              <w:bottom w:val="nil"/>
              <w:right w:val="nil"/>
            </w:tcBorders>
            <w:shd w:val="clear" w:color="auto" w:fill="auto"/>
            <w:noWrap/>
            <w:vAlign w:val="center"/>
          </w:tcPr>
          <w:p>
            <w:pPr>
              <w:widowControl/>
              <w:spacing w:line="560" w:lineRule="exact"/>
              <w:jc w:val="center"/>
              <w:rPr>
                <w:rFonts w:ascii="Times New Roman" w:hAnsi="Times New Roman" w:eastAsia="仿宋" w:cs="宋体"/>
                <w:color w:val="000000"/>
                <w:kern w:val="0"/>
                <w:szCs w:val="21"/>
              </w:rPr>
            </w:pPr>
            <w:r>
              <w:rPr>
                <w:rFonts w:ascii="Times New Roman" w:hAnsi="Times New Roman" w:eastAsia="仿宋" w:cs="宋体"/>
                <w:color w:val="000000"/>
                <w:kern w:val="0"/>
                <w:szCs w:val="21"/>
              </w:rPr>
              <w:t>24</w:t>
            </w:r>
            <w:r>
              <w:rPr>
                <w:rFonts w:hint="eastAsia" w:ascii="Times New Roman" w:hAnsi="Times New Roman" w:eastAsia="仿宋" w:cs="宋体"/>
                <w:color w:val="000000"/>
                <w:kern w:val="0"/>
                <w:szCs w:val="21"/>
              </w:rPr>
              <w:t>00</w:t>
            </w:r>
          </w:p>
        </w:tc>
      </w:tr>
      <w:tr>
        <w:tblPrEx>
          <w:tblCellMar>
            <w:top w:w="0" w:type="dxa"/>
            <w:left w:w="108" w:type="dxa"/>
            <w:bottom w:w="0" w:type="dxa"/>
            <w:right w:w="108" w:type="dxa"/>
          </w:tblCellMar>
        </w:tblPrEx>
        <w:trPr>
          <w:trHeight w:val="280" w:hRule="atLeast"/>
          <w:jc w:val="center"/>
        </w:trPr>
        <w:tc>
          <w:tcPr>
            <w:tcW w:w="1985" w:type="dxa"/>
            <w:tcBorders>
              <w:top w:val="nil"/>
              <w:left w:val="nil"/>
              <w:bottom w:val="nil"/>
              <w:right w:val="nil"/>
            </w:tcBorders>
            <w:shd w:val="clear" w:color="auto" w:fill="auto"/>
            <w:noWrap/>
            <w:vAlign w:val="center"/>
          </w:tcPr>
          <w:p>
            <w:pPr>
              <w:widowControl/>
              <w:spacing w:line="560" w:lineRule="exact"/>
              <w:jc w:val="center"/>
              <w:rPr>
                <w:rFonts w:ascii="Times New Roman" w:hAnsi="Times New Roman" w:eastAsia="仿宋" w:cs="宋体"/>
                <w:color w:val="000000"/>
                <w:kern w:val="0"/>
                <w:szCs w:val="21"/>
              </w:rPr>
            </w:pPr>
            <w:r>
              <w:rPr>
                <w:rFonts w:hint="eastAsia" w:ascii="Times New Roman" w:hAnsi="Times New Roman" w:eastAsia="仿宋" w:cs="宋体"/>
                <w:bCs/>
                <w:color w:val="000000"/>
                <w:kern w:val="0"/>
                <w:szCs w:val="21"/>
              </w:rPr>
              <w:t>市民政局</w:t>
            </w:r>
          </w:p>
        </w:tc>
        <w:tc>
          <w:tcPr>
            <w:tcW w:w="6379" w:type="dxa"/>
            <w:tcBorders>
              <w:top w:val="nil"/>
              <w:left w:val="nil"/>
              <w:bottom w:val="nil"/>
              <w:right w:val="nil"/>
            </w:tcBorders>
          </w:tcPr>
          <w:p>
            <w:pPr>
              <w:widowControl/>
              <w:spacing w:line="560" w:lineRule="exact"/>
              <w:jc w:val="center"/>
              <w:rPr>
                <w:rFonts w:ascii="Times New Roman" w:hAnsi="Times New Roman" w:eastAsia="仿宋" w:cs="宋体"/>
                <w:color w:val="000000"/>
                <w:kern w:val="0"/>
                <w:szCs w:val="21"/>
              </w:rPr>
            </w:pPr>
            <w:r>
              <w:rPr>
                <w:rFonts w:hint="eastAsia" w:ascii="Times New Roman" w:hAnsi="Times New Roman" w:eastAsia="仿宋" w:cs="宋体"/>
                <w:color w:val="000000"/>
                <w:kern w:val="0"/>
                <w:szCs w:val="21"/>
              </w:rPr>
              <w:t>人口老龄化工程和托育建设项目、社会服务设施兜底线工程</w:t>
            </w:r>
          </w:p>
        </w:tc>
        <w:tc>
          <w:tcPr>
            <w:tcW w:w="1134" w:type="dxa"/>
            <w:tcBorders>
              <w:top w:val="nil"/>
              <w:left w:val="nil"/>
              <w:bottom w:val="nil"/>
              <w:right w:val="nil"/>
            </w:tcBorders>
            <w:shd w:val="clear" w:color="auto" w:fill="auto"/>
            <w:noWrap/>
            <w:vAlign w:val="center"/>
          </w:tcPr>
          <w:p>
            <w:pPr>
              <w:widowControl/>
              <w:spacing w:line="560" w:lineRule="exact"/>
              <w:jc w:val="center"/>
              <w:rPr>
                <w:rFonts w:ascii="Times New Roman" w:hAnsi="Times New Roman" w:eastAsia="仿宋" w:cs="宋体"/>
                <w:color w:val="000000"/>
                <w:kern w:val="0"/>
                <w:szCs w:val="21"/>
              </w:rPr>
            </w:pPr>
            <w:r>
              <w:rPr>
                <w:rFonts w:ascii="Times New Roman" w:hAnsi="Times New Roman" w:eastAsia="仿宋" w:cs="宋体"/>
                <w:color w:val="000000"/>
                <w:kern w:val="0"/>
                <w:szCs w:val="21"/>
              </w:rPr>
              <w:t>16</w:t>
            </w:r>
            <w:r>
              <w:rPr>
                <w:rFonts w:hint="eastAsia" w:ascii="Times New Roman" w:hAnsi="Times New Roman" w:eastAsia="仿宋" w:cs="宋体"/>
                <w:color w:val="000000"/>
                <w:kern w:val="0"/>
                <w:szCs w:val="21"/>
              </w:rPr>
              <w:t>00</w:t>
            </w:r>
          </w:p>
        </w:tc>
      </w:tr>
      <w:tr>
        <w:tblPrEx>
          <w:tblCellMar>
            <w:top w:w="0" w:type="dxa"/>
            <w:left w:w="108" w:type="dxa"/>
            <w:bottom w:w="0" w:type="dxa"/>
            <w:right w:w="108" w:type="dxa"/>
          </w:tblCellMar>
        </w:tblPrEx>
        <w:trPr>
          <w:trHeight w:val="280" w:hRule="atLeast"/>
          <w:jc w:val="center"/>
        </w:trPr>
        <w:tc>
          <w:tcPr>
            <w:tcW w:w="1985" w:type="dxa"/>
            <w:tcBorders>
              <w:top w:val="nil"/>
              <w:left w:val="nil"/>
              <w:bottom w:val="nil"/>
              <w:right w:val="nil"/>
            </w:tcBorders>
            <w:shd w:val="clear" w:color="auto" w:fill="auto"/>
            <w:noWrap/>
            <w:vAlign w:val="center"/>
          </w:tcPr>
          <w:p>
            <w:pPr>
              <w:widowControl/>
              <w:spacing w:line="560" w:lineRule="exact"/>
              <w:jc w:val="center"/>
              <w:rPr>
                <w:rFonts w:ascii="Times New Roman" w:hAnsi="Times New Roman" w:eastAsia="仿宋" w:cs="宋体"/>
                <w:color w:val="000000"/>
                <w:kern w:val="0"/>
                <w:szCs w:val="21"/>
              </w:rPr>
            </w:pPr>
            <w:r>
              <w:rPr>
                <w:rFonts w:hint="eastAsia" w:ascii="Times New Roman" w:hAnsi="Times New Roman" w:eastAsia="仿宋" w:cs="宋体"/>
                <w:bCs/>
                <w:color w:val="000000"/>
                <w:kern w:val="0"/>
                <w:szCs w:val="21"/>
              </w:rPr>
              <w:t>市人社局</w:t>
            </w:r>
          </w:p>
        </w:tc>
        <w:tc>
          <w:tcPr>
            <w:tcW w:w="6379" w:type="dxa"/>
            <w:tcBorders>
              <w:top w:val="nil"/>
              <w:left w:val="nil"/>
              <w:bottom w:val="nil"/>
              <w:right w:val="nil"/>
            </w:tcBorders>
          </w:tcPr>
          <w:p>
            <w:pPr>
              <w:widowControl/>
              <w:spacing w:line="560" w:lineRule="exact"/>
              <w:jc w:val="center"/>
              <w:rPr>
                <w:rFonts w:ascii="Times New Roman" w:hAnsi="Times New Roman" w:eastAsia="仿宋" w:cs="宋体"/>
                <w:color w:val="000000"/>
                <w:kern w:val="0"/>
                <w:szCs w:val="21"/>
              </w:rPr>
            </w:pPr>
            <w:r>
              <w:rPr>
                <w:rFonts w:hint="eastAsia" w:ascii="Times New Roman" w:hAnsi="Times New Roman" w:eastAsia="仿宋" w:cs="宋体"/>
                <w:color w:val="000000"/>
                <w:kern w:val="0"/>
                <w:szCs w:val="21"/>
              </w:rPr>
              <w:t>教育强国推进工程（公共实训基地建设方向）、教育强国推进工程</w:t>
            </w:r>
          </w:p>
        </w:tc>
        <w:tc>
          <w:tcPr>
            <w:tcW w:w="1134" w:type="dxa"/>
            <w:tcBorders>
              <w:top w:val="nil"/>
              <w:left w:val="nil"/>
              <w:bottom w:val="nil"/>
              <w:right w:val="nil"/>
            </w:tcBorders>
            <w:shd w:val="clear" w:color="auto" w:fill="auto"/>
            <w:noWrap/>
            <w:vAlign w:val="center"/>
          </w:tcPr>
          <w:p>
            <w:pPr>
              <w:widowControl/>
              <w:spacing w:line="560" w:lineRule="exact"/>
              <w:jc w:val="center"/>
              <w:rPr>
                <w:rFonts w:ascii="Times New Roman" w:hAnsi="Times New Roman" w:eastAsia="仿宋" w:cs="宋体"/>
                <w:color w:val="000000"/>
                <w:kern w:val="0"/>
                <w:szCs w:val="21"/>
              </w:rPr>
            </w:pPr>
            <w:r>
              <w:rPr>
                <w:rFonts w:ascii="Times New Roman" w:hAnsi="Times New Roman" w:eastAsia="仿宋" w:cs="宋体"/>
                <w:color w:val="000000"/>
                <w:kern w:val="0"/>
                <w:szCs w:val="21"/>
              </w:rPr>
              <w:t>16</w:t>
            </w:r>
            <w:r>
              <w:rPr>
                <w:rFonts w:hint="eastAsia" w:ascii="Times New Roman" w:hAnsi="Times New Roman" w:eastAsia="仿宋" w:cs="宋体"/>
                <w:color w:val="000000"/>
                <w:kern w:val="0"/>
                <w:szCs w:val="21"/>
              </w:rPr>
              <w:t>00</w:t>
            </w:r>
          </w:p>
        </w:tc>
      </w:tr>
      <w:tr>
        <w:tblPrEx>
          <w:tblCellMar>
            <w:top w:w="0" w:type="dxa"/>
            <w:left w:w="108" w:type="dxa"/>
            <w:bottom w:w="0" w:type="dxa"/>
            <w:right w:w="108" w:type="dxa"/>
          </w:tblCellMar>
        </w:tblPrEx>
        <w:trPr>
          <w:trHeight w:val="280" w:hRule="atLeast"/>
          <w:jc w:val="center"/>
        </w:trPr>
        <w:tc>
          <w:tcPr>
            <w:tcW w:w="1985" w:type="dxa"/>
            <w:tcBorders>
              <w:top w:val="nil"/>
              <w:left w:val="nil"/>
              <w:bottom w:val="nil"/>
              <w:right w:val="nil"/>
            </w:tcBorders>
            <w:shd w:val="clear" w:color="auto" w:fill="auto"/>
            <w:noWrap/>
            <w:vAlign w:val="center"/>
          </w:tcPr>
          <w:p>
            <w:pPr>
              <w:widowControl/>
              <w:spacing w:line="560" w:lineRule="exact"/>
              <w:jc w:val="center"/>
              <w:rPr>
                <w:rFonts w:ascii="Times New Roman" w:hAnsi="Times New Roman" w:eastAsia="仿宋" w:cs="宋体"/>
                <w:color w:val="000000"/>
                <w:kern w:val="0"/>
                <w:szCs w:val="21"/>
              </w:rPr>
            </w:pPr>
            <w:r>
              <w:rPr>
                <w:rFonts w:hint="eastAsia" w:ascii="Times New Roman" w:hAnsi="Times New Roman" w:eastAsia="仿宋" w:cs="宋体"/>
                <w:bCs/>
                <w:color w:val="000000"/>
                <w:kern w:val="0"/>
                <w:szCs w:val="21"/>
              </w:rPr>
              <w:t>市发改局</w:t>
            </w:r>
          </w:p>
        </w:tc>
        <w:tc>
          <w:tcPr>
            <w:tcW w:w="6379" w:type="dxa"/>
            <w:tcBorders>
              <w:top w:val="nil"/>
              <w:left w:val="nil"/>
              <w:bottom w:val="nil"/>
              <w:right w:val="nil"/>
            </w:tcBorders>
          </w:tcPr>
          <w:p>
            <w:pPr>
              <w:widowControl/>
              <w:spacing w:line="560" w:lineRule="exact"/>
              <w:jc w:val="center"/>
              <w:rPr>
                <w:rFonts w:ascii="Times New Roman" w:hAnsi="Times New Roman" w:eastAsia="仿宋" w:cs="宋体"/>
                <w:color w:val="000000"/>
                <w:kern w:val="0"/>
                <w:szCs w:val="21"/>
              </w:rPr>
            </w:pPr>
            <w:r>
              <w:rPr>
                <w:rFonts w:hint="eastAsia" w:ascii="Times New Roman" w:hAnsi="Times New Roman" w:eastAsia="仿宋" w:cs="宋体"/>
                <w:color w:val="000000"/>
                <w:kern w:val="0"/>
                <w:szCs w:val="21"/>
              </w:rPr>
              <w:t>粮食等重要农产品仓储设施、节能减碳</w:t>
            </w:r>
          </w:p>
        </w:tc>
        <w:tc>
          <w:tcPr>
            <w:tcW w:w="1134" w:type="dxa"/>
            <w:tcBorders>
              <w:top w:val="nil"/>
              <w:left w:val="nil"/>
              <w:bottom w:val="nil"/>
              <w:right w:val="nil"/>
            </w:tcBorders>
            <w:shd w:val="clear" w:color="auto" w:fill="auto"/>
            <w:noWrap/>
            <w:vAlign w:val="center"/>
          </w:tcPr>
          <w:p>
            <w:pPr>
              <w:widowControl/>
              <w:spacing w:line="560" w:lineRule="exact"/>
              <w:jc w:val="center"/>
              <w:rPr>
                <w:rFonts w:ascii="Times New Roman" w:hAnsi="Times New Roman" w:eastAsia="仿宋" w:cs="宋体"/>
                <w:color w:val="000000"/>
                <w:kern w:val="0"/>
                <w:szCs w:val="21"/>
              </w:rPr>
            </w:pPr>
            <w:r>
              <w:rPr>
                <w:rFonts w:ascii="Times New Roman" w:hAnsi="Times New Roman" w:eastAsia="仿宋" w:cs="宋体"/>
                <w:color w:val="000000"/>
                <w:kern w:val="0"/>
                <w:szCs w:val="21"/>
              </w:rPr>
              <w:t>14</w:t>
            </w:r>
            <w:r>
              <w:rPr>
                <w:rFonts w:hint="eastAsia" w:ascii="Times New Roman" w:hAnsi="Times New Roman" w:eastAsia="仿宋" w:cs="宋体"/>
                <w:color w:val="000000"/>
                <w:kern w:val="0"/>
                <w:szCs w:val="21"/>
              </w:rPr>
              <w:t>00</w:t>
            </w:r>
          </w:p>
        </w:tc>
      </w:tr>
      <w:tr>
        <w:tblPrEx>
          <w:tblCellMar>
            <w:top w:w="0" w:type="dxa"/>
            <w:left w:w="108" w:type="dxa"/>
            <w:bottom w:w="0" w:type="dxa"/>
            <w:right w:w="108" w:type="dxa"/>
          </w:tblCellMar>
        </w:tblPrEx>
        <w:trPr>
          <w:trHeight w:val="280" w:hRule="atLeast"/>
          <w:jc w:val="center"/>
        </w:trPr>
        <w:tc>
          <w:tcPr>
            <w:tcW w:w="1985" w:type="dxa"/>
            <w:tcBorders>
              <w:top w:val="nil"/>
              <w:left w:val="nil"/>
              <w:bottom w:val="nil"/>
              <w:right w:val="nil"/>
            </w:tcBorders>
            <w:shd w:val="clear" w:color="auto" w:fill="auto"/>
            <w:noWrap/>
            <w:vAlign w:val="center"/>
          </w:tcPr>
          <w:p>
            <w:pPr>
              <w:widowControl/>
              <w:spacing w:line="560" w:lineRule="exact"/>
              <w:jc w:val="center"/>
              <w:rPr>
                <w:rFonts w:ascii="Times New Roman" w:hAnsi="Times New Roman" w:eastAsia="仿宋" w:cs="宋体"/>
                <w:color w:val="000000"/>
                <w:kern w:val="0"/>
                <w:szCs w:val="21"/>
              </w:rPr>
            </w:pPr>
            <w:r>
              <w:rPr>
                <w:rFonts w:hint="eastAsia" w:ascii="Times New Roman" w:hAnsi="Times New Roman" w:eastAsia="仿宋" w:cs="宋体"/>
                <w:bCs/>
                <w:color w:val="000000"/>
                <w:kern w:val="0"/>
                <w:szCs w:val="21"/>
              </w:rPr>
              <w:t>市工信局</w:t>
            </w:r>
          </w:p>
        </w:tc>
        <w:tc>
          <w:tcPr>
            <w:tcW w:w="6379" w:type="dxa"/>
            <w:tcBorders>
              <w:top w:val="nil"/>
              <w:left w:val="nil"/>
              <w:bottom w:val="nil"/>
              <w:right w:val="nil"/>
            </w:tcBorders>
          </w:tcPr>
          <w:p>
            <w:pPr>
              <w:widowControl/>
              <w:spacing w:line="560" w:lineRule="exact"/>
              <w:jc w:val="center"/>
              <w:rPr>
                <w:rFonts w:ascii="Times New Roman" w:hAnsi="Times New Roman" w:eastAsia="仿宋" w:cs="宋体"/>
                <w:color w:val="000000"/>
                <w:kern w:val="0"/>
                <w:szCs w:val="21"/>
              </w:rPr>
            </w:pPr>
            <w:r>
              <w:rPr>
                <w:rFonts w:hint="eastAsia" w:ascii="Times New Roman" w:hAnsi="Times New Roman" w:eastAsia="仿宋" w:cs="宋体"/>
                <w:color w:val="000000"/>
                <w:kern w:val="0"/>
                <w:szCs w:val="21"/>
              </w:rPr>
              <w:t>新一代信息基础设施领域</w:t>
            </w:r>
          </w:p>
        </w:tc>
        <w:tc>
          <w:tcPr>
            <w:tcW w:w="1134" w:type="dxa"/>
            <w:tcBorders>
              <w:top w:val="nil"/>
              <w:left w:val="nil"/>
              <w:bottom w:val="nil"/>
              <w:right w:val="nil"/>
            </w:tcBorders>
            <w:shd w:val="clear" w:color="auto" w:fill="auto"/>
            <w:noWrap/>
            <w:vAlign w:val="center"/>
          </w:tcPr>
          <w:p>
            <w:pPr>
              <w:widowControl/>
              <w:spacing w:line="560" w:lineRule="exact"/>
              <w:jc w:val="center"/>
              <w:rPr>
                <w:rFonts w:ascii="Times New Roman" w:hAnsi="Times New Roman" w:eastAsia="仿宋" w:cs="宋体"/>
                <w:color w:val="000000"/>
                <w:kern w:val="0"/>
                <w:szCs w:val="21"/>
              </w:rPr>
            </w:pPr>
            <w:r>
              <w:rPr>
                <w:rFonts w:ascii="Times New Roman" w:hAnsi="Times New Roman" w:eastAsia="仿宋" w:cs="宋体"/>
                <w:color w:val="000000"/>
                <w:kern w:val="0"/>
                <w:szCs w:val="21"/>
              </w:rPr>
              <w:t>12</w:t>
            </w:r>
            <w:r>
              <w:rPr>
                <w:rFonts w:hint="eastAsia" w:ascii="Times New Roman" w:hAnsi="Times New Roman" w:eastAsia="仿宋" w:cs="宋体"/>
                <w:color w:val="000000"/>
                <w:kern w:val="0"/>
                <w:szCs w:val="21"/>
              </w:rPr>
              <w:t>00</w:t>
            </w:r>
          </w:p>
        </w:tc>
      </w:tr>
      <w:tr>
        <w:tblPrEx>
          <w:tblCellMar>
            <w:top w:w="0" w:type="dxa"/>
            <w:left w:w="108" w:type="dxa"/>
            <w:bottom w:w="0" w:type="dxa"/>
            <w:right w:w="108" w:type="dxa"/>
          </w:tblCellMar>
        </w:tblPrEx>
        <w:trPr>
          <w:trHeight w:val="280" w:hRule="atLeast"/>
          <w:jc w:val="center"/>
        </w:trPr>
        <w:tc>
          <w:tcPr>
            <w:tcW w:w="1985" w:type="dxa"/>
            <w:tcBorders>
              <w:top w:val="nil"/>
              <w:left w:val="nil"/>
              <w:bottom w:val="nil"/>
              <w:right w:val="nil"/>
            </w:tcBorders>
            <w:shd w:val="clear" w:color="auto" w:fill="auto"/>
            <w:noWrap/>
            <w:vAlign w:val="center"/>
          </w:tcPr>
          <w:p>
            <w:pPr>
              <w:widowControl/>
              <w:spacing w:line="560" w:lineRule="exact"/>
              <w:jc w:val="center"/>
              <w:rPr>
                <w:rFonts w:ascii="Times New Roman" w:hAnsi="Times New Roman" w:eastAsia="仿宋" w:cs="宋体"/>
                <w:color w:val="000000"/>
                <w:kern w:val="0"/>
                <w:szCs w:val="21"/>
              </w:rPr>
            </w:pPr>
            <w:r>
              <w:rPr>
                <w:rFonts w:hint="eastAsia" w:ascii="Times New Roman" w:hAnsi="Times New Roman" w:eastAsia="仿宋" w:cs="宋体"/>
                <w:bCs/>
                <w:color w:val="000000"/>
                <w:kern w:val="0"/>
                <w:szCs w:val="21"/>
              </w:rPr>
              <w:t>市供销社</w:t>
            </w:r>
          </w:p>
        </w:tc>
        <w:tc>
          <w:tcPr>
            <w:tcW w:w="6379" w:type="dxa"/>
            <w:tcBorders>
              <w:top w:val="nil"/>
              <w:left w:val="nil"/>
              <w:bottom w:val="nil"/>
              <w:right w:val="nil"/>
            </w:tcBorders>
          </w:tcPr>
          <w:p>
            <w:pPr>
              <w:widowControl/>
              <w:spacing w:line="560" w:lineRule="exact"/>
              <w:jc w:val="center"/>
              <w:rPr>
                <w:rFonts w:ascii="Times New Roman" w:hAnsi="Times New Roman" w:eastAsia="仿宋" w:cs="宋体"/>
                <w:color w:val="000000"/>
                <w:kern w:val="0"/>
                <w:szCs w:val="21"/>
              </w:rPr>
            </w:pPr>
            <w:r>
              <w:rPr>
                <w:rFonts w:hint="eastAsia" w:ascii="Times New Roman" w:hAnsi="Times New Roman" w:eastAsia="仿宋" w:cs="宋体"/>
                <w:color w:val="000000"/>
                <w:kern w:val="0"/>
                <w:szCs w:val="21"/>
              </w:rPr>
              <w:t>城乡冷链和国家物流枢纽建设</w:t>
            </w:r>
          </w:p>
        </w:tc>
        <w:tc>
          <w:tcPr>
            <w:tcW w:w="1134" w:type="dxa"/>
            <w:tcBorders>
              <w:top w:val="nil"/>
              <w:left w:val="nil"/>
              <w:bottom w:val="nil"/>
              <w:right w:val="nil"/>
            </w:tcBorders>
            <w:shd w:val="clear" w:color="auto" w:fill="auto"/>
            <w:noWrap/>
            <w:vAlign w:val="center"/>
          </w:tcPr>
          <w:p>
            <w:pPr>
              <w:widowControl/>
              <w:spacing w:line="560" w:lineRule="exact"/>
              <w:jc w:val="center"/>
              <w:rPr>
                <w:rFonts w:ascii="Times New Roman" w:hAnsi="Times New Roman" w:eastAsia="仿宋" w:cs="宋体"/>
                <w:color w:val="000000"/>
                <w:kern w:val="0"/>
                <w:szCs w:val="21"/>
              </w:rPr>
            </w:pPr>
            <w:r>
              <w:rPr>
                <w:rFonts w:ascii="Times New Roman" w:hAnsi="Times New Roman" w:eastAsia="仿宋" w:cs="宋体"/>
                <w:color w:val="000000"/>
                <w:kern w:val="0"/>
                <w:szCs w:val="21"/>
              </w:rPr>
              <w:t>12</w:t>
            </w:r>
            <w:r>
              <w:rPr>
                <w:rFonts w:hint="eastAsia" w:ascii="Times New Roman" w:hAnsi="Times New Roman" w:eastAsia="仿宋" w:cs="宋体"/>
                <w:color w:val="000000"/>
                <w:kern w:val="0"/>
                <w:szCs w:val="21"/>
              </w:rPr>
              <w:t>00</w:t>
            </w:r>
          </w:p>
        </w:tc>
      </w:tr>
      <w:tr>
        <w:tblPrEx>
          <w:tblCellMar>
            <w:top w:w="0" w:type="dxa"/>
            <w:left w:w="108" w:type="dxa"/>
            <w:bottom w:w="0" w:type="dxa"/>
            <w:right w:w="108" w:type="dxa"/>
          </w:tblCellMar>
        </w:tblPrEx>
        <w:trPr>
          <w:trHeight w:val="280" w:hRule="atLeast"/>
          <w:jc w:val="center"/>
        </w:trPr>
        <w:tc>
          <w:tcPr>
            <w:tcW w:w="1985" w:type="dxa"/>
            <w:tcBorders>
              <w:top w:val="nil"/>
              <w:left w:val="nil"/>
              <w:bottom w:val="nil"/>
              <w:right w:val="nil"/>
            </w:tcBorders>
            <w:shd w:val="clear" w:color="auto" w:fill="auto"/>
            <w:noWrap/>
            <w:vAlign w:val="center"/>
          </w:tcPr>
          <w:p>
            <w:pPr>
              <w:widowControl/>
              <w:spacing w:line="560" w:lineRule="exact"/>
              <w:jc w:val="center"/>
              <w:rPr>
                <w:rFonts w:ascii="Times New Roman" w:hAnsi="Times New Roman" w:eastAsia="仿宋" w:cs="宋体"/>
                <w:color w:val="000000"/>
                <w:kern w:val="0"/>
                <w:szCs w:val="21"/>
              </w:rPr>
            </w:pPr>
            <w:r>
              <w:rPr>
                <w:rFonts w:hint="eastAsia" w:ascii="Times New Roman" w:hAnsi="Times New Roman" w:eastAsia="仿宋" w:cs="宋体"/>
                <w:bCs/>
                <w:color w:val="000000"/>
                <w:kern w:val="0"/>
                <w:szCs w:val="21"/>
              </w:rPr>
              <w:t>市生态环境局</w:t>
            </w:r>
          </w:p>
        </w:tc>
        <w:tc>
          <w:tcPr>
            <w:tcW w:w="6379" w:type="dxa"/>
            <w:tcBorders>
              <w:top w:val="nil"/>
              <w:left w:val="nil"/>
              <w:bottom w:val="nil"/>
              <w:right w:val="nil"/>
            </w:tcBorders>
          </w:tcPr>
          <w:p>
            <w:pPr>
              <w:widowControl/>
              <w:spacing w:line="560" w:lineRule="exact"/>
              <w:jc w:val="center"/>
              <w:rPr>
                <w:rFonts w:ascii="Times New Roman" w:hAnsi="Times New Roman" w:eastAsia="仿宋" w:cs="宋体"/>
                <w:color w:val="000000"/>
                <w:kern w:val="0"/>
                <w:szCs w:val="21"/>
              </w:rPr>
            </w:pPr>
            <w:r>
              <w:rPr>
                <w:rFonts w:hint="eastAsia" w:ascii="Times New Roman" w:hAnsi="Times New Roman" w:eastAsia="仿宋" w:cs="宋体"/>
                <w:color w:val="000000"/>
                <w:kern w:val="0"/>
                <w:szCs w:val="21"/>
              </w:rPr>
              <w:t>污染治理和节能减碳、农业领域</w:t>
            </w:r>
          </w:p>
        </w:tc>
        <w:tc>
          <w:tcPr>
            <w:tcW w:w="1134" w:type="dxa"/>
            <w:tcBorders>
              <w:top w:val="nil"/>
              <w:left w:val="nil"/>
              <w:bottom w:val="nil"/>
              <w:right w:val="nil"/>
            </w:tcBorders>
            <w:shd w:val="clear" w:color="auto" w:fill="auto"/>
            <w:noWrap/>
            <w:vAlign w:val="center"/>
          </w:tcPr>
          <w:p>
            <w:pPr>
              <w:widowControl/>
              <w:spacing w:line="560" w:lineRule="exact"/>
              <w:jc w:val="center"/>
              <w:rPr>
                <w:rFonts w:ascii="Times New Roman" w:hAnsi="Times New Roman" w:eastAsia="仿宋" w:cs="宋体"/>
                <w:color w:val="000000"/>
                <w:kern w:val="0"/>
                <w:szCs w:val="21"/>
              </w:rPr>
            </w:pPr>
            <w:r>
              <w:rPr>
                <w:rFonts w:ascii="Times New Roman" w:hAnsi="Times New Roman" w:eastAsia="仿宋" w:cs="宋体"/>
                <w:color w:val="000000"/>
                <w:kern w:val="0"/>
                <w:szCs w:val="21"/>
              </w:rPr>
              <w:t>10</w:t>
            </w:r>
            <w:r>
              <w:rPr>
                <w:rFonts w:hint="eastAsia" w:ascii="Times New Roman" w:hAnsi="Times New Roman" w:eastAsia="仿宋" w:cs="宋体"/>
                <w:color w:val="000000"/>
                <w:kern w:val="0"/>
                <w:szCs w:val="21"/>
              </w:rPr>
              <w:t>00</w:t>
            </w:r>
          </w:p>
        </w:tc>
      </w:tr>
      <w:tr>
        <w:tblPrEx>
          <w:tblCellMar>
            <w:top w:w="0" w:type="dxa"/>
            <w:left w:w="108" w:type="dxa"/>
            <w:bottom w:w="0" w:type="dxa"/>
            <w:right w:w="108" w:type="dxa"/>
          </w:tblCellMar>
        </w:tblPrEx>
        <w:trPr>
          <w:trHeight w:val="280" w:hRule="atLeast"/>
          <w:jc w:val="center"/>
        </w:trPr>
        <w:tc>
          <w:tcPr>
            <w:tcW w:w="1985" w:type="dxa"/>
            <w:tcBorders>
              <w:top w:val="nil"/>
              <w:left w:val="nil"/>
              <w:bottom w:val="nil"/>
              <w:right w:val="nil"/>
            </w:tcBorders>
            <w:shd w:val="clear" w:color="auto" w:fill="auto"/>
            <w:noWrap/>
            <w:vAlign w:val="center"/>
          </w:tcPr>
          <w:p>
            <w:pPr>
              <w:widowControl/>
              <w:spacing w:line="560" w:lineRule="exact"/>
              <w:jc w:val="center"/>
              <w:rPr>
                <w:rFonts w:ascii="Times New Roman" w:hAnsi="Times New Roman" w:eastAsia="仿宋" w:cs="宋体"/>
                <w:color w:val="000000"/>
                <w:kern w:val="0"/>
                <w:szCs w:val="21"/>
              </w:rPr>
            </w:pPr>
            <w:r>
              <w:rPr>
                <w:rFonts w:hint="eastAsia" w:ascii="Times New Roman" w:hAnsi="Times New Roman" w:eastAsia="仿宋" w:cs="宋体"/>
                <w:bCs/>
                <w:color w:val="000000"/>
                <w:kern w:val="0"/>
                <w:szCs w:val="21"/>
              </w:rPr>
              <w:t>市农业农村局</w:t>
            </w:r>
          </w:p>
        </w:tc>
        <w:tc>
          <w:tcPr>
            <w:tcW w:w="6379" w:type="dxa"/>
            <w:tcBorders>
              <w:top w:val="nil"/>
              <w:left w:val="nil"/>
              <w:bottom w:val="nil"/>
              <w:right w:val="nil"/>
            </w:tcBorders>
          </w:tcPr>
          <w:p>
            <w:pPr>
              <w:widowControl/>
              <w:spacing w:line="560" w:lineRule="exact"/>
              <w:jc w:val="center"/>
              <w:rPr>
                <w:rFonts w:ascii="Times New Roman" w:hAnsi="Times New Roman" w:eastAsia="仿宋" w:cs="宋体"/>
                <w:color w:val="000000"/>
                <w:kern w:val="0"/>
                <w:szCs w:val="21"/>
              </w:rPr>
            </w:pPr>
            <w:r>
              <w:rPr>
                <w:rFonts w:hint="eastAsia" w:ascii="Times New Roman" w:hAnsi="Times New Roman" w:eastAsia="仿宋" w:cs="宋体"/>
                <w:color w:val="000000"/>
                <w:kern w:val="0"/>
                <w:szCs w:val="21"/>
              </w:rPr>
              <w:t>农业领域</w:t>
            </w:r>
          </w:p>
        </w:tc>
        <w:tc>
          <w:tcPr>
            <w:tcW w:w="1134" w:type="dxa"/>
            <w:tcBorders>
              <w:top w:val="nil"/>
              <w:left w:val="nil"/>
              <w:bottom w:val="nil"/>
              <w:right w:val="nil"/>
            </w:tcBorders>
            <w:shd w:val="clear" w:color="auto" w:fill="auto"/>
            <w:noWrap/>
            <w:vAlign w:val="center"/>
          </w:tcPr>
          <w:p>
            <w:pPr>
              <w:widowControl/>
              <w:spacing w:line="560" w:lineRule="exact"/>
              <w:jc w:val="center"/>
              <w:rPr>
                <w:rFonts w:ascii="Times New Roman" w:hAnsi="Times New Roman" w:eastAsia="仿宋" w:cs="宋体"/>
                <w:color w:val="000000"/>
                <w:kern w:val="0"/>
                <w:szCs w:val="21"/>
              </w:rPr>
            </w:pPr>
            <w:r>
              <w:rPr>
                <w:rFonts w:ascii="Times New Roman" w:hAnsi="Times New Roman" w:eastAsia="仿宋" w:cs="宋体"/>
                <w:color w:val="000000"/>
                <w:kern w:val="0"/>
                <w:szCs w:val="21"/>
              </w:rPr>
              <w:t>10</w:t>
            </w:r>
            <w:r>
              <w:rPr>
                <w:rFonts w:hint="eastAsia" w:ascii="Times New Roman" w:hAnsi="Times New Roman" w:eastAsia="仿宋" w:cs="宋体"/>
                <w:color w:val="000000"/>
                <w:kern w:val="0"/>
                <w:szCs w:val="21"/>
              </w:rPr>
              <w:t>00</w:t>
            </w:r>
          </w:p>
        </w:tc>
      </w:tr>
      <w:tr>
        <w:tblPrEx>
          <w:tblCellMar>
            <w:top w:w="0" w:type="dxa"/>
            <w:left w:w="108" w:type="dxa"/>
            <w:bottom w:w="0" w:type="dxa"/>
            <w:right w:w="108" w:type="dxa"/>
          </w:tblCellMar>
        </w:tblPrEx>
        <w:trPr>
          <w:trHeight w:val="280" w:hRule="atLeast"/>
          <w:jc w:val="center"/>
        </w:trPr>
        <w:tc>
          <w:tcPr>
            <w:tcW w:w="1985" w:type="dxa"/>
            <w:tcBorders>
              <w:top w:val="nil"/>
              <w:left w:val="nil"/>
              <w:bottom w:val="nil"/>
              <w:right w:val="nil"/>
            </w:tcBorders>
            <w:shd w:val="clear" w:color="auto" w:fill="auto"/>
            <w:noWrap/>
            <w:vAlign w:val="center"/>
          </w:tcPr>
          <w:p>
            <w:pPr>
              <w:widowControl/>
              <w:spacing w:line="560" w:lineRule="exact"/>
              <w:jc w:val="center"/>
              <w:rPr>
                <w:rFonts w:ascii="Times New Roman" w:hAnsi="Times New Roman" w:eastAsia="仿宋" w:cs="宋体"/>
                <w:color w:val="000000"/>
                <w:kern w:val="0"/>
                <w:szCs w:val="21"/>
              </w:rPr>
            </w:pPr>
            <w:r>
              <w:rPr>
                <w:rFonts w:hint="eastAsia" w:ascii="Times New Roman" w:hAnsi="Times New Roman" w:eastAsia="仿宋" w:cs="宋体"/>
                <w:bCs/>
                <w:color w:val="000000"/>
                <w:kern w:val="0"/>
                <w:szCs w:val="21"/>
              </w:rPr>
              <w:t>市退役军人事务局</w:t>
            </w:r>
          </w:p>
        </w:tc>
        <w:tc>
          <w:tcPr>
            <w:tcW w:w="6379" w:type="dxa"/>
            <w:tcBorders>
              <w:top w:val="nil"/>
              <w:left w:val="nil"/>
              <w:bottom w:val="nil"/>
              <w:right w:val="nil"/>
            </w:tcBorders>
          </w:tcPr>
          <w:p>
            <w:pPr>
              <w:widowControl/>
              <w:spacing w:line="560" w:lineRule="exact"/>
              <w:jc w:val="center"/>
              <w:rPr>
                <w:rFonts w:ascii="Times New Roman" w:hAnsi="Times New Roman" w:eastAsia="仿宋" w:cs="宋体"/>
                <w:color w:val="000000"/>
                <w:kern w:val="0"/>
                <w:szCs w:val="21"/>
              </w:rPr>
            </w:pPr>
            <w:r>
              <w:rPr>
                <w:rFonts w:hint="eastAsia" w:ascii="Times New Roman" w:hAnsi="Times New Roman" w:eastAsia="仿宋" w:cs="宋体"/>
                <w:color w:val="000000"/>
                <w:kern w:val="0"/>
                <w:szCs w:val="21"/>
              </w:rPr>
              <w:t>社会服务设施兜底线工程</w:t>
            </w:r>
          </w:p>
        </w:tc>
        <w:tc>
          <w:tcPr>
            <w:tcW w:w="1134" w:type="dxa"/>
            <w:tcBorders>
              <w:top w:val="nil"/>
              <w:left w:val="nil"/>
              <w:bottom w:val="nil"/>
              <w:right w:val="nil"/>
            </w:tcBorders>
            <w:shd w:val="clear" w:color="auto" w:fill="auto"/>
            <w:noWrap/>
            <w:vAlign w:val="center"/>
          </w:tcPr>
          <w:p>
            <w:pPr>
              <w:widowControl/>
              <w:spacing w:line="560" w:lineRule="exact"/>
              <w:jc w:val="center"/>
              <w:rPr>
                <w:rFonts w:ascii="Times New Roman" w:hAnsi="Times New Roman" w:eastAsia="仿宋" w:cs="宋体"/>
                <w:color w:val="000000"/>
                <w:kern w:val="0"/>
                <w:szCs w:val="21"/>
              </w:rPr>
            </w:pPr>
            <w:r>
              <w:rPr>
                <w:rFonts w:ascii="Times New Roman" w:hAnsi="Times New Roman" w:eastAsia="仿宋" w:cs="宋体"/>
                <w:color w:val="000000"/>
                <w:kern w:val="0"/>
                <w:szCs w:val="21"/>
              </w:rPr>
              <w:t>2</w:t>
            </w:r>
            <w:r>
              <w:rPr>
                <w:rFonts w:hint="eastAsia" w:ascii="Times New Roman" w:hAnsi="Times New Roman" w:eastAsia="仿宋" w:cs="宋体"/>
                <w:color w:val="000000"/>
                <w:kern w:val="0"/>
                <w:szCs w:val="21"/>
              </w:rPr>
              <w:t>00</w:t>
            </w:r>
          </w:p>
        </w:tc>
      </w:tr>
      <w:tr>
        <w:tblPrEx>
          <w:tblCellMar>
            <w:top w:w="0" w:type="dxa"/>
            <w:left w:w="108" w:type="dxa"/>
            <w:bottom w:w="0" w:type="dxa"/>
            <w:right w:w="108" w:type="dxa"/>
          </w:tblCellMar>
        </w:tblPrEx>
        <w:trPr>
          <w:trHeight w:val="280" w:hRule="atLeast"/>
          <w:jc w:val="center"/>
        </w:trPr>
        <w:tc>
          <w:tcPr>
            <w:tcW w:w="1985" w:type="dxa"/>
            <w:tcBorders>
              <w:top w:val="nil"/>
              <w:left w:val="nil"/>
              <w:bottom w:val="nil"/>
              <w:right w:val="nil"/>
            </w:tcBorders>
            <w:shd w:val="clear" w:color="auto" w:fill="auto"/>
            <w:noWrap/>
            <w:vAlign w:val="center"/>
          </w:tcPr>
          <w:p>
            <w:pPr>
              <w:widowControl/>
              <w:spacing w:line="560" w:lineRule="exact"/>
              <w:jc w:val="center"/>
              <w:rPr>
                <w:rFonts w:ascii="Times New Roman" w:hAnsi="Times New Roman" w:eastAsia="仿宋" w:cs="宋体"/>
                <w:color w:val="000000"/>
                <w:kern w:val="0"/>
                <w:szCs w:val="21"/>
              </w:rPr>
            </w:pPr>
            <w:r>
              <w:rPr>
                <w:rFonts w:hint="eastAsia" w:ascii="Times New Roman" w:hAnsi="Times New Roman" w:eastAsia="仿宋" w:cs="宋体"/>
                <w:bCs/>
                <w:color w:val="000000"/>
                <w:kern w:val="0"/>
                <w:szCs w:val="21"/>
              </w:rPr>
              <w:t>市残联</w:t>
            </w:r>
          </w:p>
        </w:tc>
        <w:tc>
          <w:tcPr>
            <w:tcW w:w="6379" w:type="dxa"/>
            <w:tcBorders>
              <w:top w:val="nil"/>
              <w:left w:val="nil"/>
              <w:bottom w:val="nil"/>
              <w:right w:val="nil"/>
            </w:tcBorders>
          </w:tcPr>
          <w:p>
            <w:pPr>
              <w:widowControl/>
              <w:spacing w:line="560" w:lineRule="exact"/>
              <w:jc w:val="center"/>
              <w:rPr>
                <w:rFonts w:ascii="Times New Roman" w:hAnsi="Times New Roman" w:eastAsia="仿宋" w:cs="宋体"/>
                <w:color w:val="000000"/>
                <w:kern w:val="0"/>
                <w:szCs w:val="21"/>
              </w:rPr>
            </w:pPr>
            <w:r>
              <w:rPr>
                <w:rFonts w:hint="eastAsia" w:ascii="Times New Roman" w:hAnsi="Times New Roman" w:eastAsia="仿宋" w:cs="宋体"/>
                <w:color w:val="000000"/>
                <w:kern w:val="0"/>
                <w:szCs w:val="21"/>
              </w:rPr>
              <w:t>社会服务设施兜底线工程</w:t>
            </w:r>
          </w:p>
        </w:tc>
        <w:tc>
          <w:tcPr>
            <w:tcW w:w="1134" w:type="dxa"/>
            <w:tcBorders>
              <w:top w:val="nil"/>
              <w:left w:val="nil"/>
              <w:bottom w:val="nil"/>
              <w:right w:val="nil"/>
            </w:tcBorders>
            <w:shd w:val="clear" w:color="auto" w:fill="auto"/>
            <w:noWrap/>
            <w:vAlign w:val="center"/>
          </w:tcPr>
          <w:p>
            <w:pPr>
              <w:widowControl/>
              <w:spacing w:line="560" w:lineRule="exact"/>
              <w:jc w:val="center"/>
              <w:rPr>
                <w:rFonts w:ascii="Times New Roman" w:hAnsi="Times New Roman" w:eastAsia="仿宋" w:cs="宋体"/>
                <w:color w:val="000000"/>
                <w:kern w:val="0"/>
                <w:szCs w:val="21"/>
              </w:rPr>
            </w:pPr>
            <w:r>
              <w:rPr>
                <w:rFonts w:ascii="Times New Roman" w:hAnsi="Times New Roman" w:eastAsia="仿宋" w:cs="宋体"/>
                <w:color w:val="000000"/>
                <w:kern w:val="0"/>
                <w:szCs w:val="21"/>
              </w:rPr>
              <w:t>2</w:t>
            </w:r>
            <w:r>
              <w:rPr>
                <w:rFonts w:hint="eastAsia" w:ascii="Times New Roman" w:hAnsi="Times New Roman" w:eastAsia="仿宋" w:cs="宋体"/>
                <w:color w:val="000000"/>
                <w:kern w:val="0"/>
                <w:szCs w:val="21"/>
              </w:rPr>
              <w:t>00</w:t>
            </w:r>
          </w:p>
        </w:tc>
      </w:tr>
      <w:tr>
        <w:tblPrEx>
          <w:tblCellMar>
            <w:top w:w="0" w:type="dxa"/>
            <w:left w:w="108" w:type="dxa"/>
            <w:bottom w:w="0" w:type="dxa"/>
            <w:right w:w="108" w:type="dxa"/>
          </w:tblCellMar>
        </w:tblPrEx>
        <w:trPr>
          <w:trHeight w:val="280" w:hRule="atLeast"/>
          <w:jc w:val="center"/>
        </w:trPr>
        <w:tc>
          <w:tcPr>
            <w:tcW w:w="1985" w:type="dxa"/>
            <w:tcBorders>
              <w:top w:val="nil"/>
              <w:left w:val="nil"/>
              <w:bottom w:val="nil"/>
              <w:right w:val="nil"/>
            </w:tcBorders>
            <w:shd w:val="clear" w:color="auto" w:fill="auto"/>
            <w:noWrap/>
            <w:vAlign w:val="center"/>
          </w:tcPr>
          <w:p>
            <w:pPr>
              <w:widowControl/>
              <w:spacing w:line="560" w:lineRule="exact"/>
              <w:jc w:val="center"/>
              <w:rPr>
                <w:rFonts w:ascii="Times New Roman" w:hAnsi="Times New Roman" w:eastAsia="仿宋" w:cs="宋体"/>
                <w:bCs/>
                <w:color w:val="000000"/>
                <w:kern w:val="0"/>
                <w:szCs w:val="21"/>
              </w:rPr>
            </w:pPr>
            <w:r>
              <w:rPr>
                <w:rFonts w:hint="eastAsia" w:ascii="Times New Roman" w:hAnsi="Times New Roman" w:eastAsia="仿宋" w:cs="宋体"/>
                <w:bCs/>
                <w:color w:val="000000"/>
                <w:kern w:val="0"/>
                <w:szCs w:val="21"/>
              </w:rPr>
              <w:t>市委政法委</w:t>
            </w:r>
          </w:p>
        </w:tc>
        <w:tc>
          <w:tcPr>
            <w:tcW w:w="6379" w:type="dxa"/>
            <w:tcBorders>
              <w:top w:val="nil"/>
              <w:left w:val="nil"/>
              <w:bottom w:val="nil"/>
              <w:right w:val="nil"/>
            </w:tcBorders>
          </w:tcPr>
          <w:p>
            <w:pPr>
              <w:widowControl/>
              <w:spacing w:line="560" w:lineRule="exact"/>
              <w:jc w:val="center"/>
              <w:rPr>
                <w:rFonts w:ascii="Times New Roman" w:hAnsi="Times New Roman" w:eastAsia="仿宋" w:cs="宋体"/>
                <w:color w:val="000000"/>
                <w:kern w:val="0"/>
                <w:szCs w:val="21"/>
              </w:rPr>
            </w:pPr>
            <w:r>
              <w:rPr>
                <w:rFonts w:hint="eastAsia" w:ascii="Times New Roman" w:hAnsi="Times New Roman" w:eastAsia="仿宋" w:cs="宋体"/>
                <w:color w:val="000000"/>
                <w:kern w:val="0"/>
                <w:szCs w:val="21"/>
              </w:rPr>
              <w:t>政法基础设施（</w:t>
            </w:r>
            <w:r>
              <w:rPr>
                <w:rFonts w:ascii="Times New Roman" w:hAnsi="Times New Roman" w:eastAsia="仿宋" w:cs="宋体"/>
                <w:color w:val="000000"/>
                <w:kern w:val="0"/>
                <w:szCs w:val="21"/>
              </w:rPr>
              <w:t>2022年未列入中央预算内投资的支持方向）</w:t>
            </w:r>
          </w:p>
        </w:tc>
        <w:tc>
          <w:tcPr>
            <w:tcW w:w="1134" w:type="dxa"/>
            <w:tcBorders>
              <w:top w:val="nil"/>
              <w:left w:val="nil"/>
              <w:bottom w:val="nil"/>
              <w:right w:val="nil"/>
            </w:tcBorders>
            <w:shd w:val="clear" w:color="auto" w:fill="auto"/>
            <w:noWrap/>
            <w:vAlign w:val="center"/>
          </w:tcPr>
          <w:p>
            <w:pPr>
              <w:widowControl/>
              <w:spacing w:line="560" w:lineRule="exact"/>
              <w:jc w:val="center"/>
              <w:rPr>
                <w:rFonts w:ascii="Times New Roman" w:hAnsi="Times New Roman" w:eastAsia="仿宋" w:cs="宋体"/>
                <w:color w:val="000000"/>
                <w:kern w:val="0"/>
                <w:szCs w:val="21"/>
              </w:rPr>
            </w:pPr>
            <w:r>
              <w:rPr>
                <w:rFonts w:ascii="Times New Roman" w:hAnsi="Times New Roman" w:eastAsia="仿宋" w:cs="宋体"/>
                <w:color w:val="000000"/>
                <w:kern w:val="0"/>
                <w:szCs w:val="21"/>
              </w:rPr>
              <w:t>0</w:t>
            </w:r>
          </w:p>
        </w:tc>
      </w:tr>
      <w:tr>
        <w:tblPrEx>
          <w:tblCellMar>
            <w:top w:w="0" w:type="dxa"/>
            <w:left w:w="108" w:type="dxa"/>
            <w:bottom w:w="0" w:type="dxa"/>
            <w:right w:w="108" w:type="dxa"/>
          </w:tblCellMar>
        </w:tblPrEx>
        <w:trPr>
          <w:trHeight w:val="280" w:hRule="atLeast"/>
          <w:jc w:val="center"/>
        </w:trPr>
        <w:tc>
          <w:tcPr>
            <w:tcW w:w="1985" w:type="dxa"/>
            <w:tcBorders>
              <w:top w:val="nil"/>
              <w:left w:val="nil"/>
              <w:bottom w:val="nil"/>
              <w:right w:val="nil"/>
            </w:tcBorders>
            <w:shd w:val="clear" w:color="auto" w:fill="auto"/>
            <w:noWrap/>
            <w:vAlign w:val="center"/>
          </w:tcPr>
          <w:p>
            <w:pPr>
              <w:widowControl/>
              <w:spacing w:line="560" w:lineRule="exact"/>
              <w:jc w:val="center"/>
              <w:rPr>
                <w:rFonts w:ascii="Times New Roman" w:hAnsi="Times New Roman" w:eastAsia="仿宋" w:cs="宋体"/>
                <w:color w:val="000000"/>
                <w:kern w:val="0"/>
                <w:szCs w:val="21"/>
              </w:rPr>
            </w:pPr>
            <w:r>
              <w:rPr>
                <w:rFonts w:hint="eastAsia" w:ascii="Times New Roman" w:hAnsi="Times New Roman" w:eastAsia="仿宋" w:cs="宋体"/>
                <w:bCs/>
                <w:color w:val="000000"/>
                <w:kern w:val="0"/>
                <w:szCs w:val="21"/>
              </w:rPr>
              <w:t>市法院</w:t>
            </w:r>
          </w:p>
        </w:tc>
        <w:tc>
          <w:tcPr>
            <w:tcW w:w="6379" w:type="dxa"/>
            <w:tcBorders>
              <w:top w:val="nil"/>
              <w:left w:val="nil"/>
              <w:bottom w:val="nil"/>
              <w:right w:val="nil"/>
            </w:tcBorders>
          </w:tcPr>
          <w:p>
            <w:pPr>
              <w:widowControl/>
              <w:spacing w:line="560" w:lineRule="exact"/>
              <w:jc w:val="center"/>
              <w:rPr>
                <w:rFonts w:ascii="Times New Roman" w:hAnsi="Times New Roman" w:eastAsia="仿宋" w:cs="宋体"/>
                <w:color w:val="000000"/>
                <w:kern w:val="0"/>
                <w:szCs w:val="21"/>
              </w:rPr>
            </w:pPr>
            <w:r>
              <w:rPr>
                <w:rFonts w:hint="eastAsia" w:ascii="Times New Roman" w:hAnsi="Times New Roman" w:eastAsia="仿宋" w:cs="宋体"/>
                <w:color w:val="000000"/>
                <w:kern w:val="0"/>
                <w:szCs w:val="21"/>
              </w:rPr>
              <w:t>政法基础设施（</w:t>
            </w:r>
            <w:r>
              <w:rPr>
                <w:rFonts w:ascii="Times New Roman" w:hAnsi="Times New Roman" w:eastAsia="仿宋" w:cs="宋体"/>
                <w:color w:val="000000"/>
                <w:kern w:val="0"/>
                <w:szCs w:val="21"/>
              </w:rPr>
              <w:t>2022年未列入中央预算内投资的支持方向）</w:t>
            </w:r>
          </w:p>
        </w:tc>
        <w:tc>
          <w:tcPr>
            <w:tcW w:w="1134" w:type="dxa"/>
            <w:tcBorders>
              <w:top w:val="nil"/>
              <w:left w:val="nil"/>
              <w:bottom w:val="nil"/>
              <w:right w:val="nil"/>
            </w:tcBorders>
            <w:shd w:val="clear" w:color="auto" w:fill="auto"/>
            <w:noWrap/>
            <w:vAlign w:val="center"/>
          </w:tcPr>
          <w:p>
            <w:pPr>
              <w:widowControl/>
              <w:spacing w:line="560" w:lineRule="exact"/>
              <w:jc w:val="center"/>
              <w:rPr>
                <w:rFonts w:ascii="Times New Roman" w:hAnsi="Times New Roman" w:eastAsia="仿宋" w:cs="宋体"/>
                <w:color w:val="000000"/>
                <w:kern w:val="0"/>
                <w:szCs w:val="21"/>
              </w:rPr>
            </w:pPr>
            <w:r>
              <w:rPr>
                <w:rFonts w:ascii="Times New Roman" w:hAnsi="Times New Roman" w:eastAsia="仿宋" w:cs="宋体"/>
                <w:color w:val="000000"/>
                <w:kern w:val="0"/>
                <w:szCs w:val="21"/>
              </w:rPr>
              <w:t>0</w:t>
            </w:r>
          </w:p>
        </w:tc>
      </w:tr>
      <w:tr>
        <w:tblPrEx>
          <w:tblCellMar>
            <w:top w:w="0" w:type="dxa"/>
            <w:left w:w="108" w:type="dxa"/>
            <w:bottom w:w="0" w:type="dxa"/>
            <w:right w:w="108" w:type="dxa"/>
          </w:tblCellMar>
        </w:tblPrEx>
        <w:trPr>
          <w:trHeight w:val="280" w:hRule="atLeast"/>
          <w:jc w:val="center"/>
        </w:trPr>
        <w:tc>
          <w:tcPr>
            <w:tcW w:w="1985" w:type="dxa"/>
            <w:tcBorders>
              <w:top w:val="nil"/>
              <w:left w:val="nil"/>
              <w:bottom w:val="nil"/>
              <w:right w:val="nil"/>
            </w:tcBorders>
            <w:shd w:val="clear" w:color="auto" w:fill="auto"/>
            <w:noWrap/>
            <w:vAlign w:val="center"/>
          </w:tcPr>
          <w:p>
            <w:pPr>
              <w:widowControl/>
              <w:spacing w:line="560" w:lineRule="exact"/>
              <w:jc w:val="center"/>
              <w:rPr>
                <w:rFonts w:ascii="Times New Roman" w:hAnsi="Times New Roman" w:eastAsia="仿宋" w:cs="宋体"/>
                <w:color w:val="000000"/>
                <w:kern w:val="0"/>
                <w:szCs w:val="21"/>
              </w:rPr>
            </w:pPr>
            <w:r>
              <w:rPr>
                <w:rFonts w:hint="eastAsia" w:ascii="Times New Roman" w:hAnsi="Times New Roman" w:eastAsia="仿宋" w:cs="宋体"/>
                <w:bCs/>
                <w:color w:val="000000"/>
                <w:kern w:val="0"/>
                <w:szCs w:val="21"/>
              </w:rPr>
              <w:t>市检察院</w:t>
            </w:r>
          </w:p>
        </w:tc>
        <w:tc>
          <w:tcPr>
            <w:tcW w:w="6379" w:type="dxa"/>
            <w:tcBorders>
              <w:top w:val="nil"/>
              <w:left w:val="nil"/>
              <w:bottom w:val="nil"/>
              <w:right w:val="nil"/>
            </w:tcBorders>
          </w:tcPr>
          <w:p>
            <w:pPr>
              <w:widowControl/>
              <w:spacing w:line="560" w:lineRule="exact"/>
              <w:jc w:val="center"/>
              <w:rPr>
                <w:rFonts w:ascii="Times New Roman" w:hAnsi="Times New Roman" w:eastAsia="仿宋" w:cs="宋体"/>
                <w:color w:val="000000"/>
                <w:kern w:val="0"/>
                <w:szCs w:val="21"/>
              </w:rPr>
            </w:pPr>
            <w:r>
              <w:rPr>
                <w:rFonts w:hint="eastAsia" w:ascii="Times New Roman" w:hAnsi="Times New Roman" w:eastAsia="仿宋" w:cs="宋体"/>
                <w:color w:val="000000"/>
                <w:kern w:val="0"/>
                <w:szCs w:val="21"/>
              </w:rPr>
              <w:t>政法基础设施（</w:t>
            </w:r>
            <w:r>
              <w:rPr>
                <w:rFonts w:ascii="Times New Roman" w:hAnsi="Times New Roman" w:eastAsia="仿宋" w:cs="宋体"/>
                <w:color w:val="000000"/>
                <w:kern w:val="0"/>
                <w:szCs w:val="21"/>
              </w:rPr>
              <w:t>2022年未列入中央预算内投资的支持方向）</w:t>
            </w:r>
          </w:p>
        </w:tc>
        <w:tc>
          <w:tcPr>
            <w:tcW w:w="1134" w:type="dxa"/>
            <w:tcBorders>
              <w:top w:val="nil"/>
              <w:left w:val="nil"/>
              <w:bottom w:val="nil"/>
              <w:right w:val="nil"/>
            </w:tcBorders>
            <w:shd w:val="clear" w:color="auto" w:fill="auto"/>
            <w:noWrap/>
            <w:vAlign w:val="center"/>
          </w:tcPr>
          <w:p>
            <w:pPr>
              <w:widowControl/>
              <w:spacing w:line="560" w:lineRule="exact"/>
              <w:jc w:val="center"/>
              <w:rPr>
                <w:rFonts w:ascii="Times New Roman" w:hAnsi="Times New Roman" w:eastAsia="仿宋" w:cs="宋体"/>
                <w:color w:val="000000"/>
                <w:kern w:val="0"/>
                <w:szCs w:val="21"/>
              </w:rPr>
            </w:pPr>
            <w:r>
              <w:rPr>
                <w:rFonts w:ascii="Times New Roman" w:hAnsi="Times New Roman" w:eastAsia="仿宋" w:cs="宋体"/>
                <w:color w:val="000000"/>
                <w:kern w:val="0"/>
                <w:szCs w:val="21"/>
              </w:rPr>
              <w:t>0</w:t>
            </w:r>
          </w:p>
        </w:tc>
      </w:tr>
      <w:tr>
        <w:tblPrEx>
          <w:tblCellMar>
            <w:top w:w="0" w:type="dxa"/>
            <w:left w:w="108" w:type="dxa"/>
            <w:bottom w:w="0" w:type="dxa"/>
            <w:right w:w="108" w:type="dxa"/>
          </w:tblCellMar>
        </w:tblPrEx>
        <w:trPr>
          <w:trHeight w:val="280" w:hRule="atLeast"/>
          <w:jc w:val="center"/>
        </w:trPr>
        <w:tc>
          <w:tcPr>
            <w:tcW w:w="1985" w:type="dxa"/>
            <w:tcBorders>
              <w:top w:val="nil"/>
              <w:left w:val="nil"/>
              <w:bottom w:val="nil"/>
              <w:right w:val="nil"/>
            </w:tcBorders>
            <w:shd w:val="clear" w:color="auto" w:fill="auto"/>
            <w:noWrap/>
            <w:vAlign w:val="center"/>
          </w:tcPr>
          <w:p>
            <w:pPr>
              <w:widowControl/>
              <w:spacing w:line="560" w:lineRule="exact"/>
              <w:jc w:val="center"/>
              <w:rPr>
                <w:rFonts w:ascii="Times New Roman" w:hAnsi="Times New Roman" w:eastAsia="仿宋" w:cs="宋体"/>
                <w:color w:val="000000"/>
                <w:kern w:val="0"/>
                <w:szCs w:val="21"/>
              </w:rPr>
            </w:pPr>
            <w:r>
              <w:rPr>
                <w:rFonts w:hint="eastAsia" w:ascii="Times New Roman" w:hAnsi="Times New Roman" w:eastAsia="仿宋" w:cs="宋体"/>
                <w:bCs/>
                <w:color w:val="000000"/>
                <w:kern w:val="0"/>
                <w:szCs w:val="21"/>
              </w:rPr>
              <w:t>市司法局</w:t>
            </w:r>
          </w:p>
        </w:tc>
        <w:tc>
          <w:tcPr>
            <w:tcW w:w="6379" w:type="dxa"/>
            <w:tcBorders>
              <w:top w:val="nil"/>
              <w:left w:val="nil"/>
              <w:bottom w:val="nil"/>
              <w:right w:val="nil"/>
            </w:tcBorders>
          </w:tcPr>
          <w:p>
            <w:pPr>
              <w:widowControl/>
              <w:spacing w:line="560" w:lineRule="exact"/>
              <w:jc w:val="center"/>
              <w:rPr>
                <w:rFonts w:ascii="Times New Roman" w:hAnsi="Times New Roman" w:eastAsia="仿宋" w:cs="宋体"/>
                <w:color w:val="000000"/>
                <w:kern w:val="0"/>
                <w:szCs w:val="21"/>
              </w:rPr>
            </w:pPr>
            <w:r>
              <w:rPr>
                <w:rFonts w:hint="eastAsia" w:ascii="Times New Roman" w:hAnsi="Times New Roman" w:eastAsia="仿宋" w:cs="宋体"/>
                <w:color w:val="000000"/>
                <w:kern w:val="0"/>
                <w:szCs w:val="21"/>
              </w:rPr>
              <w:t>政法基础设施（</w:t>
            </w:r>
            <w:r>
              <w:rPr>
                <w:rFonts w:ascii="Times New Roman" w:hAnsi="Times New Roman" w:eastAsia="仿宋" w:cs="宋体"/>
                <w:color w:val="000000"/>
                <w:kern w:val="0"/>
                <w:szCs w:val="21"/>
              </w:rPr>
              <w:t>2022年未列入中央预算内投资的支持方向）</w:t>
            </w:r>
          </w:p>
        </w:tc>
        <w:tc>
          <w:tcPr>
            <w:tcW w:w="1134" w:type="dxa"/>
            <w:tcBorders>
              <w:top w:val="nil"/>
              <w:left w:val="nil"/>
              <w:bottom w:val="nil"/>
              <w:right w:val="nil"/>
            </w:tcBorders>
            <w:shd w:val="clear" w:color="auto" w:fill="auto"/>
            <w:noWrap/>
            <w:vAlign w:val="center"/>
          </w:tcPr>
          <w:p>
            <w:pPr>
              <w:widowControl/>
              <w:spacing w:line="560" w:lineRule="exact"/>
              <w:jc w:val="center"/>
              <w:rPr>
                <w:rFonts w:ascii="Times New Roman" w:hAnsi="Times New Roman" w:eastAsia="仿宋" w:cs="宋体"/>
                <w:color w:val="000000"/>
                <w:kern w:val="0"/>
                <w:szCs w:val="21"/>
              </w:rPr>
            </w:pPr>
            <w:r>
              <w:rPr>
                <w:rFonts w:ascii="Times New Roman" w:hAnsi="Times New Roman" w:eastAsia="仿宋" w:cs="宋体"/>
                <w:color w:val="000000"/>
                <w:kern w:val="0"/>
                <w:szCs w:val="21"/>
              </w:rPr>
              <w:t>0</w:t>
            </w:r>
          </w:p>
        </w:tc>
      </w:tr>
      <w:tr>
        <w:tblPrEx>
          <w:tblCellMar>
            <w:top w:w="0" w:type="dxa"/>
            <w:left w:w="108" w:type="dxa"/>
            <w:bottom w:w="0" w:type="dxa"/>
            <w:right w:w="108" w:type="dxa"/>
          </w:tblCellMar>
        </w:tblPrEx>
        <w:trPr>
          <w:trHeight w:val="280" w:hRule="atLeast"/>
          <w:jc w:val="center"/>
        </w:trPr>
        <w:tc>
          <w:tcPr>
            <w:tcW w:w="1985" w:type="dxa"/>
            <w:tcBorders>
              <w:top w:val="nil"/>
              <w:left w:val="nil"/>
              <w:right w:val="nil"/>
            </w:tcBorders>
            <w:shd w:val="clear" w:color="auto" w:fill="auto"/>
            <w:noWrap/>
            <w:vAlign w:val="center"/>
          </w:tcPr>
          <w:p>
            <w:pPr>
              <w:widowControl/>
              <w:spacing w:line="560" w:lineRule="exact"/>
              <w:jc w:val="center"/>
              <w:rPr>
                <w:rFonts w:ascii="Times New Roman" w:hAnsi="Times New Roman" w:eastAsia="仿宋" w:cs="宋体"/>
                <w:color w:val="000000"/>
                <w:kern w:val="0"/>
                <w:szCs w:val="21"/>
              </w:rPr>
            </w:pPr>
            <w:r>
              <w:rPr>
                <w:rFonts w:hint="eastAsia" w:ascii="Times New Roman" w:hAnsi="Times New Roman" w:eastAsia="仿宋" w:cs="宋体"/>
                <w:bCs/>
                <w:color w:val="000000"/>
                <w:kern w:val="0"/>
                <w:szCs w:val="21"/>
              </w:rPr>
              <w:t>市公安局</w:t>
            </w:r>
          </w:p>
        </w:tc>
        <w:tc>
          <w:tcPr>
            <w:tcW w:w="6379" w:type="dxa"/>
            <w:tcBorders>
              <w:top w:val="nil"/>
              <w:left w:val="nil"/>
              <w:right w:val="nil"/>
            </w:tcBorders>
          </w:tcPr>
          <w:p>
            <w:pPr>
              <w:widowControl/>
              <w:spacing w:line="560" w:lineRule="exact"/>
              <w:jc w:val="center"/>
              <w:rPr>
                <w:rFonts w:ascii="Times New Roman" w:hAnsi="Times New Roman" w:eastAsia="仿宋" w:cs="宋体"/>
                <w:color w:val="000000"/>
                <w:kern w:val="0"/>
                <w:szCs w:val="21"/>
              </w:rPr>
            </w:pPr>
            <w:r>
              <w:rPr>
                <w:rFonts w:hint="eastAsia" w:ascii="Times New Roman" w:hAnsi="Times New Roman" w:eastAsia="仿宋" w:cs="宋体"/>
                <w:color w:val="000000"/>
                <w:kern w:val="0"/>
                <w:szCs w:val="21"/>
              </w:rPr>
              <w:t>政法基础设施（</w:t>
            </w:r>
            <w:r>
              <w:rPr>
                <w:rFonts w:ascii="Times New Roman" w:hAnsi="Times New Roman" w:eastAsia="仿宋" w:cs="宋体"/>
                <w:color w:val="000000"/>
                <w:kern w:val="0"/>
                <w:szCs w:val="21"/>
              </w:rPr>
              <w:t>2022年未列入中央预算内投资的支持方向）</w:t>
            </w:r>
          </w:p>
        </w:tc>
        <w:tc>
          <w:tcPr>
            <w:tcW w:w="1134" w:type="dxa"/>
            <w:tcBorders>
              <w:top w:val="nil"/>
              <w:left w:val="nil"/>
              <w:right w:val="nil"/>
            </w:tcBorders>
            <w:shd w:val="clear" w:color="auto" w:fill="auto"/>
            <w:noWrap/>
            <w:vAlign w:val="center"/>
          </w:tcPr>
          <w:p>
            <w:pPr>
              <w:widowControl/>
              <w:spacing w:line="560" w:lineRule="exact"/>
              <w:jc w:val="center"/>
              <w:rPr>
                <w:rFonts w:ascii="Times New Roman" w:hAnsi="Times New Roman" w:eastAsia="仿宋" w:cs="宋体"/>
                <w:color w:val="000000"/>
                <w:kern w:val="0"/>
                <w:szCs w:val="21"/>
              </w:rPr>
            </w:pPr>
            <w:r>
              <w:rPr>
                <w:rFonts w:ascii="Times New Roman" w:hAnsi="Times New Roman" w:eastAsia="仿宋" w:cs="宋体"/>
                <w:color w:val="000000"/>
                <w:kern w:val="0"/>
                <w:szCs w:val="21"/>
              </w:rPr>
              <w:t>0</w:t>
            </w:r>
          </w:p>
        </w:tc>
      </w:tr>
      <w:tr>
        <w:tblPrEx>
          <w:tblCellMar>
            <w:top w:w="0" w:type="dxa"/>
            <w:left w:w="108" w:type="dxa"/>
            <w:bottom w:w="0" w:type="dxa"/>
            <w:right w:w="108" w:type="dxa"/>
          </w:tblCellMar>
        </w:tblPrEx>
        <w:trPr>
          <w:trHeight w:val="280" w:hRule="atLeast"/>
          <w:jc w:val="center"/>
        </w:trPr>
        <w:tc>
          <w:tcPr>
            <w:tcW w:w="1985" w:type="dxa"/>
            <w:tcBorders>
              <w:top w:val="nil"/>
              <w:left w:val="nil"/>
              <w:bottom w:val="single" w:color="auto" w:sz="4" w:space="0"/>
              <w:right w:val="nil"/>
            </w:tcBorders>
            <w:shd w:val="clear" w:color="auto" w:fill="auto"/>
            <w:noWrap/>
            <w:vAlign w:val="center"/>
          </w:tcPr>
          <w:p>
            <w:pPr>
              <w:widowControl/>
              <w:spacing w:line="560" w:lineRule="exact"/>
              <w:jc w:val="center"/>
              <w:rPr>
                <w:rFonts w:ascii="Times New Roman" w:hAnsi="Times New Roman" w:eastAsia="仿宋" w:cs="宋体"/>
                <w:color w:val="000000"/>
                <w:kern w:val="0"/>
                <w:szCs w:val="21"/>
              </w:rPr>
            </w:pPr>
            <w:r>
              <w:rPr>
                <w:rFonts w:hint="eastAsia" w:ascii="Times New Roman" w:hAnsi="Times New Roman" w:eastAsia="仿宋" w:cs="宋体"/>
                <w:bCs/>
                <w:color w:val="000000"/>
                <w:kern w:val="0"/>
                <w:szCs w:val="21"/>
              </w:rPr>
              <w:t>市委宣传部</w:t>
            </w:r>
          </w:p>
        </w:tc>
        <w:tc>
          <w:tcPr>
            <w:tcW w:w="6379" w:type="dxa"/>
            <w:tcBorders>
              <w:top w:val="nil"/>
              <w:left w:val="nil"/>
              <w:bottom w:val="single" w:color="auto" w:sz="4" w:space="0"/>
              <w:right w:val="nil"/>
            </w:tcBorders>
          </w:tcPr>
          <w:p>
            <w:pPr>
              <w:widowControl/>
              <w:spacing w:line="560" w:lineRule="exact"/>
              <w:jc w:val="center"/>
              <w:rPr>
                <w:rFonts w:ascii="Times New Roman" w:hAnsi="Times New Roman" w:eastAsia="仿宋" w:cs="宋体"/>
                <w:color w:val="000000"/>
                <w:kern w:val="0"/>
                <w:szCs w:val="21"/>
              </w:rPr>
            </w:pPr>
            <w:r>
              <w:rPr>
                <w:rFonts w:hint="eastAsia" w:ascii="Times New Roman" w:hAnsi="Times New Roman" w:eastAsia="仿宋" w:cs="宋体"/>
                <w:color w:val="000000"/>
                <w:kern w:val="0"/>
                <w:szCs w:val="21"/>
              </w:rPr>
              <w:t>文化保护传承利用工程（2</w:t>
            </w:r>
            <w:r>
              <w:rPr>
                <w:rFonts w:ascii="Times New Roman" w:hAnsi="Times New Roman" w:eastAsia="仿宋" w:cs="宋体"/>
                <w:color w:val="000000"/>
                <w:kern w:val="0"/>
                <w:szCs w:val="21"/>
              </w:rPr>
              <w:t>022</w:t>
            </w:r>
            <w:r>
              <w:rPr>
                <w:rFonts w:hint="eastAsia" w:ascii="Times New Roman" w:hAnsi="Times New Roman" w:eastAsia="仿宋" w:cs="宋体"/>
                <w:color w:val="000000"/>
                <w:kern w:val="0"/>
                <w:szCs w:val="21"/>
              </w:rPr>
              <w:t>年不适合申报中央预算内投资）</w:t>
            </w:r>
          </w:p>
        </w:tc>
        <w:tc>
          <w:tcPr>
            <w:tcW w:w="1134" w:type="dxa"/>
            <w:tcBorders>
              <w:top w:val="nil"/>
              <w:left w:val="nil"/>
              <w:bottom w:val="single" w:color="auto" w:sz="4" w:space="0"/>
              <w:right w:val="nil"/>
            </w:tcBorders>
            <w:shd w:val="clear" w:color="auto" w:fill="auto"/>
            <w:noWrap/>
            <w:vAlign w:val="center"/>
          </w:tcPr>
          <w:p>
            <w:pPr>
              <w:widowControl/>
              <w:spacing w:line="560" w:lineRule="exact"/>
              <w:jc w:val="center"/>
              <w:rPr>
                <w:rFonts w:ascii="Times New Roman" w:hAnsi="Times New Roman" w:eastAsia="仿宋" w:cs="宋体"/>
                <w:color w:val="000000"/>
                <w:kern w:val="0"/>
                <w:szCs w:val="21"/>
              </w:rPr>
            </w:pPr>
            <w:r>
              <w:rPr>
                <w:rFonts w:ascii="Times New Roman" w:hAnsi="Times New Roman" w:eastAsia="仿宋" w:cs="宋体"/>
                <w:color w:val="000000"/>
                <w:kern w:val="0"/>
                <w:szCs w:val="21"/>
              </w:rPr>
              <w:t>0</w:t>
            </w:r>
          </w:p>
        </w:tc>
      </w:tr>
    </w:tbl>
    <w:p>
      <w:pPr>
        <w:spacing w:line="280" w:lineRule="exact"/>
        <w:ind w:firstLine="315" w:firstLineChars="150"/>
        <w:rPr>
          <w:rFonts w:ascii="Times New Roman" w:hAnsi="Times New Roman" w:eastAsia="仿宋"/>
          <w:szCs w:val="21"/>
        </w:rPr>
      </w:pPr>
      <w:r>
        <w:rPr>
          <w:rFonts w:hint="eastAsia" w:ascii="Times New Roman" w:hAnsi="Times New Roman" w:eastAsia="仿宋"/>
          <w:szCs w:val="21"/>
        </w:rPr>
        <w:t>注：涉及领域为市直责任单位所涉及的申报领域</w:t>
      </w:r>
    </w:p>
    <w:p>
      <w:pPr>
        <w:spacing w:line="560" w:lineRule="exact"/>
        <w:ind w:firstLine="315" w:firstLineChars="150"/>
        <w:rPr>
          <w:rFonts w:ascii="Times New Roman" w:hAnsi="Times New Roman" w:eastAsia="仿宋"/>
          <w:szCs w:val="21"/>
        </w:rPr>
      </w:pP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首先，将中央预算内投资的</w:t>
      </w:r>
      <w:r>
        <w:rPr>
          <w:rFonts w:ascii="仿宋" w:hAnsi="仿宋" w:eastAsia="仿宋" w:cs="仿宋"/>
          <w:sz w:val="32"/>
          <w:szCs w:val="32"/>
        </w:rPr>
        <w:t>4</w:t>
      </w:r>
      <w:r>
        <w:rPr>
          <w:rFonts w:hint="eastAsia" w:ascii="仿宋" w:hAnsi="仿宋" w:eastAsia="仿宋" w:cs="仿宋"/>
          <w:sz w:val="32"/>
          <w:szCs w:val="32"/>
        </w:rPr>
        <w:t>亿元分配给17个申报领域的20家市直责任单位去牵头组织，并由各县（市、区）申报，市住建局为</w:t>
      </w:r>
      <w:r>
        <w:rPr>
          <w:rFonts w:ascii="仿宋" w:hAnsi="仿宋" w:eastAsia="仿宋" w:cs="仿宋"/>
          <w:sz w:val="32"/>
          <w:szCs w:val="32"/>
        </w:rPr>
        <w:t>94</w:t>
      </w:r>
      <w:r>
        <w:rPr>
          <w:rFonts w:hint="eastAsia" w:ascii="仿宋" w:hAnsi="仿宋" w:eastAsia="仿宋" w:cs="仿宋"/>
          <w:sz w:val="32"/>
          <w:szCs w:val="32"/>
        </w:rPr>
        <w:t>00万元，市水务局为8000万元，市卫健局为</w:t>
      </w:r>
      <w:r>
        <w:rPr>
          <w:rFonts w:ascii="仿宋" w:hAnsi="仿宋" w:eastAsia="仿宋" w:cs="仿宋"/>
          <w:sz w:val="32"/>
          <w:szCs w:val="32"/>
        </w:rPr>
        <w:t>58</w:t>
      </w:r>
      <w:r>
        <w:rPr>
          <w:rFonts w:hint="eastAsia" w:ascii="仿宋" w:hAnsi="仿宋" w:eastAsia="仿宋" w:cs="仿宋"/>
          <w:sz w:val="32"/>
          <w:szCs w:val="32"/>
        </w:rPr>
        <w:t>00万元，市教育局为</w:t>
      </w:r>
      <w:r>
        <w:rPr>
          <w:rFonts w:ascii="仿宋" w:hAnsi="仿宋" w:eastAsia="仿宋" w:cs="仿宋"/>
          <w:sz w:val="32"/>
          <w:szCs w:val="32"/>
        </w:rPr>
        <w:t>50</w:t>
      </w:r>
      <w:r>
        <w:rPr>
          <w:rFonts w:hint="eastAsia" w:ascii="仿宋" w:hAnsi="仿宋" w:eastAsia="仿宋" w:cs="仿宋"/>
          <w:sz w:val="32"/>
          <w:szCs w:val="32"/>
        </w:rPr>
        <w:t>00万元，市文广旅体局为</w:t>
      </w:r>
      <w:r>
        <w:rPr>
          <w:rFonts w:ascii="仿宋" w:hAnsi="仿宋" w:eastAsia="仿宋" w:cs="仿宋"/>
          <w:sz w:val="32"/>
          <w:szCs w:val="32"/>
        </w:rPr>
        <w:t>24</w:t>
      </w:r>
      <w:r>
        <w:rPr>
          <w:rFonts w:hint="eastAsia" w:ascii="仿宋" w:hAnsi="仿宋" w:eastAsia="仿宋" w:cs="仿宋"/>
          <w:sz w:val="32"/>
          <w:szCs w:val="32"/>
        </w:rPr>
        <w:t>00万元，市民政局为1</w:t>
      </w:r>
      <w:r>
        <w:rPr>
          <w:rFonts w:ascii="仿宋" w:hAnsi="仿宋" w:eastAsia="仿宋" w:cs="仿宋"/>
          <w:sz w:val="32"/>
          <w:szCs w:val="32"/>
        </w:rPr>
        <w:t>6</w:t>
      </w:r>
      <w:r>
        <w:rPr>
          <w:rFonts w:hint="eastAsia" w:ascii="仿宋" w:hAnsi="仿宋" w:eastAsia="仿宋" w:cs="仿宋"/>
          <w:sz w:val="32"/>
          <w:szCs w:val="32"/>
        </w:rPr>
        <w:t>00万元，市人社局为</w:t>
      </w:r>
      <w:r>
        <w:rPr>
          <w:rFonts w:ascii="仿宋" w:hAnsi="仿宋" w:eastAsia="仿宋" w:cs="仿宋"/>
          <w:sz w:val="32"/>
          <w:szCs w:val="32"/>
        </w:rPr>
        <w:t>16</w:t>
      </w:r>
      <w:r>
        <w:rPr>
          <w:rFonts w:hint="eastAsia" w:ascii="仿宋" w:hAnsi="仿宋" w:eastAsia="仿宋" w:cs="仿宋"/>
          <w:sz w:val="32"/>
          <w:szCs w:val="32"/>
        </w:rPr>
        <w:t>00万元，市发改局为1</w:t>
      </w:r>
      <w:r>
        <w:rPr>
          <w:rFonts w:ascii="仿宋" w:hAnsi="仿宋" w:eastAsia="仿宋" w:cs="仿宋"/>
          <w:sz w:val="32"/>
          <w:szCs w:val="32"/>
        </w:rPr>
        <w:t>4</w:t>
      </w:r>
      <w:r>
        <w:rPr>
          <w:rFonts w:hint="eastAsia" w:ascii="仿宋" w:hAnsi="仿宋" w:eastAsia="仿宋" w:cs="仿宋"/>
          <w:sz w:val="32"/>
          <w:szCs w:val="32"/>
        </w:rPr>
        <w:t>00万元，市工信局为</w:t>
      </w:r>
      <w:r>
        <w:rPr>
          <w:rFonts w:ascii="仿宋" w:hAnsi="仿宋" w:eastAsia="仿宋" w:cs="仿宋"/>
          <w:sz w:val="32"/>
          <w:szCs w:val="32"/>
        </w:rPr>
        <w:t>12</w:t>
      </w:r>
      <w:r>
        <w:rPr>
          <w:rFonts w:hint="eastAsia" w:ascii="仿宋" w:hAnsi="仿宋" w:eastAsia="仿宋" w:cs="仿宋"/>
          <w:sz w:val="32"/>
          <w:szCs w:val="32"/>
        </w:rPr>
        <w:t>00万元，市供销社为1</w:t>
      </w:r>
      <w:r>
        <w:rPr>
          <w:rFonts w:ascii="仿宋" w:hAnsi="仿宋" w:eastAsia="仿宋" w:cs="仿宋"/>
          <w:sz w:val="32"/>
          <w:szCs w:val="32"/>
        </w:rPr>
        <w:t>2</w:t>
      </w:r>
      <w:r>
        <w:rPr>
          <w:rFonts w:hint="eastAsia" w:ascii="仿宋" w:hAnsi="仿宋" w:eastAsia="仿宋" w:cs="仿宋"/>
          <w:sz w:val="32"/>
          <w:szCs w:val="32"/>
        </w:rPr>
        <w:t>00万元，市生态环境局为</w:t>
      </w:r>
      <w:r>
        <w:rPr>
          <w:rFonts w:ascii="仿宋" w:hAnsi="仿宋" w:eastAsia="仿宋" w:cs="仿宋"/>
          <w:sz w:val="32"/>
          <w:szCs w:val="32"/>
        </w:rPr>
        <w:t>10</w:t>
      </w:r>
      <w:r>
        <w:rPr>
          <w:rFonts w:hint="eastAsia" w:ascii="仿宋" w:hAnsi="仿宋" w:eastAsia="仿宋" w:cs="仿宋"/>
          <w:sz w:val="32"/>
          <w:szCs w:val="32"/>
        </w:rPr>
        <w:t>00万元，市农业农村局为1</w:t>
      </w:r>
      <w:r>
        <w:rPr>
          <w:rFonts w:ascii="仿宋" w:hAnsi="仿宋" w:eastAsia="仿宋" w:cs="仿宋"/>
          <w:sz w:val="32"/>
          <w:szCs w:val="32"/>
        </w:rPr>
        <w:t>0</w:t>
      </w:r>
      <w:r>
        <w:rPr>
          <w:rFonts w:hint="eastAsia" w:ascii="仿宋" w:hAnsi="仿宋" w:eastAsia="仿宋" w:cs="仿宋"/>
          <w:sz w:val="32"/>
          <w:szCs w:val="32"/>
        </w:rPr>
        <w:t>00万元，市退役军人事务局为</w:t>
      </w:r>
      <w:r>
        <w:rPr>
          <w:rFonts w:ascii="仿宋" w:hAnsi="仿宋" w:eastAsia="仿宋" w:cs="仿宋"/>
          <w:sz w:val="32"/>
          <w:szCs w:val="32"/>
        </w:rPr>
        <w:t>2</w:t>
      </w:r>
      <w:r>
        <w:rPr>
          <w:rFonts w:hint="eastAsia" w:ascii="仿宋" w:hAnsi="仿宋" w:eastAsia="仿宋" w:cs="仿宋"/>
          <w:sz w:val="32"/>
          <w:szCs w:val="32"/>
        </w:rPr>
        <w:t>00万元，市残联为</w:t>
      </w:r>
      <w:r>
        <w:rPr>
          <w:rFonts w:ascii="仿宋" w:hAnsi="仿宋" w:eastAsia="仿宋" w:cs="仿宋"/>
          <w:sz w:val="32"/>
          <w:szCs w:val="32"/>
        </w:rPr>
        <w:t>2</w:t>
      </w:r>
      <w:r>
        <w:rPr>
          <w:rFonts w:hint="eastAsia" w:ascii="仿宋" w:hAnsi="仿宋" w:eastAsia="仿宋" w:cs="仿宋"/>
          <w:sz w:val="32"/>
          <w:szCs w:val="32"/>
        </w:rPr>
        <w:t>00万元（表2）。其中，市住建局为9</w:t>
      </w:r>
      <w:r>
        <w:rPr>
          <w:rFonts w:ascii="仿宋" w:hAnsi="仿宋" w:eastAsia="仿宋" w:cs="仿宋"/>
          <w:sz w:val="32"/>
          <w:szCs w:val="32"/>
        </w:rPr>
        <w:t>4</w:t>
      </w:r>
      <w:r>
        <w:rPr>
          <w:rFonts w:hint="eastAsia" w:ascii="仿宋" w:hAnsi="仿宋" w:eastAsia="仿宋" w:cs="仿宋"/>
          <w:sz w:val="32"/>
          <w:szCs w:val="32"/>
        </w:rPr>
        <w:t>00万元，市水务局为</w:t>
      </w:r>
      <w:r>
        <w:rPr>
          <w:rFonts w:ascii="仿宋" w:hAnsi="仿宋" w:eastAsia="仿宋" w:cs="仿宋"/>
          <w:sz w:val="32"/>
          <w:szCs w:val="32"/>
        </w:rPr>
        <w:t>8</w:t>
      </w:r>
      <w:r>
        <w:rPr>
          <w:rFonts w:hint="eastAsia" w:ascii="仿宋" w:hAnsi="仿宋" w:eastAsia="仿宋" w:cs="仿宋"/>
          <w:sz w:val="32"/>
          <w:szCs w:val="32"/>
        </w:rPr>
        <w:t>000万元，原因在于：市住建局和市水务局储备项目第一梯队的申报资金较多，且项目进展情况较好，是我市申报中央预算内投资的主力军；此外，借鉴周边城市（梅州市）的有益经验，市住建局和市水务局负责的安居工程、排水设施、水利工程等项目相对容易获得中央预算内投资。市卫健局为5</w:t>
      </w:r>
      <w:r>
        <w:rPr>
          <w:rFonts w:ascii="仿宋" w:hAnsi="仿宋" w:eastAsia="仿宋" w:cs="仿宋"/>
          <w:sz w:val="32"/>
          <w:szCs w:val="32"/>
        </w:rPr>
        <w:t>8</w:t>
      </w:r>
      <w:r>
        <w:rPr>
          <w:rFonts w:hint="eastAsia" w:ascii="仿宋" w:hAnsi="仿宋" w:eastAsia="仿宋" w:cs="仿宋"/>
          <w:sz w:val="32"/>
          <w:szCs w:val="32"/>
        </w:rPr>
        <w:t>00万元，市教育局为5</w:t>
      </w:r>
      <w:r>
        <w:rPr>
          <w:rFonts w:ascii="仿宋" w:hAnsi="仿宋" w:eastAsia="仿宋" w:cs="仿宋"/>
          <w:sz w:val="32"/>
          <w:szCs w:val="32"/>
        </w:rPr>
        <w:t>0</w:t>
      </w:r>
      <w:r>
        <w:rPr>
          <w:rFonts w:hint="eastAsia" w:ascii="仿宋" w:hAnsi="仿宋" w:eastAsia="仿宋" w:cs="仿宋"/>
          <w:sz w:val="32"/>
          <w:szCs w:val="32"/>
        </w:rPr>
        <w:t>00万元，原因在于：市卫健局和市教育局储备项目第一梯队的进展情况也较好，也是我市申报中央预算内投资的重点方向。</w:t>
      </w: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firstLine="420"/>
        <w:jc w:val="center"/>
        <w:rPr>
          <w:rFonts w:ascii="Times New Roman" w:hAnsi="Times New Roman" w:eastAsia="仿宋"/>
          <w:szCs w:val="21"/>
        </w:rPr>
      </w:pPr>
      <w:r>
        <w:rPr>
          <w:rFonts w:hint="eastAsia" w:ascii="Times New Roman" w:hAnsi="Times New Roman" w:eastAsia="仿宋"/>
          <w:szCs w:val="21"/>
        </w:rPr>
        <w:t>表</w:t>
      </w:r>
      <w:r>
        <w:rPr>
          <w:rFonts w:ascii="Times New Roman" w:hAnsi="Times New Roman" w:eastAsia="仿宋"/>
          <w:szCs w:val="21"/>
        </w:rPr>
        <w:t>3 2022</w:t>
      </w:r>
      <w:r>
        <w:rPr>
          <w:rFonts w:hint="eastAsia" w:ascii="Times New Roman" w:hAnsi="Times New Roman" w:eastAsia="仿宋"/>
          <w:szCs w:val="21"/>
        </w:rPr>
        <w:t>年汕尾市各县（市、区）中央预算内投资的分配方案</w:t>
      </w:r>
    </w:p>
    <w:tbl>
      <w:tblPr>
        <w:tblStyle w:val="4"/>
        <w:tblW w:w="9312" w:type="dxa"/>
        <w:jc w:val="center"/>
        <w:tblLayout w:type="autofit"/>
        <w:tblCellMar>
          <w:top w:w="0" w:type="dxa"/>
          <w:left w:w="108" w:type="dxa"/>
          <w:bottom w:w="0" w:type="dxa"/>
          <w:right w:w="108" w:type="dxa"/>
        </w:tblCellMar>
      </w:tblPr>
      <w:tblGrid>
        <w:gridCol w:w="1843"/>
        <w:gridCol w:w="1559"/>
        <w:gridCol w:w="1276"/>
        <w:gridCol w:w="850"/>
        <w:gridCol w:w="1134"/>
        <w:gridCol w:w="794"/>
        <w:gridCol w:w="864"/>
        <w:gridCol w:w="992"/>
      </w:tblGrid>
      <w:tr>
        <w:tblPrEx>
          <w:tblCellMar>
            <w:top w:w="0" w:type="dxa"/>
            <w:left w:w="108" w:type="dxa"/>
            <w:bottom w:w="0" w:type="dxa"/>
            <w:right w:w="108" w:type="dxa"/>
          </w:tblCellMar>
        </w:tblPrEx>
        <w:trPr>
          <w:trHeight w:val="252" w:hRule="atLeast"/>
          <w:jc w:val="center"/>
        </w:trPr>
        <w:tc>
          <w:tcPr>
            <w:tcW w:w="1843" w:type="dxa"/>
            <w:tcBorders>
              <w:top w:val="single" w:color="auto" w:sz="4" w:space="0"/>
              <w:left w:val="nil"/>
              <w:bottom w:val="single" w:color="auto" w:sz="4" w:space="0"/>
              <w:right w:val="nil"/>
            </w:tcBorders>
            <w:shd w:val="clear" w:color="auto" w:fill="auto"/>
            <w:noWrap/>
            <w:vAlign w:val="center"/>
          </w:tcPr>
          <w:p>
            <w:pPr>
              <w:widowControl/>
              <w:spacing w:line="560" w:lineRule="exact"/>
              <w:jc w:val="center"/>
              <w:rPr>
                <w:rFonts w:ascii="Times New Roman" w:hAnsi="Times New Roman" w:eastAsia="仿宋" w:cs="宋体"/>
                <w:color w:val="000000"/>
                <w:kern w:val="0"/>
                <w:szCs w:val="21"/>
              </w:rPr>
            </w:pPr>
            <w:r>
              <w:rPr>
                <w:rFonts w:hint="eastAsia" w:ascii="Times New Roman" w:hAnsi="Times New Roman" w:eastAsia="仿宋" w:cs="宋体"/>
                <w:color w:val="000000"/>
                <w:kern w:val="0"/>
                <w:szCs w:val="21"/>
              </w:rPr>
              <w:t>县(市、区)</w:t>
            </w:r>
          </w:p>
        </w:tc>
        <w:tc>
          <w:tcPr>
            <w:tcW w:w="1559" w:type="dxa"/>
            <w:tcBorders>
              <w:top w:val="single" w:color="auto" w:sz="4" w:space="0"/>
              <w:left w:val="nil"/>
              <w:bottom w:val="single" w:color="auto" w:sz="4" w:space="0"/>
              <w:right w:val="nil"/>
            </w:tcBorders>
            <w:shd w:val="clear" w:color="auto" w:fill="auto"/>
            <w:noWrap/>
            <w:vAlign w:val="center"/>
          </w:tcPr>
          <w:p>
            <w:pPr>
              <w:widowControl/>
              <w:spacing w:line="560" w:lineRule="exact"/>
              <w:jc w:val="center"/>
              <w:rPr>
                <w:rFonts w:ascii="Times New Roman" w:hAnsi="Times New Roman" w:eastAsia="仿宋" w:cs="宋体"/>
                <w:color w:val="000000"/>
                <w:kern w:val="0"/>
                <w:szCs w:val="21"/>
              </w:rPr>
            </w:pPr>
            <w:r>
              <w:rPr>
                <w:rFonts w:hint="eastAsia" w:ascii="Times New Roman" w:hAnsi="Times New Roman" w:eastAsia="仿宋" w:cs="宋体"/>
                <w:color w:val="000000"/>
                <w:kern w:val="0"/>
                <w:szCs w:val="21"/>
              </w:rPr>
              <w:t>2018-2020年固定资产投资的均值(万元)</w:t>
            </w:r>
          </w:p>
        </w:tc>
        <w:tc>
          <w:tcPr>
            <w:tcW w:w="1276" w:type="dxa"/>
            <w:tcBorders>
              <w:top w:val="single" w:color="auto" w:sz="4" w:space="0"/>
              <w:left w:val="nil"/>
              <w:bottom w:val="single" w:color="auto" w:sz="4" w:space="0"/>
              <w:right w:val="nil"/>
            </w:tcBorders>
            <w:shd w:val="clear" w:color="auto" w:fill="auto"/>
            <w:noWrap/>
            <w:vAlign w:val="center"/>
          </w:tcPr>
          <w:p>
            <w:pPr>
              <w:widowControl/>
              <w:spacing w:line="560" w:lineRule="exact"/>
              <w:jc w:val="center"/>
              <w:rPr>
                <w:rFonts w:ascii="Times New Roman" w:hAnsi="Times New Roman" w:eastAsia="仿宋" w:cs="宋体"/>
                <w:color w:val="000000"/>
                <w:kern w:val="0"/>
                <w:szCs w:val="21"/>
              </w:rPr>
            </w:pPr>
            <w:r>
              <w:rPr>
                <w:rFonts w:hint="eastAsia" w:ascii="Times New Roman" w:hAnsi="Times New Roman" w:eastAsia="仿宋" w:cs="宋体"/>
                <w:color w:val="000000"/>
                <w:kern w:val="0"/>
                <w:szCs w:val="21"/>
              </w:rPr>
              <w:t>固定资产投资的均值比重(%)</w:t>
            </w:r>
          </w:p>
        </w:tc>
        <w:tc>
          <w:tcPr>
            <w:tcW w:w="850" w:type="dxa"/>
            <w:tcBorders>
              <w:top w:val="single" w:color="auto" w:sz="4" w:space="0"/>
              <w:left w:val="nil"/>
              <w:bottom w:val="single" w:color="auto" w:sz="4" w:space="0"/>
              <w:right w:val="nil"/>
            </w:tcBorders>
            <w:shd w:val="clear" w:color="auto" w:fill="auto"/>
            <w:noWrap/>
            <w:vAlign w:val="center"/>
          </w:tcPr>
          <w:p>
            <w:pPr>
              <w:widowControl/>
              <w:spacing w:line="560" w:lineRule="exact"/>
              <w:jc w:val="center"/>
              <w:rPr>
                <w:rFonts w:ascii="Times New Roman" w:hAnsi="Times New Roman" w:eastAsia="仿宋" w:cs="宋体"/>
                <w:color w:val="000000"/>
                <w:kern w:val="0"/>
                <w:szCs w:val="21"/>
              </w:rPr>
            </w:pPr>
            <w:r>
              <w:rPr>
                <w:rFonts w:hint="eastAsia" w:ascii="Times New Roman" w:hAnsi="Times New Roman" w:eastAsia="仿宋" w:cs="宋体"/>
                <w:color w:val="000000"/>
                <w:kern w:val="0"/>
                <w:szCs w:val="21"/>
              </w:rPr>
              <w:t>第一梯队项目数(个)</w:t>
            </w:r>
          </w:p>
        </w:tc>
        <w:tc>
          <w:tcPr>
            <w:tcW w:w="1134" w:type="dxa"/>
            <w:tcBorders>
              <w:top w:val="single" w:color="auto" w:sz="4" w:space="0"/>
              <w:left w:val="nil"/>
              <w:bottom w:val="single" w:color="auto" w:sz="4" w:space="0"/>
              <w:right w:val="nil"/>
            </w:tcBorders>
            <w:shd w:val="clear" w:color="auto" w:fill="auto"/>
            <w:noWrap/>
            <w:vAlign w:val="center"/>
          </w:tcPr>
          <w:p>
            <w:pPr>
              <w:widowControl/>
              <w:spacing w:line="560" w:lineRule="exact"/>
              <w:jc w:val="center"/>
              <w:rPr>
                <w:rFonts w:ascii="Times New Roman" w:hAnsi="Times New Roman" w:eastAsia="仿宋" w:cs="宋体"/>
                <w:color w:val="000000"/>
                <w:kern w:val="0"/>
                <w:szCs w:val="21"/>
              </w:rPr>
            </w:pPr>
            <w:r>
              <w:rPr>
                <w:rFonts w:hint="eastAsia" w:ascii="Times New Roman" w:hAnsi="Times New Roman" w:eastAsia="仿宋" w:cs="宋体"/>
                <w:color w:val="000000"/>
                <w:kern w:val="0"/>
                <w:szCs w:val="21"/>
              </w:rPr>
              <w:t>第一梯队项目数占比(%)</w:t>
            </w:r>
          </w:p>
        </w:tc>
        <w:tc>
          <w:tcPr>
            <w:tcW w:w="794" w:type="dxa"/>
            <w:tcBorders>
              <w:top w:val="single" w:color="auto" w:sz="4" w:space="0"/>
              <w:left w:val="nil"/>
              <w:bottom w:val="single" w:color="auto" w:sz="4" w:space="0"/>
              <w:right w:val="nil"/>
            </w:tcBorders>
          </w:tcPr>
          <w:p>
            <w:pPr>
              <w:widowControl/>
              <w:spacing w:line="560" w:lineRule="exact"/>
              <w:jc w:val="center"/>
              <w:rPr>
                <w:rFonts w:ascii="Times New Roman" w:hAnsi="Times New Roman" w:eastAsia="仿宋" w:cs="宋体"/>
                <w:color w:val="000000"/>
                <w:kern w:val="0"/>
                <w:szCs w:val="21"/>
              </w:rPr>
            </w:pPr>
            <w:r>
              <w:rPr>
                <w:rFonts w:hint="eastAsia" w:ascii="Times New Roman" w:hAnsi="Times New Roman" w:eastAsia="仿宋" w:cs="宋体"/>
                <w:color w:val="000000"/>
                <w:kern w:val="0"/>
                <w:szCs w:val="21"/>
              </w:rPr>
              <w:t>常住人口(万人</w:t>
            </w:r>
            <w:r>
              <w:rPr>
                <w:rFonts w:ascii="Times New Roman" w:hAnsi="Times New Roman" w:eastAsia="仿宋" w:cs="宋体"/>
                <w:color w:val="000000"/>
                <w:kern w:val="0"/>
                <w:szCs w:val="21"/>
              </w:rPr>
              <w:t>)</w:t>
            </w:r>
          </w:p>
        </w:tc>
        <w:tc>
          <w:tcPr>
            <w:tcW w:w="864" w:type="dxa"/>
            <w:tcBorders>
              <w:top w:val="single" w:color="auto" w:sz="4" w:space="0"/>
              <w:left w:val="nil"/>
              <w:bottom w:val="single" w:color="auto" w:sz="4" w:space="0"/>
              <w:right w:val="nil"/>
            </w:tcBorders>
          </w:tcPr>
          <w:p>
            <w:pPr>
              <w:widowControl/>
              <w:spacing w:line="560" w:lineRule="exact"/>
              <w:jc w:val="center"/>
              <w:rPr>
                <w:rFonts w:ascii="Times New Roman" w:hAnsi="Times New Roman" w:eastAsia="仿宋" w:cs="宋体"/>
                <w:color w:val="000000"/>
                <w:kern w:val="0"/>
                <w:szCs w:val="21"/>
              </w:rPr>
            </w:pPr>
            <w:r>
              <w:rPr>
                <w:rFonts w:hint="eastAsia" w:ascii="Times New Roman" w:hAnsi="Times New Roman" w:eastAsia="仿宋" w:cs="宋体"/>
                <w:color w:val="000000"/>
                <w:kern w:val="0"/>
                <w:szCs w:val="21"/>
              </w:rPr>
              <w:t>常住人口占比(%)</w:t>
            </w:r>
          </w:p>
        </w:tc>
        <w:tc>
          <w:tcPr>
            <w:tcW w:w="992" w:type="dxa"/>
            <w:tcBorders>
              <w:top w:val="single" w:color="auto" w:sz="4" w:space="0"/>
              <w:left w:val="nil"/>
              <w:bottom w:val="single" w:color="auto" w:sz="4" w:space="0"/>
              <w:right w:val="nil"/>
            </w:tcBorders>
            <w:shd w:val="clear" w:color="auto" w:fill="auto"/>
            <w:noWrap/>
            <w:vAlign w:val="center"/>
          </w:tcPr>
          <w:p>
            <w:pPr>
              <w:widowControl/>
              <w:spacing w:line="560" w:lineRule="exact"/>
              <w:jc w:val="center"/>
              <w:rPr>
                <w:rFonts w:ascii="Times New Roman" w:hAnsi="Times New Roman" w:eastAsia="仿宋" w:cs="宋体"/>
                <w:color w:val="000000"/>
                <w:kern w:val="0"/>
                <w:szCs w:val="21"/>
              </w:rPr>
            </w:pPr>
            <w:r>
              <w:rPr>
                <w:rFonts w:hint="eastAsia" w:ascii="Times New Roman" w:hAnsi="Times New Roman" w:eastAsia="仿宋" w:cs="宋体"/>
                <w:color w:val="000000"/>
                <w:kern w:val="0"/>
                <w:szCs w:val="21"/>
              </w:rPr>
              <w:t>分配资金(万元)</w:t>
            </w:r>
          </w:p>
        </w:tc>
      </w:tr>
      <w:tr>
        <w:tblPrEx>
          <w:tblCellMar>
            <w:top w:w="0" w:type="dxa"/>
            <w:left w:w="108" w:type="dxa"/>
            <w:bottom w:w="0" w:type="dxa"/>
            <w:right w:w="108" w:type="dxa"/>
          </w:tblCellMar>
        </w:tblPrEx>
        <w:trPr>
          <w:trHeight w:val="252" w:hRule="atLeast"/>
          <w:jc w:val="center"/>
        </w:trPr>
        <w:tc>
          <w:tcPr>
            <w:tcW w:w="1843" w:type="dxa"/>
            <w:tcBorders>
              <w:top w:val="nil"/>
              <w:left w:val="nil"/>
              <w:bottom w:val="nil"/>
              <w:right w:val="nil"/>
            </w:tcBorders>
            <w:shd w:val="clear" w:color="auto" w:fill="auto"/>
            <w:noWrap/>
            <w:vAlign w:val="center"/>
          </w:tcPr>
          <w:p>
            <w:pPr>
              <w:widowControl/>
              <w:spacing w:line="560" w:lineRule="exact"/>
              <w:jc w:val="center"/>
              <w:rPr>
                <w:rFonts w:ascii="Times New Roman" w:hAnsi="Times New Roman" w:eastAsia="仿宋" w:cs="宋体"/>
                <w:color w:val="000000"/>
                <w:kern w:val="0"/>
                <w:szCs w:val="21"/>
              </w:rPr>
            </w:pPr>
            <w:r>
              <w:rPr>
                <w:rFonts w:hint="eastAsia" w:ascii="Times New Roman" w:hAnsi="Times New Roman" w:eastAsia="仿宋" w:cs="宋体"/>
                <w:color w:val="000000"/>
                <w:kern w:val="0"/>
                <w:szCs w:val="21"/>
              </w:rPr>
              <w:t>城区(含汕尾新区)</w:t>
            </w:r>
          </w:p>
        </w:tc>
        <w:tc>
          <w:tcPr>
            <w:tcW w:w="1559" w:type="dxa"/>
            <w:tcBorders>
              <w:top w:val="nil"/>
              <w:left w:val="nil"/>
              <w:bottom w:val="nil"/>
              <w:right w:val="nil"/>
            </w:tcBorders>
            <w:shd w:val="clear" w:color="auto" w:fill="auto"/>
            <w:noWrap/>
            <w:vAlign w:val="center"/>
          </w:tcPr>
          <w:p>
            <w:pPr>
              <w:widowControl/>
              <w:spacing w:line="560" w:lineRule="exact"/>
              <w:jc w:val="center"/>
              <w:rPr>
                <w:rFonts w:ascii="Times New Roman" w:hAnsi="Times New Roman" w:eastAsia="仿宋" w:cs="宋体"/>
                <w:color w:val="000000"/>
                <w:kern w:val="0"/>
                <w:szCs w:val="21"/>
              </w:rPr>
            </w:pPr>
            <w:r>
              <w:rPr>
                <w:rFonts w:hint="eastAsia" w:ascii="Times New Roman" w:hAnsi="Times New Roman" w:eastAsia="仿宋" w:cs="宋体"/>
                <w:color w:val="000000"/>
                <w:kern w:val="0"/>
                <w:szCs w:val="21"/>
              </w:rPr>
              <w:t xml:space="preserve">857498.67 </w:t>
            </w:r>
          </w:p>
        </w:tc>
        <w:tc>
          <w:tcPr>
            <w:tcW w:w="1276" w:type="dxa"/>
            <w:tcBorders>
              <w:top w:val="nil"/>
              <w:left w:val="nil"/>
              <w:bottom w:val="nil"/>
              <w:right w:val="nil"/>
            </w:tcBorders>
            <w:shd w:val="clear" w:color="auto" w:fill="auto"/>
            <w:noWrap/>
            <w:vAlign w:val="center"/>
          </w:tcPr>
          <w:p>
            <w:pPr>
              <w:widowControl/>
              <w:spacing w:line="560" w:lineRule="exact"/>
              <w:jc w:val="center"/>
              <w:rPr>
                <w:rFonts w:ascii="Times New Roman" w:hAnsi="Times New Roman" w:eastAsia="仿宋" w:cs="宋体"/>
                <w:color w:val="000000"/>
                <w:kern w:val="0"/>
                <w:szCs w:val="21"/>
              </w:rPr>
            </w:pPr>
            <w:r>
              <w:rPr>
                <w:rFonts w:hint="eastAsia" w:ascii="Times New Roman" w:hAnsi="Times New Roman" w:eastAsia="仿宋"/>
                <w:color w:val="000000"/>
                <w:szCs w:val="21"/>
              </w:rPr>
              <w:t>13.11%</w:t>
            </w:r>
          </w:p>
        </w:tc>
        <w:tc>
          <w:tcPr>
            <w:tcW w:w="850" w:type="dxa"/>
            <w:tcBorders>
              <w:top w:val="nil"/>
              <w:left w:val="nil"/>
              <w:bottom w:val="nil"/>
              <w:right w:val="nil"/>
            </w:tcBorders>
            <w:shd w:val="clear" w:color="auto" w:fill="auto"/>
            <w:noWrap/>
            <w:vAlign w:val="center"/>
          </w:tcPr>
          <w:p>
            <w:pPr>
              <w:widowControl/>
              <w:spacing w:line="560" w:lineRule="exact"/>
              <w:jc w:val="center"/>
              <w:rPr>
                <w:rFonts w:ascii="Times New Roman" w:hAnsi="Times New Roman" w:eastAsia="仿宋" w:cs="宋体"/>
                <w:color w:val="000000"/>
                <w:kern w:val="0"/>
                <w:szCs w:val="21"/>
              </w:rPr>
            </w:pPr>
            <w:r>
              <w:rPr>
                <w:rFonts w:hint="eastAsia" w:ascii="Times New Roman" w:hAnsi="Times New Roman" w:eastAsia="仿宋" w:cs="宋体"/>
                <w:color w:val="000000"/>
                <w:kern w:val="0"/>
                <w:szCs w:val="21"/>
              </w:rPr>
              <w:t>5</w:t>
            </w:r>
          </w:p>
        </w:tc>
        <w:tc>
          <w:tcPr>
            <w:tcW w:w="1134" w:type="dxa"/>
            <w:tcBorders>
              <w:top w:val="nil"/>
              <w:left w:val="nil"/>
              <w:bottom w:val="nil"/>
              <w:right w:val="nil"/>
            </w:tcBorders>
            <w:shd w:val="clear" w:color="auto" w:fill="auto"/>
            <w:noWrap/>
            <w:vAlign w:val="center"/>
          </w:tcPr>
          <w:p>
            <w:pPr>
              <w:widowControl/>
              <w:spacing w:line="560" w:lineRule="exact"/>
              <w:jc w:val="center"/>
              <w:rPr>
                <w:rFonts w:ascii="Times New Roman" w:hAnsi="Times New Roman" w:eastAsia="仿宋" w:cs="宋体"/>
                <w:color w:val="000000"/>
                <w:kern w:val="0"/>
                <w:szCs w:val="21"/>
              </w:rPr>
            </w:pPr>
            <w:r>
              <w:rPr>
                <w:rFonts w:ascii="Times New Roman" w:hAnsi="Times New Roman" w:eastAsia="仿宋"/>
                <w:szCs w:val="21"/>
              </w:rPr>
              <w:t>18.52%</w:t>
            </w:r>
          </w:p>
        </w:tc>
        <w:tc>
          <w:tcPr>
            <w:tcW w:w="794" w:type="dxa"/>
            <w:tcBorders>
              <w:top w:val="nil"/>
              <w:left w:val="nil"/>
              <w:bottom w:val="nil"/>
              <w:right w:val="nil"/>
            </w:tcBorders>
            <w:shd w:val="clear" w:color="auto" w:fill="auto"/>
            <w:vAlign w:val="center"/>
          </w:tcPr>
          <w:p>
            <w:pPr>
              <w:widowControl/>
              <w:spacing w:line="560" w:lineRule="exact"/>
              <w:jc w:val="center"/>
              <w:rPr>
                <w:rFonts w:ascii="Times New Roman" w:hAnsi="Times New Roman" w:eastAsia="仿宋"/>
                <w:color w:val="000000"/>
                <w:szCs w:val="21"/>
              </w:rPr>
            </w:pPr>
            <w:r>
              <w:rPr>
                <w:rFonts w:hint="eastAsia" w:ascii="Times New Roman" w:hAnsi="Times New Roman" w:eastAsia="仿宋"/>
                <w:color w:val="000000"/>
                <w:szCs w:val="21"/>
              </w:rPr>
              <w:t xml:space="preserve">42.55 </w:t>
            </w:r>
          </w:p>
        </w:tc>
        <w:tc>
          <w:tcPr>
            <w:tcW w:w="864" w:type="dxa"/>
            <w:tcBorders>
              <w:top w:val="nil"/>
              <w:left w:val="nil"/>
              <w:bottom w:val="nil"/>
              <w:right w:val="nil"/>
            </w:tcBorders>
            <w:shd w:val="clear" w:color="auto" w:fill="auto"/>
            <w:vAlign w:val="center"/>
          </w:tcPr>
          <w:p>
            <w:pPr>
              <w:widowControl/>
              <w:spacing w:line="560" w:lineRule="exact"/>
              <w:jc w:val="center"/>
              <w:rPr>
                <w:rFonts w:ascii="Times New Roman" w:hAnsi="Times New Roman" w:eastAsia="仿宋"/>
                <w:color w:val="000000"/>
                <w:szCs w:val="21"/>
              </w:rPr>
            </w:pPr>
            <w:r>
              <w:rPr>
                <w:rFonts w:hint="eastAsia" w:ascii="Times New Roman" w:hAnsi="Times New Roman" w:eastAsia="仿宋"/>
                <w:color w:val="000000"/>
                <w:szCs w:val="21"/>
              </w:rPr>
              <w:t>14.11%</w:t>
            </w:r>
          </w:p>
        </w:tc>
        <w:tc>
          <w:tcPr>
            <w:tcW w:w="992" w:type="dxa"/>
            <w:tcBorders>
              <w:top w:val="nil"/>
              <w:left w:val="nil"/>
              <w:bottom w:val="nil"/>
              <w:right w:val="nil"/>
            </w:tcBorders>
            <w:shd w:val="clear" w:color="auto" w:fill="auto"/>
            <w:noWrap/>
            <w:vAlign w:val="center"/>
          </w:tcPr>
          <w:p>
            <w:pPr>
              <w:widowControl/>
              <w:spacing w:line="560" w:lineRule="exact"/>
              <w:jc w:val="center"/>
              <w:rPr>
                <w:rFonts w:ascii="Times New Roman" w:hAnsi="Times New Roman" w:eastAsia="仿宋"/>
                <w:szCs w:val="21"/>
              </w:rPr>
            </w:pPr>
            <w:r>
              <w:rPr>
                <w:rFonts w:ascii="Times New Roman" w:hAnsi="Times New Roman" w:eastAsia="仿宋"/>
                <w:szCs w:val="21"/>
              </w:rPr>
              <w:t>58</w:t>
            </w:r>
            <w:r>
              <w:rPr>
                <w:rFonts w:hint="eastAsia" w:ascii="Times New Roman" w:hAnsi="Times New Roman" w:eastAsia="仿宋"/>
                <w:szCs w:val="21"/>
              </w:rPr>
              <w:t xml:space="preserve">00 </w:t>
            </w:r>
          </w:p>
        </w:tc>
      </w:tr>
      <w:tr>
        <w:tblPrEx>
          <w:tblCellMar>
            <w:top w:w="0" w:type="dxa"/>
            <w:left w:w="108" w:type="dxa"/>
            <w:bottom w:w="0" w:type="dxa"/>
            <w:right w:w="108" w:type="dxa"/>
          </w:tblCellMar>
        </w:tblPrEx>
        <w:trPr>
          <w:trHeight w:val="252" w:hRule="atLeast"/>
          <w:jc w:val="center"/>
        </w:trPr>
        <w:tc>
          <w:tcPr>
            <w:tcW w:w="1843" w:type="dxa"/>
            <w:tcBorders>
              <w:top w:val="nil"/>
              <w:left w:val="nil"/>
              <w:bottom w:val="nil"/>
              <w:right w:val="nil"/>
            </w:tcBorders>
            <w:shd w:val="clear" w:color="auto" w:fill="auto"/>
            <w:noWrap/>
            <w:vAlign w:val="center"/>
          </w:tcPr>
          <w:p>
            <w:pPr>
              <w:widowControl/>
              <w:spacing w:line="560" w:lineRule="exact"/>
              <w:jc w:val="center"/>
              <w:rPr>
                <w:rFonts w:ascii="Times New Roman" w:hAnsi="Times New Roman" w:eastAsia="仿宋" w:cs="宋体"/>
                <w:color w:val="000000"/>
                <w:kern w:val="0"/>
                <w:szCs w:val="21"/>
              </w:rPr>
            </w:pPr>
            <w:r>
              <w:rPr>
                <w:rFonts w:hint="eastAsia" w:ascii="Times New Roman" w:hAnsi="Times New Roman" w:eastAsia="仿宋" w:cs="宋体"/>
                <w:color w:val="000000"/>
                <w:kern w:val="0"/>
                <w:szCs w:val="21"/>
              </w:rPr>
              <w:t>海丰县</w:t>
            </w:r>
          </w:p>
        </w:tc>
        <w:tc>
          <w:tcPr>
            <w:tcW w:w="1559" w:type="dxa"/>
            <w:tcBorders>
              <w:top w:val="nil"/>
              <w:left w:val="nil"/>
              <w:bottom w:val="nil"/>
              <w:right w:val="nil"/>
            </w:tcBorders>
            <w:shd w:val="clear" w:color="auto" w:fill="auto"/>
            <w:noWrap/>
            <w:vAlign w:val="center"/>
          </w:tcPr>
          <w:p>
            <w:pPr>
              <w:widowControl/>
              <w:spacing w:line="560" w:lineRule="exact"/>
              <w:jc w:val="center"/>
              <w:rPr>
                <w:rFonts w:ascii="Times New Roman" w:hAnsi="Times New Roman" w:eastAsia="仿宋" w:cs="宋体"/>
                <w:color w:val="000000"/>
                <w:kern w:val="0"/>
                <w:szCs w:val="21"/>
              </w:rPr>
            </w:pPr>
            <w:r>
              <w:rPr>
                <w:rFonts w:hint="eastAsia" w:ascii="Times New Roman" w:hAnsi="Times New Roman" w:eastAsia="仿宋" w:cs="宋体"/>
                <w:color w:val="000000"/>
                <w:kern w:val="0"/>
                <w:szCs w:val="21"/>
              </w:rPr>
              <w:t xml:space="preserve">3013289.67 </w:t>
            </w:r>
          </w:p>
        </w:tc>
        <w:tc>
          <w:tcPr>
            <w:tcW w:w="1276" w:type="dxa"/>
            <w:tcBorders>
              <w:top w:val="nil"/>
              <w:left w:val="nil"/>
              <w:bottom w:val="nil"/>
              <w:right w:val="nil"/>
            </w:tcBorders>
            <w:shd w:val="clear" w:color="auto" w:fill="auto"/>
            <w:noWrap/>
            <w:vAlign w:val="center"/>
          </w:tcPr>
          <w:p>
            <w:pPr>
              <w:widowControl/>
              <w:spacing w:line="560" w:lineRule="exact"/>
              <w:jc w:val="center"/>
              <w:rPr>
                <w:rFonts w:ascii="Times New Roman" w:hAnsi="Times New Roman" w:eastAsia="仿宋" w:cs="宋体"/>
                <w:color w:val="000000"/>
                <w:kern w:val="0"/>
                <w:szCs w:val="21"/>
              </w:rPr>
            </w:pPr>
            <w:r>
              <w:rPr>
                <w:rFonts w:hint="eastAsia" w:ascii="Times New Roman" w:hAnsi="Times New Roman" w:eastAsia="仿宋"/>
                <w:color w:val="000000"/>
                <w:szCs w:val="21"/>
              </w:rPr>
              <w:t>46.06%</w:t>
            </w:r>
          </w:p>
        </w:tc>
        <w:tc>
          <w:tcPr>
            <w:tcW w:w="850" w:type="dxa"/>
            <w:tcBorders>
              <w:top w:val="nil"/>
              <w:left w:val="nil"/>
              <w:bottom w:val="nil"/>
              <w:right w:val="nil"/>
            </w:tcBorders>
            <w:shd w:val="clear" w:color="auto" w:fill="auto"/>
            <w:noWrap/>
            <w:vAlign w:val="center"/>
          </w:tcPr>
          <w:p>
            <w:pPr>
              <w:widowControl/>
              <w:spacing w:line="560" w:lineRule="exact"/>
              <w:jc w:val="center"/>
              <w:rPr>
                <w:rFonts w:ascii="Times New Roman" w:hAnsi="Times New Roman" w:eastAsia="仿宋" w:cs="宋体"/>
                <w:color w:val="000000"/>
                <w:kern w:val="0"/>
                <w:szCs w:val="21"/>
              </w:rPr>
            </w:pPr>
            <w:r>
              <w:rPr>
                <w:rFonts w:hint="eastAsia" w:ascii="Times New Roman" w:hAnsi="Times New Roman" w:eastAsia="仿宋" w:cs="宋体"/>
                <w:color w:val="000000"/>
                <w:kern w:val="0"/>
                <w:szCs w:val="21"/>
              </w:rPr>
              <w:t>3</w:t>
            </w:r>
          </w:p>
        </w:tc>
        <w:tc>
          <w:tcPr>
            <w:tcW w:w="1134" w:type="dxa"/>
            <w:tcBorders>
              <w:top w:val="nil"/>
              <w:left w:val="nil"/>
              <w:bottom w:val="nil"/>
              <w:right w:val="nil"/>
            </w:tcBorders>
            <w:shd w:val="clear" w:color="auto" w:fill="auto"/>
            <w:noWrap/>
            <w:vAlign w:val="center"/>
          </w:tcPr>
          <w:p>
            <w:pPr>
              <w:widowControl/>
              <w:spacing w:line="560" w:lineRule="exact"/>
              <w:jc w:val="center"/>
              <w:rPr>
                <w:rFonts w:ascii="Times New Roman" w:hAnsi="Times New Roman" w:eastAsia="仿宋" w:cs="宋体"/>
                <w:color w:val="000000"/>
                <w:kern w:val="0"/>
                <w:szCs w:val="21"/>
              </w:rPr>
            </w:pPr>
            <w:r>
              <w:rPr>
                <w:rFonts w:ascii="Times New Roman" w:hAnsi="Times New Roman" w:eastAsia="仿宋"/>
                <w:szCs w:val="21"/>
              </w:rPr>
              <w:t>11.11%</w:t>
            </w:r>
          </w:p>
        </w:tc>
        <w:tc>
          <w:tcPr>
            <w:tcW w:w="794" w:type="dxa"/>
            <w:tcBorders>
              <w:top w:val="nil"/>
              <w:left w:val="nil"/>
              <w:bottom w:val="nil"/>
              <w:right w:val="nil"/>
            </w:tcBorders>
            <w:shd w:val="clear" w:color="auto" w:fill="auto"/>
            <w:vAlign w:val="center"/>
          </w:tcPr>
          <w:p>
            <w:pPr>
              <w:widowControl/>
              <w:spacing w:line="560" w:lineRule="exact"/>
              <w:jc w:val="center"/>
              <w:rPr>
                <w:rFonts w:ascii="Times New Roman" w:hAnsi="Times New Roman" w:eastAsia="仿宋"/>
                <w:color w:val="000000"/>
                <w:szCs w:val="21"/>
              </w:rPr>
            </w:pPr>
            <w:r>
              <w:rPr>
                <w:rFonts w:hint="eastAsia" w:ascii="Times New Roman" w:hAnsi="Times New Roman" w:eastAsia="仿宋"/>
                <w:color w:val="000000"/>
                <w:szCs w:val="21"/>
              </w:rPr>
              <w:t xml:space="preserve">76.31 </w:t>
            </w:r>
          </w:p>
        </w:tc>
        <w:tc>
          <w:tcPr>
            <w:tcW w:w="864" w:type="dxa"/>
            <w:tcBorders>
              <w:top w:val="nil"/>
              <w:left w:val="nil"/>
              <w:bottom w:val="nil"/>
              <w:right w:val="nil"/>
            </w:tcBorders>
            <w:shd w:val="clear" w:color="auto" w:fill="auto"/>
            <w:vAlign w:val="center"/>
          </w:tcPr>
          <w:p>
            <w:pPr>
              <w:widowControl/>
              <w:spacing w:line="560" w:lineRule="exact"/>
              <w:jc w:val="center"/>
              <w:rPr>
                <w:rFonts w:ascii="Times New Roman" w:hAnsi="Times New Roman" w:eastAsia="仿宋"/>
                <w:color w:val="000000"/>
                <w:szCs w:val="21"/>
              </w:rPr>
            </w:pPr>
            <w:r>
              <w:rPr>
                <w:rFonts w:hint="eastAsia" w:ascii="Times New Roman" w:hAnsi="Times New Roman" w:eastAsia="仿宋"/>
                <w:color w:val="000000"/>
                <w:szCs w:val="21"/>
              </w:rPr>
              <w:t>25.31%</w:t>
            </w:r>
          </w:p>
        </w:tc>
        <w:tc>
          <w:tcPr>
            <w:tcW w:w="992" w:type="dxa"/>
            <w:tcBorders>
              <w:top w:val="nil"/>
              <w:left w:val="nil"/>
              <w:bottom w:val="nil"/>
              <w:right w:val="nil"/>
            </w:tcBorders>
            <w:shd w:val="clear" w:color="auto" w:fill="auto"/>
            <w:noWrap/>
            <w:vAlign w:val="center"/>
          </w:tcPr>
          <w:p>
            <w:pPr>
              <w:widowControl/>
              <w:spacing w:line="560" w:lineRule="exact"/>
              <w:jc w:val="center"/>
              <w:rPr>
                <w:rFonts w:ascii="Times New Roman" w:hAnsi="Times New Roman" w:eastAsia="仿宋"/>
                <w:szCs w:val="21"/>
              </w:rPr>
            </w:pPr>
            <w:r>
              <w:rPr>
                <w:rFonts w:ascii="Times New Roman" w:hAnsi="Times New Roman" w:eastAsia="仿宋"/>
                <w:szCs w:val="21"/>
              </w:rPr>
              <w:t>13140</w:t>
            </w:r>
            <w:r>
              <w:rPr>
                <w:rFonts w:hint="eastAsia" w:ascii="Times New Roman" w:hAnsi="Times New Roman" w:eastAsia="仿宋"/>
                <w:szCs w:val="21"/>
              </w:rPr>
              <w:t xml:space="preserve"> </w:t>
            </w:r>
          </w:p>
        </w:tc>
      </w:tr>
      <w:tr>
        <w:tblPrEx>
          <w:tblCellMar>
            <w:top w:w="0" w:type="dxa"/>
            <w:left w:w="108" w:type="dxa"/>
            <w:bottom w:w="0" w:type="dxa"/>
            <w:right w:w="108" w:type="dxa"/>
          </w:tblCellMar>
        </w:tblPrEx>
        <w:trPr>
          <w:trHeight w:val="252" w:hRule="atLeast"/>
          <w:jc w:val="center"/>
        </w:trPr>
        <w:tc>
          <w:tcPr>
            <w:tcW w:w="1843" w:type="dxa"/>
            <w:tcBorders>
              <w:top w:val="nil"/>
              <w:left w:val="nil"/>
              <w:bottom w:val="nil"/>
              <w:right w:val="nil"/>
            </w:tcBorders>
            <w:shd w:val="clear" w:color="auto" w:fill="auto"/>
            <w:noWrap/>
            <w:vAlign w:val="center"/>
          </w:tcPr>
          <w:p>
            <w:pPr>
              <w:widowControl/>
              <w:spacing w:line="560" w:lineRule="exact"/>
              <w:jc w:val="center"/>
              <w:rPr>
                <w:rFonts w:ascii="Times New Roman" w:hAnsi="Times New Roman" w:eastAsia="仿宋" w:cs="宋体"/>
                <w:color w:val="000000"/>
                <w:kern w:val="0"/>
                <w:szCs w:val="21"/>
              </w:rPr>
            </w:pPr>
            <w:r>
              <w:rPr>
                <w:rFonts w:hint="eastAsia" w:ascii="Times New Roman" w:hAnsi="Times New Roman" w:eastAsia="仿宋" w:cs="宋体"/>
                <w:color w:val="000000"/>
                <w:kern w:val="0"/>
                <w:szCs w:val="21"/>
              </w:rPr>
              <w:t>陆丰市</w:t>
            </w:r>
          </w:p>
        </w:tc>
        <w:tc>
          <w:tcPr>
            <w:tcW w:w="1559" w:type="dxa"/>
            <w:tcBorders>
              <w:top w:val="nil"/>
              <w:left w:val="nil"/>
              <w:bottom w:val="nil"/>
              <w:right w:val="nil"/>
            </w:tcBorders>
            <w:shd w:val="clear" w:color="auto" w:fill="auto"/>
            <w:noWrap/>
            <w:vAlign w:val="center"/>
          </w:tcPr>
          <w:p>
            <w:pPr>
              <w:widowControl/>
              <w:spacing w:line="560" w:lineRule="exact"/>
              <w:jc w:val="center"/>
              <w:rPr>
                <w:rFonts w:ascii="Times New Roman" w:hAnsi="Times New Roman" w:eastAsia="仿宋" w:cs="宋体"/>
                <w:color w:val="000000"/>
                <w:kern w:val="0"/>
                <w:szCs w:val="21"/>
              </w:rPr>
            </w:pPr>
            <w:r>
              <w:rPr>
                <w:rFonts w:hint="eastAsia" w:ascii="Times New Roman" w:hAnsi="Times New Roman" w:eastAsia="仿宋" w:cs="宋体"/>
                <w:color w:val="000000"/>
                <w:kern w:val="0"/>
                <w:szCs w:val="21"/>
              </w:rPr>
              <w:t xml:space="preserve">2171188.33 </w:t>
            </w:r>
          </w:p>
        </w:tc>
        <w:tc>
          <w:tcPr>
            <w:tcW w:w="1276" w:type="dxa"/>
            <w:tcBorders>
              <w:top w:val="nil"/>
              <w:left w:val="nil"/>
              <w:bottom w:val="nil"/>
              <w:right w:val="nil"/>
            </w:tcBorders>
            <w:shd w:val="clear" w:color="auto" w:fill="auto"/>
            <w:noWrap/>
            <w:vAlign w:val="center"/>
          </w:tcPr>
          <w:p>
            <w:pPr>
              <w:widowControl/>
              <w:spacing w:line="560" w:lineRule="exact"/>
              <w:jc w:val="center"/>
              <w:rPr>
                <w:rFonts w:ascii="Times New Roman" w:hAnsi="Times New Roman" w:eastAsia="仿宋" w:cs="宋体"/>
                <w:color w:val="000000"/>
                <w:kern w:val="0"/>
                <w:szCs w:val="21"/>
              </w:rPr>
            </w:pPr>
            <w:r>
              <w:rPr>
                <w:rFonts w:hint="eastAsia" w:ascii="Times New Roman" w:hAnsi="Times New Roman" w:eastAsia="仿宋"/>
                <w:color w:val="000000"/>
                <w:szCs w:val="21"/>
              </w:rPr>
              <w:t>33.19%</w:t>
            </w:r>
          </w:p>
        </w:tc>
        <w:tc>
          <w:tcPr>
            <w:tcW w:w="850" w:type="dxa"/>
            <w:tcBorders>
              <w:top w:val="nil"/>
              <w:left w:val="nil"/>
              <w:bottom w:val="nil"/>
              <w:right w:val="nil"/>
            </w:tcBorders>
            <w:shd w:val="clear" w:color="auto" w:fill="auto"/>
            <w:noWrap/>
            <w:vAlign w:val="center"/>
          </w:tcPr>
          <w:p>
            <w:pPr>
              <w:widowControl/>
              <w:spacing w:line="560" w:lineRule="exact"/>
              <w:jc w:val="center"/>
              <w:rPr>
                <w:rFonts w:ascii="Times New Roman" w:hAnsi="Times New Roman" w:eastAsia="仿宋" w:cs="宋体"/>
                <w:color w:val="000000"/>
                <w:kern w:val="0"/>
                <w:szCs w:val="21"/>
              </w:rPr>
            </w:pPr>
            <w:r>
              <w:rPr>
                <w:rFonts w:hint="eastAsia" w:ascii="Times New Roman" w:hAnsi="Times New Roman" w:eastAsia="仿宋" w:cs="宋体"/>
                <w:color w:val="000000"/>
                <w:kern w:val="0"/>
                <w:szCs w:val="21"/>
              </w:rPr>
              <w:t>4</w:t>
            </w:r>
          </w:p>
        </w:tc>
        <w:tc>
          <w:tcPr>
            <w:tcW w:w="1134" w:type="dxa"/>
            <w:tcBorders>
              <w:top w:val="nil"/>
              <w:left w:val="nil"/>
              <w:bottom w:val="nil"/>
              <w:right w:val="nil"/>
            </w:tcBorders>
            <w:shd w:val="clear" w:color="auto" w:fill="auto"/>
            <w:noWrap/>
            <w:vAlign w:val="center"/>
          </w:tcPr>
          <w:p>
            <w:pPr>
              <w:widowControl/>
              <w:spacing w:line="560" w:lineRule="exact"/>
              <w:jc w:val="center"/>
              <w:rPr>
                <w:rFonts w:ascii="Times New Roman" w:hAnsi="Times New Roman" w:eastAsia="仿宋" w:cs="宋体"/>
                <w:color w:val="000000"/>
                <w:kern w:val="0"/>
                <w:szCs w:val="21"/>
              </w:rPr>
            </w:pPr>
            <w:r>
              <w:rPr>
                <w:rFonts w:ascii="Times New Roman" w:hAnsi="Times New Roman" w:eastAsia="仿宋"/>
                <w:szCs w:val="21"/>
              </w:rPr>
              <w:t>14.81%</w:t>
            </w:r>
          </w:p>
        </w:tc>
        <w:tc>
          <w:tcPr>
            <w:tcW w:w="794" w:type="dxa"/>
            <w:tcBorders>
              <w:top w:val="nil"/>
              <w:left w:val="nil"/>
              <w:bottom w:val="nil"/>
              <w:right w:val="nil"/>
            </w:tcBorders>
            <w:shd w:val="clear" w:color="auto" w:fill="auto"/>
            <w:vAlign w:val="center"/>
          </w:tcPr>
          <w:p>
            <w:pPr>
              <w:widowControl/>
              <w:spacing w:line="560" w:lineRule="exact"/>
              <w:jc w:val="center"/>
              <w:rPr>
                <w:rFonts w:ascii="Times New Roman" w:hAnsi="Times New Roman" w:eastAsia="仿宋"/>
                <w:color w:val="000000"/>
                <w:szCs w:val="21"/>
              </w:rPr>
            </w:pPr>
            <w:r>
              <w:rPr>
                <w:rFonts w:hint="eastAsia" w:ascii="Times New Roman" w:hAnsi="Times New Roman" w:eastAsia="仿宋"/>
                <w:color w:val="000000"/>
                <w:szCs w:val="21"/>
              </w:rPr>
              <w:t xml:space="preserve">142.19 </w:t>
            </w:r>
          </w:p>
        </w:tc>
        <w:tc>
          <w:tcPr>
            <w:tcW w:w="864" w:type="dxa"/>
            <w:tcBorders>
              <w:top w:val="nil"/>
              <w:left w:val="nil"/>
              <w:bottom w:val="nil"/>
              <w:right w:val="nil"/>
            </w:tcBorders>
            <w:shd w:val="clear" w:color="auto" w:fill="auto"/>
            <w:vAlign w:val="center"/>
          </w:tcPr>
          <w:p>
            <w:pPr>
              <w:widowControl/>
              <w:spacing w:line="560" w:lineRule="exact"/>
              <w:jc w:val="center"/>
              <w:rPr>
                <w:rFonts w:ascii="Times New Roman" w:hAnsi="Times New Roman" w:eastAsia="仿宋"/>
                <w:color w:val="000000"/>
                <w:szCs w:val="21"/>
              </w:rPr>
            </w:pPr>
            <w:r>
              <w:rPr>
                <w:rFonts w:hint="eastAsia" w:ascii="Times New Roman" w:hAnsi="Times New Roman" w:eastAsia="仿宋"/>
                <w:color w:val="000000"/>
                <w:szCs w:val="21"/>
              </w:rPr>
              <w:t>47.16%</w:t>
            </w:r>
          </w:p>
        </w:tc>
        <w:tc>
          <w:tcPr>
            <w:tcW w:w="992" w:type="dxa"/>
            <w:tcBorders>
              <w:top w:val="nil"/>
              <w:left w:val="nil"/>
              <w:bottom w:val="nil"/>
              <w:right w:val="nil"/>
            </w:tcBorders>
            <w:shd w:val="clear" w:color="auto" w:fill="auto"/>
            <w:noWrap/>
            <w:vAlign w:val="center"/>
          </w:tcPr>
          <w:p>
            <w:pPr>
              <w:widowControl/>
              <w:spacing w:line="560" w:lineRule="exact"/>
              <w:jc w:val="center"/>
              <w:rPr>
                <w:rFonts w:ascii="Times New Roman" w:hAnsi="Times New Roman" w:eastAsia="仿宋"/>
                <w:szCs w:val="21"/>
              </w:rPr>
            </w:pPr>
            <w:r>
              <w:rPr>
                <w:rFonts w:ascii="Times New Roman" w:hAnsi="Times New Roman" w:eastAsia="仿宋"/>
                <w:szCs w:val="21"/>
              </w:rPr>
              <w:t>13480</w:t>
            </w:r>
            <w:r>
              <w:rPr>
                <w:rFonts w:hint="eastAsia" w:ascii="Times New Roman" w:hAnsi="Times New Roman" w:eastAsia="仿宋"/>
                <w:szCs w:val="21"/>
              </w:rPr>
              <w:t xml:space="preserve"> </w:t>
            </w:r>
          </w:p>
        </w:tc>
      </w:tr>
      <w:tr>
        <w:tblPrEx>
          <w:tblCellMar>
            <w:top w:w="0" w:type="dxa"/>
            <w:left w:w="108" w:type="dxa"/>
            <w:bottom w:w="0" w:type="dxa"/>
            <w:right w:w="108" w:type="dxa"/>
          </w:tblCellMar>
        </w:tblPrEx>
        <w:trPr>
          <w:trHeight w:val="252" w:hRule="atLeast"/>
          <w:jc w:val="center"/>
        </w:trPr>
        <w:tc>
          <w:tcPr>
            <w:tcW w:w="1843" w:type="dxa"/>
            <w:tcBorders>
              <w:top w:val="nil"/>
              <w:left w:val="nil"/>
              <w:bottom w:val="nil"/>
              <w:right w:val="nil"/>
            </w:tcBorders>
            <w:shd w:val="clear" w:color="auto" w:fill="auto"/>
            <w:noWrap/>
            <w:vAlign w:val="center"/>
          </w:tcPr>
          <w:p>
            <w:pPr>
              <w:widowControl/>
              <w:spacing w:line="560" w:lineRule="exact"/>
              <w:jc w:val="center"/>
              <w:rPr>
                <w:rFonts w:ascii="Times New Roman" w:hAnsi="Times New Roman" w:eastAsia="仿宋" w:cs="宋体"/>
                <w:color w:val="000000"/>
                <w:kern w:val="0"/>
                <w:szCs w:val="21"/>
              </w:rPr>
            </w:pPr>
            <w:r>
              <w:rPr>
                <w:rFonts w:hint="eastAsia" w:ascii="Times New Roman" w:hAnsi="Times New Roman" w:eastAsia="仿宋" w:cs="宋体"/>
                <w:color w:val="000000"/>
                <w:kern w:val="0"/>
                <w:szCs w:val="21"/>
              </w:rPr>
              <w:t>陆河县</w:t>
            </w:r>
          </w:p>
        </w:tc>
        <w:tc>
          <w:tcPr>
            <w:tcW w:w="1559" w:type="dxa"/>
            <w:tcBorders>
              <w:top w:val="nil"/>
              <w:left w:val="nil"/>
              <w:bottom w:val="nil"/>
              <w:right w:val="nil"/>
            </w:tcBorders>
            <w:shd w:val="clear" w:color="auto" w:fill="auto"/>
            <w:noWrap/>
            <w:vAlign w:val="center"/>
          </w:tcPr>
          <w:p>
            <w:pPr>
              <w:widowControl/>
              <w:spacing w:line="560" w:lineRule="exact"/>
              <w:jc w:val="center"/>
              <w:rPr>
                <w:rFonts w:ascii="Times New Roman" w:hAnsi="Times New Roman" w:eastAsia="仿宋" w:cs="宋体"/>
                <w:color w:val="000000"/>
                <w:kern w:val="0"/>
                <w:szCs w:val="21"/>
              </w:rPr>
            </w:pPr>
            <w:r>
              <w:rPr>
                <w:rFonts w:hint="eastAsia" w:ascii="Times New Roman" w:hAnsi="Times New Roman" w:eastAsia="仿宋" w:cs="宋体"/>
                <w:color w:val="000000"/>
                <w:kern w:val="0"/>
                <w:szCs w:val="21"/>
              </w:rPr>
              <w:t xml:space="preserve">438850.00 </w:t>
            </w:r>
          </w:p>
        </w:tc>
        <w:tc>
          <w:tcPr>
            <w:tcW w:w="1276" w:type="dxa"/>
            <w:tcBorders>
              <w:top w:val="nil"/>
              <w:left w:val="nil"/>
              <w:bottom w:val="nil"/>
              <w:right w:val="nil"/>
            </w:tcBorders>
            <w:shd w:val="clear" w:color="auto" w:fill="auto"/>
            <w:noWrap/>
            <w:vAlign w:val="center"/>
          </w:tcPr>
          <w:p>
            <w:pPr>
              <w:widowControl/>
              <w:spacing w:line="560" w:lineRule="exact"/>
              <w:jc w:val="center"/>
              <w:rPr>
                <w:rFonts w:ascii="Times New Roman" w:hAnsi="Times New Roman" w:eastAsia="仿宋" w:cs="宋体"/>
                <w:color w:val="000000"/>
                <w:kern w:val="0"/>
                <w:szCs w:val="21"/>
              </w:rPr>
            </w:pPr>
            <w:r>
              <w:rPr>
                <w:rFonts w:hint="eastAsia" w:ascii="Times New Roman" w:hAnsi="Times New Roman" w:eastAsia="仿宋"/>
                <w:color w:val="000000"/>
                <w:szCs w:val="21"/>
              </w:rPr>
              <w:t>6.71%</w:t>
            </w:r>
          </w:p>
        </w:tc>
        <w:tc>
          <w:tcPr>
            <w:tcW w:w="850" w:type="dxa"/>
            <w:tcBorders>
              <w:top w:val="nil"/>
              <w:left w:val="nil"/>
              <w:bottom w:val="nil"/>
              <w:right w:val="nil"/>
            </w:tcBorders>
            <w:shd w:val="clear" w:color="auto" w:fill="auto"/>
            <w:noWrap/>
            <w:vAlign w:val="center"/>
          </w:tcPr>
          <w:p>
            <w:pPr>
              <w:widowControl/>
              <w:spacing w:line="560" w:lineRule="exact"/>
              <w:jc w:val="center"/>
              <w:rPr>
                <w:rFonts w:ascii="Times New Roman" w:hAnsi="Times New Roman" w:eastAsia="仿宋" w:cs="宋体"/>
                <w:color w:val="000000"/>
                <w:kern w:val="0"/>
                <w:szCs w:val="21"/>
              </w:rPr>
            </w:pPr>
            <w:r>
              <w:rPr>
                <w:rFonts w:hint="eastAsia" w:ascii="Times New Roman" w:hAnsi="Times New Roman" w:eastAsia="仿宋" w:cs="宋体"/>
                <w:color w:val="000000"/>
                <w:kern w:val="0"/>
                <w:szCs w:val="21"/>
              </w:rPr>
              <w:t>11</w:t>
            </w:r>
          </w:p>
        </w:tc>
        <w:tc>
          <w:tcPr>
            <w:tcW w:w="1134" w:type="dxa"/>
            <w:tcBorders>
              <w:top w:val="nil"/>
              <w:left w:val="nil"/>
              <w:bottom w:val="nil"/>
              <w:right w:val="nil"/>
            </w:tcBorders>
            <w:shd w:val="clear" w:color="auto" w:fill="auto"/>
            <w:noWrap/>
            <w:vAlign w:val="center"/>
          </w:tcPr>
          <w:p>
            <w:pPr>
              <w:widowControl/>
              <w:spacing w:line="560" w:lineRule="exact"/>
              <w:jc w:val="center"/>
              <w:rPr>
                <w:rFonts w:ascii="Times New Roman" w:hAnsi="Times New Roman" w:eastAsia="仿宋" w:cs="宋体"/>
                <w:color w:val="000000"/>
                <w:kern w:val="0"/>
                <w:szCs w:val="21"/>
              </w:rPr>
            </w:pPr>
            <w:r>
              <w:rPr>
                <w:rFonts w:ascii="Times New Roman" w:hAnsi="Times New Roman" w:eastAsia="仿宋"/>
                <w:szCs w:val="21"/>
              </w:rPr>
              <w:t>40.74%</w:t>
            </w:r>
          </w:p>
        </w:tc>
        <w:tc>
          <w:tcPr>
            <w:tcW w:w="794" w:type="dxa"/>
            <w:tcBorders>
              <w:top w:val="nil"/>
              <w:left w:val="nil"/>
              <w:bottom w:val="nil"/>
              <w:right w:val="nil"/>
            </w:tcBorders>
            <w:shd w:val="clear" w:color="auto" w:fill="auto"/>
            <w:vAlign w:val="center"/>
          </w:tcPr>
          <w:p>
            <w:pPr>
              <w:widowControl/>
              <w:spacing w:line="560" w:lineRule="exact"/>
              <w:jc w:val="center"/>
              <w:rPr>
                <w:rFonts w:ascii="Times New Roman" w:hAnsi="Times New Roman" w:eastAsia="仿宋"/>
                <w:color w:val="000000"/>
                <w:szCs w:val="21"/>
              </w:rPr>
            </w:pPr>
            <w:r>
              <w:rPr>
                <w:rFonts w:hint="eastAsia" w:ascii="Times New Roman" w:hAnsi="Times New Roman" w:eastAsia="仿宋"/>
                <w:color w:val="000000"/>
                <w:szCs w:val="21"/>
              </w:rPr>
              <w:t xml:space="preserve">29.49 </w:t>
            </w:r>
          </w:p>
        </w:tc>
        <w:tc>
          <w:tcPr>
            <w:tcW w:w="864" w:type="dxa"/>
            <w:tcBorders>
              <w:top w:val="nil"/>
              <w:left w:val="nil"/>
              <w:bottom w:val="nil"/>
              <w:right w:val="nil"/>
            </w:tcBorders>
            <w:shd w:val="clear" w:color="auto" w:fill="auto"/>
            <w:vAlign w:val="center"/>
          </w:tcPr>
          <w:p>
            <w:pPr>
              <w:widowControl/>
              <w:spacing w:line="560" w:lineRule="exact"/>
              <w:jc w:val="center"/>
              <w:rPr>
                <w:rFonts w:ascii="Times New Roman" w:hAnsi="Times New Roman" w:eastAsia="仿宋"/>
                <w:color w:val="000000"/>
                <w:szCs w:val="21"/>
              </w:rPr>
            </w:pPr>
            <w:r>
              <w:rPr>
                <w:rFonts w:hint="eastAsia" w:ascii="Times New Roman" w:hAnsi="Times New Roman" w:eastAsia="仿宋"/>
                <w:color w:val="000000"/>
                <w:szCs w:val="21"/>
              </w:rPr>
              <w:t>9.78%</w:t>
            </w:r>
          </w:p>
        </w:tc>
        <w:tc>
          <w:tcPr>
            <w:tcW w:w="992" w:type="dxa"/>
            <w:tcBorders>
              <w:top w:val="nil"/>
              <w:left w:val="nil"/>
              <w:bottom w:val="nil"/>
              <w:right w:val="nil"/>
            </w:tcBorders>
            <w:shd w:val="clear" w:color="auto" w:fill="auto"/>
            <w:noWrap/>
            <w:vAlign w:val="center"/>
          </w:tcPr>
          <w:p>
            <w:pPr>
              <w:widowControl/>
              <w:spacing w:line="560" w:lineRule="exact"/>
              <w:jc w:val="center"/>
              <w:rPr>
                <w:rFonts w:ascii="Times New Roman" w:hAnsi="Times New Roman" w:eastAsia="仿宋"/>
                <w:szCs w:val="21"/>
              </w:rPr>
            </w:pPr>
            <w:r>
              <w:rPr>
                <w:rFonts w:ascii="Times New Roman" w:hAnsi="Times New Roman" w:eastAsia="仿宋"/>
                <w:szCs w:val="21"/>
              </w:rPr>
              <w:t>5760</w:t>
            </w:r>
            <w:r>
              <w:rPr>
                <w:rFonts w:hint="eastAsia" w:ascii="Times New Roman" w:hAnsi="Times New Roman" w:eastAsia="仿宋"/>
                <w:szCs w:val="21"/>
              </w:rPr>
              <w:t xml:space="preserve"> </w:t>
            </w:r>
          </w:p>
        </w:tc>
      </w:tr>
      <w:tr>
        <w:tblPrEx>
          <w:tblCellMar>
            <w:top w:w="0" w:type="dxa"/>
            <w:left w:w="108" w:type="dxa"/>
            <w:bottom w:w="0" w:type="dxa"/>
            <w:right w:w="108" w:type="dxa"/>
          </w:tblCellMar>
        </w:tblPrEx>
        <w:trPr>
          <w:trHeight w:val="252" w:hRule="atLeast"/>
          <w:jc w:val="center"/>
        </w:trPr>
        <w:tc>
          <w:tcPr>
            <w:tcW w:w="1843" w:type="dxa"/>
            <w:tcBorders>
              <w:top w:val="nil"/>
              <w:left w:val="nil"/>
              <w:right w:val="nil"/>
            </w:tcBorders>
            <w:shd w:val="clear" w:color="auto" w:fill="auto"/>
            <w:noWrap/>
            <w:vAlign w:val="center"/>
          </w:tcPr>
          <w:p>
            <w:pPr>
              <w:widowControl/>
              <w:spacing w:line="560" w:lineRule="exact"/>
              <w:jc w:val="center"/>
              <w:rPr>
                <w:rFonts w:ascii="Times New Roman" w:hAnsi="Times New Roman" w:eastAsia="仿宋" w:cs="宋体"/>
                <w:color w:val="000000"/>
                <w:kern w:val="0"/>
                <w:szCs w:val="21"/>
              </w:rPr>
            </w:pPr>
            <w:r>
              <w:rPr>
                <w:rFonts w:hint="eastAsia" w:ascii="Times New Roman" w:hAnsi="Times New Roman" w:eastAsia="仿宋" w:cs="宋体"/>
                <w:color w:val="000000"/>
                <w:kern w:val="0"/>
                <w:szCs w:val="21"/>
              </w:rPr>
              <w:t>红海湾开发区</w:t>
            </w:r>
          </w:p>
        </w:tc>
        <w:tc>
          <w:tcPr>
            <w:tcW w:w="1559" w:type="dxa"/>
            <w:tcBorders>
              <w:top w:val="nil"/>
              <w:left w:val="nil"/>
              <w:right w:val="nil"/>
            </w:tcBorders>
            <w:shd w:val="clear" w:color="auto" w:fill="auto"/>
            <w:noWrap/>
            <w:vAlign w:val="center"/>
          </w:tcPr>
          <w:p>
            <w:pPr>
              <w:widowControl/>
              <w:spacing w:line="560" w:lineRule="exact"/>
              <w:jc w:val="center"/>
              <w:rPr>
                <w:rFonts w:ascii="Times New Roman" w:hAnsi="Times New Roman" w:eastAsia="仿宋" w:cs="宋体"/>
                <w:color w:val="000000"/>
                <w:kern w:val="0"/>
                <w:szCs w:val="21"/>
              </w:rPr>
            </w:pPr>
            <w:r>
              <w:rPr>
                <w:rFonts w:hint="eastAsia" w:ascii="Times New Roman" w:hAnsi="Times New Roman" w:eastAsia="仿宋" w:cs="宋体"/>
                <w:color w:val="000000"/>
                <w:kern w:val="0"/>
                <w:szCs w:val="21"/>
              </w:rPr>
              <w:t xml:space="preserve">51643.00 </w:t>
            </w:r>
          </w:p>
        </w:tc>
        <w:tc>
          <w:tcPr>
            <w:tcW w:w="1276" w:type="dxa"/>
            <w:tcBorders>
              <w:top w:val="nil"/>
              <w:left w:val="nil"/>
              <w:right w:val="nil"/>
            </w:tcBorders>
            <w:shd w:val="clear" w:color="auto" w:fill="auto"/>
            <w:noWrap/>
            <w:vAlign w:val="center"/>
          </w:tcPr>
          <w:p>
            <w:pPr>
              <w:widowControl/>
              <w:spacing w:line="560" w:lineRule="exact"/>
              <w:jc w:val="center"/>
              <w:rPr>
                <w:rFonts w:ascii="Times New Roman" w:hAnsi="Times New Roman" w:eastAsia="仿宋" w:cs="宋体"/>
                <w:color w:val="000000"/>
                <w:kern w:val="0"/>
                <w:szCs w:val="21"/>
              </w:rPr>
            </w:pPr>
            <w:r>
              <w:rPr>
                <w:rFonts w:hint="eastAsia" w:ascii="Times New Roman" w:hAnsi="Times New Roman" w:eastAsia="仿宋"/>
                <w:color w:val="000000"/>
                <w:szCs w:val="21"/>
              </w:rPr>
              <w:t>0.79%</w:t>
            </w:r>
          </w:p>
        </w:tc>
        <w:tc>
          <w:tcPr>
            <w:tcW w:w="850" w:type="dxa"/>
            <w:tcBorders>
              <w:top w:val="nil"/>
              <w:left w:val="nil"/>
              <w:right w:val="nil"/>
            </w:tcBorders>
            <w:shd w:val="clear" w:color="auto" w:fill="auto"/>
            <w:noWrap/>
            <w:vAlign w:val="center"/>
          </w:tcPr>
          <w:p>
            <w:pPr>
              <w:widowControl/>
              <w:spacing w:line="560" w:lineRule="exact"/>
              <w:jc w:val="center"/>
              <w:rPr>
                <w:rFonts w:ascii="Times New Roman" w:hAnsi="Times New Roman" w:eastAsia="仿宋" w:cs="宋体"/>
                <w:color w:val="000000"/>
                <w:kern w:val="0"/>
                <w:szCs w:val="21"/>
              </w:rPr>
            </w:pPr>
            <w:r>
              <w:rPr>
                <w:rFonts w:hint="eastAsia" w:ascii="Times New Roman" w:hAnsi="Times New Roman" w:eastAsia="仿宋" w:cs="宋体"/>
                <w:color w:val="000000"/>
                <w:kern w:val="0"/>
                <w:szCs w:val="21"/>
              </w:rPr>
              <w:t>4</w:t>
            </w:r>
          </w:p>
        </w:tc>
        <w:tc>
          <w:tcPr>
            <w:tcW w:w="1134" w:type="dxa"/>
            <w:tcBorders>
              <w:top w:val="nil"/>
              <w:left w:val="nil"/>
              <w:right w:val="nil"/>
            </w:tcBorders>
            <w:shd w:val="clear" w:color="auto" w:fill="auto"/>
            <w:noWrap/>
            <w:vAlign w:val="center"/>
          </w:tcPr>
          <w:p>
            <w:pPr>
              <w:widowControl/>
              <w:spacing w:line="560" w:lineRule="exact"/>
              <w:jc w:val="center"/>
              <w:rPr>
                <w:rFonts w:ascii="Times New Roman" w:hAnsi="Times New Roman" w:eastAsia="仿宋" w:cs="宋体"/>
                <w:color w:val="000000"/>
                <w:kern w:val="0"/>
                <w:szCs w:val="21"/>
              </w:rPr>
            </w:pPr>
            <w:r>
              <w:rPr>
                <w:rFonts w:ascii="Times New Roman" w:hAnsi="Times New Roman" w:eastAsia="仿宋"/>
                <w:szCs w:val="21"/>
              </w:rPr>
              <w:t>14.81%</w:t>
            </w:r>
          </w:p>
        </w:tc>
        <w:tc>
          <w:tcPr>
            <w:tcW w:w="794" w:type="dxa"/>
            <w:tcBorders>
              <w:top w:val="nil"/>
              <w:left w:val="nil"/>
              <w:right w:val="nil"/>
            </w:tcBorders>
            <w:shd w:val="clear" w:color="auto" w:fill="auto"/>
            <w:vAlign w:val="center"/>
          </w:tcPr>
          <w:p>
            <w:pPr>
              <w:widowControl/>
              <w:spacing w:line="560" w:lineRule="exact"/>
              <w:jc w:val="center"/>
              <w:rPr>
                <w:rFonts w:ascii="Times New Roman" w:hAnsi="Times New Roman" w:eastAsia="仿宋"/>
                <w:color w:val="000000"/>
                <w:szCs w:val="21"/>
              </w:rPr>
            </w:pPr>
            <w:r>
              <w:rPr>
                <w:rFonts w:hint="eastAsia" w:ascii="Times New Roman" w:hAnsi="Times New Roman" w:eastAsia="仿宋"/>
                <w:color w:val="000000"/>
                <w:szCs w:val="21"/>
              </w:rPr>
              <w:t xml:space="preserve">9.02 </w:t>
            </w:r>
          </w:p>
        </w:tc>
        <w:tc>
          <w:tcPr>
            <w:tcW w:w="864" w:type="dxa"/>
            <w:tcBorders>
              <w:top w:val="nil"/>
              <w:left w:val="nil"/>
              <w:right w:val="nil"/>
            </w:tcBorders>
            <w:shd w:val="clear" w:color="auto" w:fill="auto"/>
            <w:vAlign w:val="center"/>
          </w:tcPr>
          <w:p>
            <w:pPr>
              <w:widowControl/>
              <w:spacing w:line="560" w:lineRule="exact"/>
              <w:jc w:val="center"/>
              <w:rPr>
                <w:rFonts w:ascii="Times New Roman" w:hAnsi="Times New Roman" w:eastAsia="仿宋"/>
                <w:color w:val="000000"/>
                <w:szCs w:val="21"/>
              </w:rPr>
            </w:pPr>
            <w:r>
              <w:rPr>
                <w:rFonts w:hint="eastAsia" w:ascii="Times New Roman" w:hAnsi="Times New Roman" w:eastAsia="仿宋"/>
                <w:color w:val="000000"/>
                <w:szCs w:val="21"/>
              </w:rPr>
              <w:t>2.99%</w:t>
            </w:r>
          </w:p>
        </w:tc>
        <w:tc>
          <w:tcPr>
            <w:tcW w:w="992" w:type="dxa"/>
            <w:tcBorders>
              <w:top w:val="nil"/>
              <w:left w:val="nil"/>
              <w:right w:val="nil"/>
            </w:tcBorders>
            <w:shd w:val="clear" w:color="auto" w:fill="auto"/>
            <w:noWrap/>
            <w:vAlign w:val="center"/>
          </w:tcPr>
          <w:p>
            <w:pPr>
              <w:widowControl/>
              <w:spacing w:line="560" w:lineRule="exact"/>
              <w:jc w:val="center"/>
              <w:rPr>
                <w:rFonts w:ascii="Times New Roman" w:hAnsi="Times New Roman" w:eastAsia="仿宋"/>
                <w:szCs w:val="21"/>
              </w:rPr>
            </w:pPr>
            <w:r>
              <w:rPr>
                <w:rFonts w:ascii="Times New Roman" w:hAnsi="Times New Roman" w:eastAsia="仿宋"/>
                <w:szCs w:val="21"/>
              </w:rPr>
              <w:t>1700</w:t>
            </w:r>
            <w:r>
              <w:rPr>
                <w:rFonts w:hint="eastAsia" w:ascii="Times New Roman" w:hAnsi="Times New Roman" w:eastAsia="仿宋"/>
                <w:szCs w:val="21"/>
              </w:rPr>
              <w:t xml:space="preserve"> </w:t>
            </w:r>
          </w:p>
        </w:tc>
      </w:tr>
      <w:tr>
        <w:tblPrEx>
          <w:tblCellMar>
            <w:top w:w="0" w:type="dxa"/>
            <w:left w:w="108" w:type="dxa"/>
            <w:bottom w:w="0" w:type="dxa"/>
            <w:right w:w="108" w:type="dxa"/>
          </w:tblCellMar>
        </w:tblPrEx>
        <w:trPr>
          <w:trHeight w:val="252" w:hRule="atLeast"/>
          <w:jc w:val="center"/>
        </w:trPr>
        <w:tc>
          <w:tcPr>
            <w:tcW w:w="1843" w:type="dxa"/>
            <w:tcBorders>
              <w:top w:val="nil"/>
              <w:left w:val="nil"/>
              <w:bottom w:val="single" w:color="auto" w:sz="4" w:space="0"/>
              <w:right w:val="nil"/>
            </w:tcBorders>
            <w:shd w:val="clear" w:color="auto" w:fill="auto"/>
            <w:noWrap/>
            <w:vAlign w:val="center"/>
          </w:tcPr>
          <w:p>
            <w:pPr>
              <w:widowControl/>
              <w:spacing w:line="560" w:lineRule="exact"/>
              <w:jc w:val="center"/>
              <w:rPr>
                <w:rFonts w:ascii="Times New Roman" w:hAnsi="Times New Roman" w:eastAsia="仿宋" w:cs="宋体"/>
                <w:color w:val="000000"/>
                <w:kern w:val="0"/>
                <w:szCs w:val="21"/>
              </w:rPr>
            </w:pPr>
            <w:r>
              <w:rPr>
                <w:rFonts w:hint="eastAsia" w:ascii="Times New Roman" w:hAnsi="Times New Roman" w:eastAsia="仿宋" w:cs="宋体"/>
                <w:color w:val="000000"/>
                <w:kern w:val="0"/>
                <w:szCs w:val="21"/>
              </w:rPr>
              <w:t>华侨管理区</w:t>
            </w:r>
          </w:p>
        </w:tc>
        <w:tc>
          <w:tcPr>
            <w:tcW w:w="1559" w:type="dxa"/>
            <w:tcBorders>
              <w:top w:val="nil"/>
              <w:left w:val="nil"/>
              <w:bottom w:val="single" w:color="auto" w:sz="4" w:space="0"/>
              <w:right w:val="nil"/>
            </w:tcBorders>
            <w:shd w:val="clear" w:color="auto" w:fill="auto"/>
            <w:noWrap/>
            <w:vAlign w:val="center"/>
          </w:tcPr>
          <w:p>
            <w:pPr>
              <w:widowControl/>
              <w:spacing w:line="560" w:lineRule="exact"/>
              <w:jc w:val="center"/>
              <w:rPr>
                <w:rFonts w:ascii="Times New Roman" w:hAnsi="Times New Roman" w:eastAsia="仿宋" w:cs="宋体"/>
                <w:color w:val="000000"/>
                <w:kern w:val="0"/>
                <w:szCs w:val="21"/>
              </w:rPr>
            </w:pPr>
            <w:r>
              <w:rPr>
                <w:rFonts w:hint="eastAsia" w:ascii="Times New Roman" w:hAnsi="Times New Roman" w:eastAsia="仿宋" w:cs="宋体"/>
                <w:color w:val="000000"/>
                <w:kern w:val="0"/>
                <w:szCs w:val="21"/>
              </w:rPr>
              <w:t xml:space="preserve">9789.33 </w:t>
            </w:r>
          </w:p>
        </w:tc>
        <w:tc>
          <w:tcPr>
            <w:tcW w:w="1276" w:type="dxa"/>
            <w:tcBorders>
              <w:top w:val="nil"/>
              <w:left w:val="nil"/>
              <w:bottom w:val="single" w:color="auto" w:sz="4" w:space="0"/>
              <w:right w:val="nil"/>
            </w:tcBorders>
            <w:shd w:val="clear" w:color="auto" w:fill="auto"/>
            <w:noWrap/>
            <w:vAlign w:val="center"/>
          </w:tcPr>
          <w:p>
            <w:pPr>
              <w:widowControl/>
              <w:spacing w:line="560" w:lineRule="exact"/>
              <w:jc w:val="center"/>
              <w:rPr>
                <w:rFonts w:ascii="Times New Roman" w:hAnsi="Times New Roman" w:eastAsia="仿宋" w:cs="宋体"/>
                <w:color w:val="000000"/>
                <w:kern w:val="0"/>
                <w:szCs w:val="21"/>
              </w:rPr>
            </w:pPr>
            <w:r>
              <w:rPr>
                <w:rFonts w:hint="eastAsia" w:ascii="Times New Roman" w:hAnsi="Times New Roman" w:eastAsia="仿宋"/>
                <w:color w:val="000000"/>
                <w:szCs w:val="21"/>
              </w:rPr>
              <w:t>0.15%</w:t>
            </w:r>
          </w:p>
        </w:tc>
        <w:tc>
          <w:tcPr>
            <w:tcW w:w="850" w:type="dxa"/>
            <w:tcBorders>
              <w:top w:val="nil"/>
              <w:left w:val="nil"/>
              <w:bottom w:val="single" w:color="auto" w:sz="4" w:space="0"/>
              <w:right w:val="nil"/>
            </w:tcBorders>
            <w:shd w:val="clear" w:color="auto" w:fill="auto"/>
            <w:noWrap/>
            <w:vAlign w:val="center"/>
          </w:tcPr>
          <w:p>
            <w:pPr>
              <w:widowControl/>
              <w:spacing w:line="560" w:lineRule="exact"/>
              <w:jc w:val="center"/>
              <w:rPr>
                <w:rFonts w:ascii="Times New Roman" w:hAnsi="Times New Roman" w:eastAsia="仿宋" w:cs="宋体"/>
                <w:color w:val="000000"/>
                <w:kern w:val="0"/>
                <w:szCs w:val="21"/>
              </w:rPr>
            </w:pPr>
            <w:r>
              <w:rPr>
                <w:rFonts w:hint="eastAsia" w:ascii="Times New Roman" w:hAnsi="Times New Roman" w:eastAsia="仿宋" w:cs="宋体"/>
                <w:color w:val="000000"/>
                <w:kern w:val="0"/>
                <w:szCs w:val="21"/>
              </w:rPr>
              <w:t>0</w:t>
            </w:r>
          </w:p>
        </w:tc>
        <w:tc>
          <w:tcPr>
            <w:tcW w:w="1134" w:type="dxa"/>
            <w:tcBorders>
              <w:top w:val="nil"/>
              <w:left w:val="nil"/>
              <w:bottom w:val="single" w:color="auto" w:sz="4" w:space="0"/>
              <w:right w:val="nil"/>
            </w:tcBorders>
            <w:shd w:val="clear" w:color="auto" w:fill="auto"/>
            <w:noWrap/>
            <w:vAlign w:val="center"/>
          </w:tcPr>
          <w:p>
            <w:pPr>
              <w:widowControl/>
              <w:spacing w:line="560" w:lineRule="exact"/>
              <w:jc w:val="center"/>
              <w:rPr>
                <w:rFonts w:ascii="Times New Roman" w:hAnsi="Times New Roman" w:eastAsia="仿宋" w:cs="宋体"/>
                <w:color w:val="000000"/>
                <w:kern w:val="0"/>
                <w:szCs w:val="21"/>
              </w:rPr>
            </w:pPr>
            <w:r>
              <w:rPr>
                <w:rFonts w:ascii="Times New Roman" w:hAnsi="Times New Roman" w:eastAsia="仿宋"/>
                <w:szCs w:val="21"/>
              </w:rPr>
              <w:t>0.00%</w:t>
            </w:r>
          </w:p>
        </w:tc>
        <w:tc>
          <w:tcPr>
            <w:tcW w:w="794" w:type="dxa"/>
            <w:tcBorders>
              <w:top w:val="nil"/>
              <w:left w:val="nil"/>
              <w:bottom w:val="single" w:color="auto" w:sz="4" w:space="0"/>
              <w:right w:val="nil"/>
            </w:tcBorders>
            <w:shd w:val="clear" w:color="auto" w:fill="auto"/>
            <w:vAlign w:val="center"/>
          </w:tcPr>
          <w:p>
            <w:pPr>
              <w:widowControl/>
              <w:spacing w:line="560" w:lineRule="exact"/>
              <w:jc w:val="center"/>
              <w:rPr>
                <w:rFonts w:ascii="Times New Roman" w:hAnsi="Times New Roman" w:eastAsia="仿宋"/>
                <w:color w:val="000000"/>
                <w:szCs w:val="21"/>
              </w:rPr>
            </w:pPr>
            <w:r>
              <w:rPr>
                <w:rFonts w:hint="eastAsia" w:ascii="Times New Roman" w:hAnsi="Times New Roman" w:eastAsia="仿宋"/>
                <w:color w:val="000000"/>
                <w:szCs w:val="21"/>
              </w:rPr>
              <w:t xml:space="preserve">1.94 </w:t>
            </w:r>
          </w:p>
        </w:tc>
        <w:tc>
          <w:tcPr>
            <w:tcW w:w="864" w:type="dxa"/>
            <w:tcBorders>
              <w:top w:val="nil"/>
              <w:left w:val="nil"/>
              <w:bottom w:val="single" w:color="auto" w:sz="4" w:space="0"/>
              <w:right w:val="nil"/>
            </w:tcBorders>
            <w:shd w:val="clear" w:color="auto" w:fill="auto"/>
            <w:vAlign w:val="center"/>
          </w:tcPr>
          <w:p>
            <w:pPr>
              <w:widowControl/>
              <w:spacing w:line="560" w:lineRule="exact"/>
              <w:jc w:val="center"/>
              <w:rPr>
                <w:rFonts w:ascii="Times New Roman" w:hAnsi="Times New Roman" w:eastAsia="仿宋"/>
                <w:color w:val="000000"/>
                <w:szCs w:val="21"/>
              </w:rPr>
            </w:pPr>
            <w:r>
              <w:rPr>
                <w:rFonts w:hint="eastAsia" w:ascii="Times New Roman" w:hAnsi="Times New Roman" w:eastAsia="仿宋"/>
                <w:color w:val="000000"/>
                <w:szCs w:val="21"/>
              </w:rPr>
              <w:t>0.64%</w:t>
            </w:r>
          </w:p>
        </w:tc>
        <w:tc>
          <w:tcPr>
            <w:tcW w:w="992" w:type="dxa"/>
            <w:tcBorders>
              <w:top w:val="nil"/>
              <w:left w:val="nil"/>
              <w:bottom w:val="single" w:color="auto" w:sz="4" w:space="0"/>
              <w:right w:val="nil"/>
            </w:tcBorders>
            <w:shd w:val="clear" w:color="auto" w:fill="auto"/>
            <w:noWrap/>
            <w:vAlign w:val="center"/>
          </w:tcPr>
          <w:p>
            <w:pPr>
              <w:widowControl/>
              <w:spacing w:line="560" w:lineRule="exact"/>
              <w:jc w:val="center"/>
              <w:rPr>
                <w:rFonts w:ascii="Times New Roman" w:hAnsi="Times New Roman" w:eastAsia="仿宋"/>
                <w:szCs w:val="21"/>
              </w:rPr>
            </w:pPr>
            <w:r>
              <w:rPr>
                <w:rFonts w:ascii="Times New Roman" w:hAnsi="Times New Roman" w:eastAsia="仿宋"/>
                <w:szCs w:val="21"/>
              </w:rPr>
              <w:t>120</w:t>
            </w:r>
            <w:r>
              <w:rPr>
                <w:rFonts w:hint="eastAsia" w:ascii="Times New Roman" w:hAnsi="Times New Roman" w:eastAsia="仿宋"/>
                <w:szCs w:val="21"/>
              </w:rPr>
              <w:t xml:space="preserve"> </w:t>
            </w:r>
          </w:p>
        </w:tc>
      </w:tr>
    </w:tbl>
    <w:p>
      <w:pPr>
        <w:spacing w:line="560" w:lineRule="exact"/>
        <w:ind w:firstLine="480" w:firstLineChars="200"/>
        <w:rPr>
          <w:rFonts w:ascii="Times New Roman" w:hAnsi="Times New Roman" w:eastAsia="仿宋"/>
          <w:sz w:val="24"/>
          <w:szCs w:val="24"/>
        </w:rPr>
      </w:pP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其次，将中央预算内投资的</w:t>
      </w:r>
      <w:r>
        <w:rPr>
          <w:rFonts w:ascii="仿宋" w:hAnsi="仿宋" w:eastAsia="仿宋" w:cs="仿宋"/>
          <w:sz w:val="32"/>
          <w:szCs w:val="32"/>
        </w:rPr>
        <w:t>4</w:t>
      </w:r>
      <w:r>
        <w:rPr>
          <w:rFonts w:hint="eastAsia" w:ascii="仿宋" w:hAnsi="仿宋" w:eastAsia="仿宋" w:cs="仿宋"/>
          <w:sz w:val="32"/>
          <w:szCs w:val="32"/>
        </w:rPr>
        <w:t>亿元分配给各县（市、区），城区（含汕尾新区）为5</w:t>
      </w:r>
      <w:r>
        <w:rPr>
          <w:rFonts w:ascii="仿宋" w:hAnsi="仿宋" w:eastAsia="仿宋" w:cs="仿宋"/>
          <w:sz w:val="32"/>
          <w:szCs w:val="32"/>
        </w:rPr>
        <w:t>8</w:t>
      </w:r>
      <w:r>
        <w:rPr>
          <w:rFonts w:hint="eastAsia" w:ascii="仿宋" w:hAnsi="仿宋" w:eastAsia="仿宋" w:cs="仿宋"/>
          <w:sz w:val="32"/>
          <w:szCs w:val="32"/>
        </w:rPr>
        <w:t>00万元，海丰县为</w:t>
      </w:r>
      <w:r>
        <w:rPr>
          <w:rFonts w:ascii="仿宋" w:hAnsi="仿宋" w:eastAsia="仿宋" w:cs="仿宋"/>
          <w:sz w:val="32"/>
          <w:szCs w:val="32"/>
        </w:rPr>
        <w:t>13140</w:t>
      </w:r>
      <w:r>
        <w:rPr>
          <w:rFonts w:hint="eastAsia" w:ascii="仿宋" w:hAnsi="仿宋" w:eastAsia="仿宋" w:cs="仿宋"/>
          <w:sz w:val="32"/>
          <w:szCs w:val="32"/>
        </w:rPr>
        <w:t>万元，陆丰市为</w:t>
      </w:r>
      <w:r>
        <w:rPr>
          <w:rFonts w:ascii="仿宋" w:hAnsi="仿宋" w:eastAsia="仿宋" w:cs="仿宋"/>
          <w:sz w:val="32"/>
          <w:szCs w:val="32"/>
        </w:rPr>
        <w:t>13480</w:t>
      </w:r>
      <w:r>
        <w:rPr>
          <w:rFonts w:hint="eastAsia" w:ascii="仿宋" w:hAnsi="仿宋" w:eastAsia="仿宋" w:cs="仿宋"/>
          <w:sz w:val="32"/>
          <w:szCs w:val="32"/>
        </w:rPr>
        <w:t>万元，陆河县为</w:t>
      </w:r>
      <w:r>
        <w:rPr>
          <w:rFonts w:ascii="仿宋" w:hAnsi="仿宋" w:eastAsia="仿宋" w:cs="仿宋"/>
          <w:sz w:val="32"/>
          <w:szCs w:val="32"/>
        </w:rPr>
        <w:t>5760</w:t>
      </w:r>
      <w:r>
        <w:rPr>
          <w:rFonts w:hint="eastAsia" w:ascii="仿宋" w:hAnsi="仿宋" w:eastAsia="仿宋" w:cs="仿宋"/>
          <w:sz w:val="32"/>
          <w:szCs w:val="32"/>
        </w:rPr>
        <w:t>万元，红海湾开发区为1</w:t>
      </w:r>
      <w:r>
        <w:rPr>
          <w:rFonts w:ascii="仿宋" w:hAnsi="仿宋" w:eastAsia="仿宋" w:cs="仿宋"/>
          <w:sz w:val="32"/>
          <w:szCs w:val="32"/>
        </w:rPr>
        <w:t>700</w:t>
      </w:r>
      <w:r>
        <w:rPr>
          <w:rFonts w:hint="eastAsia" w:ascii="仿宋" w:hAnsi="仿宋" w:eastAsia="仿宋" w:cs="仿宋"/>
          <w:sz w:val="32"/>
          <w:szCs w:val="32"/>
        </w:rPr>
        <w:t>万元，华侨管理区为</w:t>
      </w:r>
      <w:r>
        <w:rPr>
          <w:rFonts w:ascii="仿宋" w:hAnsi="仿宋" w:eastAsia="仿宋" w:cs="仿宋"/>
          <w:sz w:val="32"/>
          <w:szCs w:val="32"/>
        </w:rPr>
        <w:t>120</w:t>
      </w:r>
      <w:r>
        <w:rPr>
          <w:rFonts w:hint="eastAsia" w:ascii="仿宋" w:hAnsi="仿宋" w:eastAsia="仿宋" w:cs="仿宋"/>
          <w:sz w:val="32"/>
          <w:szCs w:val="32"/>
        </w:rPr>
        <w:t>万元（表3）。选取各县（市、区）固定资产投资的均值比重、中央预算内投资储备项目的第一梯队项目数占比和常住人口占比作为衡量指标，并对这三个指标进行权重赋值，权重赋值分别为0.5、0.2、0.3，最后计算出2022年各县（市、区）中央预算内投资的分配方案，合计为</w:t>
      </w:r>
      <w:r>
        <w:rPr>
          <w:rFonts w:ascii="仿宋" w:hAnsi="仿宋" w:eastAsia="仿宋" w:cs="仿宋"/>
          <w:sz w:val="32"/>
          <w:szCs w:val="32"/>
        </w:rPr>
        <w:t>4</w:t>
      </w:r>
      <w:r>
        <w:rPr>
          <w:rFonts w:hint="eastAsia" w:ascii="仿宋" w:hAnsi="仿宋" w:eastAsia="仿宋" w:cs="仿宋"/>
          <w:sz w:val="32"/>
          <w:szCs w:val="32"/>
        </w:rPr>
        <w:t>亿元。</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归纳起来，从横向角度来看，中央预算内投资的</w:t>
      </w:r>
      <w:r>
        <w:rPr>
          <w:rFonts w:ascii="仿宋" w:hAnsi="仿宋" w:eastAsia="仿宋" w:cs="仿宋"/>
          <w:sz w:val="32"/>
          <w:szCs w:val="32"/>
        </w:rPr>
        <w:t>4</w:t>
      </w:r>
      <w:r>
        <w:rPr>
          <w:rFonts w:hint="eastAsia" w:ascii="仿宋" w:hAnsi="仿宋" w:eastAsia="仿宋" w:cs="仿宋"/>
          <w:sz w:val="32"/>
          <w:szCs w:val="32"/>
        </w:rPr>
        <w:t>亿元计划可以按照17个申报领域进行分配，分配任务主要集中在水利工程投资、教育强国推进工程、医疗卫生体系、保障性安居工程和排水设施建设5个领域。从纵向角度来看，考虑到市直责任单位和县（市、区）的项目申报、任务分配等方面可能存在着交叉重叠，也可以分别给市直责任单位和县（市、区）分配</w:t>
      </w:r>
      <w:r>
        <w:rPr>
          <w:rFonts w:ascii="仿宋" w:hAnsi="仿宋" w:eastAsia="仿宋" w:cs="仿宋"/>
          <w:sz w:val="32"/>
          <w:szCs w:val="32"/>
        </w:rPr>
        <w:t>4</w:t>
      </w:r>
      <w:r>
        <w:rPr>
          <w:rFonts w:hint="eastAsia" w:ascii="仿宋" w:hAnsi="仿宋" w:eastAsia="仿宋" w:cs="仿宋"/>
          <w:sz w:val="32"/>
          <w:szCs w:val="32"/>
        </w:rPr>
        <w:t>亿元，市直责任单位的分配任务主要集中在市住建局、市水务局、市卫健局和市教育局4家单位，县（市、区）的分配任务主要集中在陆丰市、海丰县和城区（含汕尾新区）3个县（市、区）。此外，市直责任单位和各县（市、区）要充分发挥自身申请项目与资金的“比较优势”，将这些“比较优势”转化为“竞争优势”，从而为汕尾市争取更多的中央预算内投资，并为汕尾市高质量发展提供有力支撑</w:t>
      </w:r>
      <w:bookmarkEnd w:id="0"/>
      <w:r>
        <w:rPr>
          <w:rFonts w:hint="eastAsia" w:ascii="仿宋" w:hAnsi="仿宋" w:eastAsia="仿宋" w:cs="仿宋"/>
          <w:sz w:val="32"/>
          <w:szCs w:val="32"/>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96386421"/>
    </w:sdtPr>
    <w:sdtEndPr>
      <w:rPr>
        <w:rFonts w:ascii="Times New Roman" w:hAnsi="Times New Roman" w:cs="Times New Roman"/>
      </w:rPr>
    </w:sdtEndPr>
    <w:sdtContent>
      <w:p>
        <w:pPr>
          <w:pStyle w:val="2"/>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2</w:t>
        </w:r>
        <w:r>
          <w:rPr>
            <w:rFonts w:ascii="Times New Roman" w:hAnsi="Times New Roman" w:cs="Times New Roman"/>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899"/>
    <w:rsid w:val="00005C85"/>
    <w:rsid w:val="00011388"/>
    <w:rsid w:val="00024F18"/>
    <w:rsid w:val="00036CDE"/>
    <w:rsid w:val="0004778F"/>
    <w:rsid w:val="000562EC"/>
    <w:rsid w:val="000B4AB3"/>
    <w:rsid w:val="001012D5"/>
    <w:rsid w:val="00144BCF"/>
    <w:rsid w:val="0015001A"/>
    <w:rsid w:val="0015170A"/>
    <w:rsid w:val="00156485"/>
    <w:rsid w:val="0017228A"/>
    <w:rsid w:val="001828A9"/>
    <w:rsid w:val="0019214B"/>
    <w:rsid w:val="001964EF"/>
    <w:rsid w:val="001B55C7"/>
    <w:rsid w:val="001C2328"/>
    <w:rsid w:val="001E1381"/>
    <w:rsid w:val="001E2217"/>
    <w:rsid w:val="001E6FAE"/>
    <w:rsid w:val="001F2ECB"/>
    <w:rsid w:val="001F3A3F"/>
    <w:rsid w:val="002154D0"/>
    <w:rsid w:val="00227DD4"/>
    <w:rsid w:val="00230503"/>
    <w:rsid w:val="00240B0F"/>
    <w:rsid w:val="00245F1B"/>
    <w:rsid w:val="00254BA7"/>
    <w:rsid w:val="00264B3D"/>
    <w:rsid w:val="00267B1A"/>
    <w:rsid w:val="00283D04"/>
    <w:rsid w:val="00295694"/>
    <w:rsid w:val="002B2067"/>
    <w:rsid w:val="002B3E3C"/>
    <w:rsid w:val="002C02D4"/>
    <w:rsid w:val="002D5062"/>
    <w:rsid w:val="002D744B"/>
    <w:rsid w:val="002E3409"/>
    <w:rsid w:val="003019F4"/>
    <w:rsid w:val="00307151"/>
    <w:rsid w:val="003176C0"/>
    <w:rsid w:val="00321FC4"/>
    <w:rsid w:val="003349B1"/>
    <w:rsid w:val="003677AE"/>
    <w:rsid w:val="00373420"/>
    <w:rsid w:val="003E40DD"/>
    <w:rsid w:val="003E6830"/>
    <w:rsid w:val="00403E51"/>
    <w:rsid w:val="00411DED"/>
    <w:rsid w:val="00415D43"/>
    <w:rsid w:val="00424243"/>
    <w:rsid w:val="004325EC"/>
    <w:rsid w:val="00446179"/>
    <w:rsid w:val="00461A7D"/>
    <w:rsid w:val="00465077"/>
    <w:rsid w:val="00470AB3"/>
    <w:rsid w:val="004758C0"/>
    <w:rsid w:val="004A3EC8"/>
    <w:rsid w:val="004A6285"/>
    <w:rsid w:val="004D5CE6"/>
    <w:rsid w:val="004D5FB6"/>
    <w:rsid w:val="004E4CE2"/>
    <w:rsid w:val="00504215"/>
    <w:rsid w:val="005322DB"/>
    <w:rsid w:val="0054305A"/>
    <w:rsid w:val="005459AF"/>
    <w:rsid w:val="005527F5"/>
    <w:rsid w:val="00562780"/>
    <w:rsid w:val="005631C6"/>
    <w:rsid w:val="005659CB"/>
    <w:rsid w:val="0056616E"/>
    <w:rsid w:val="005A341F"/>
    <w:rsid w:val="005B4899"/>
    <w:rsid w:val="005B76EC"/>
    <w:rsid w:val="005C0F13"/>
    <w:rsid w:val="005C2561"/>
    <w:rsid w:val="005C2D92"/>
    <w:rsid w:val="005C6F2D"/>
    <w:rsid w:val="005D0ABD"/>
    <w:rsid w:val="005E1C17"/>
    <w:rsid w:val="00605023"/>
    <w:rsid w:val="00605791"/>
    <w:rsid w:val="0062042F"/>
    <w:rsid w:val="00623710"/>
    <w:rsid w:val="00623C51"/>
    <w:rsid w:val="00631C5F"/>
    <w:rsid w:val="00632C8C"/>
    <w:rsid w:val="00645FDC"/>
    <w:rsid w:val="00650812"/>
    <w:rsid w:val="00662FED"/>
    <w:rsid w:val="00676EA0"/>
    <w:rsid w:val="00685837"/>
    <w:rsid w:val="006B080A"/>
    <w:rsid w:val="006B74BB"/>
    <w:rsid w:val="006B7A89"/>
    <w:rsid w:val="006C2BBD"/>
    <w:rsid w:val="006C7FAF"/>
    <w:rsid w:val="006F1917"/>
    <w:rsid w:val="007266BD"/>
    <w:rsid w:val="00734977"/>
    <w:rsid w:val="00784FFC"/>
    <w:rsid w:val="007859C6"/>
    <w:rsid w:val="007C02BD"/>
    <w:rsid w:val="007F7C47"/>
    <w:rsid w:val="00805185"/>
    <w:rsid w:val="00813A83"/>
    <w:rsid w:val="008269B8"/>
    <w:rsid w:val="0083454B"/>
    <w:rsid w:val="00864176"/>
    <w:rsid w:val="008876C3"/>
    <w:rsid w:val="008B6C4C"/>
    <w:rsid w:val="008E0926"/>
    <w:rsid w:val="008E7832"/>
    <w:rsid w:val="008F561C"/>
    <w:rsid w:val="008F6E89"/>
    <w:rsid w:val="00932326"/>
    <w:rsid w:val="00945B18"/>
    <w:rsid w:val="0095142B"/>
    <w:rsid w:val="00980FA8"/>
    <w:rsid w:val="009867C4"/>
    <w:rsid w:val="009E6C8E"/>
    <w:rsid w:val="00A16AD8"/>
    <w:rsid w:val="00A40C6A"/>
    <w:rsid w:val="00A46F63"/>
    <w:rsid w:val="00A508C9"/>
    <w:rsid w:val="00A54B49"/>
    <w:rsid w:val="00A55E80"/>
    <w:rsid w:val="00A65390"/>
    <w:rsid w:val="00A71261"/>
    <w:rsid w:val="00A8003D"/>
    <w:rsid w:val="00A83EDD"/>
    <w:rsid w:val="00AA24D6"/>
    <w:rsid w:val="00AB2328"/>
    <w:rsid w:val="00AE1A07"/>
    <w:rsid w:val="00AE5E90"/>
    <w:rsid w:val="00B27EF9"/>
    <w:rsid w:val="00B45043"/>
    <w:rsid w:val="00B648E6"/>
    <w:rsid w:val="00BC30DD"/>
    <w:rsid w:val="00BD6167"/>
    <w:rsid w:val="00BD7432"/>
    <w:rsid w:val="00BE3926"/>
    <w:rsid w:val="00BF38D5"/>
    <w:rsid w:val="00C27349"/>
    <w:rsid w:val="00C42A9E"/>
    <w:rsid w:val="00C4572C"/>
    <w:rsid w:val="00C46BCE"/>
    <w:rsid w:val="00C63DE7"/>
    <w:rsid w:val="00CA1897"/>
    <w:rsid w:val="00CA2148"/>
    <w:rsid w:val="00CD283A"/>
    <w:rsid w:val="00CD4D32"/>
    <w:rsid w:val="00CD4EA0"/>
    <w:rsid w:val="00CE1659"/>
    <w:rsid w:val="00CF6760"/>
    <w:rsid w:val="00D125E4"/>
    <w:rsid w:val="00D30116"/>
    <w:rsid w:val="00D448DB"/>
    <w:rsid w:val="00D51326"/>
    <w:rsid w:val="00D62007"/>
    <w:rsid w:val="00D72DE1"/>
    <w:rsid w:val="00D93DB9"/>
    <w:rsid w:val="00DA3F08"/>
    <w:rsid w:val="00DA5D9E"/>
    <w:rsid w:val="00DD604C"/>
    <w:rsid w:val="00DF1287"/>
    <w:rsid w:val="00E31B8F"/>
    <w:rsid w:val="00E32D42"/>
    <w:rsid w:val="00E417BC"/>
    <w:rsid w:val="00E54FFD"/>
    <w:rsid w:val="00E83D5F"/>
    <w:rsid w:val="00E85BAC"/>
    <w:rsid w:val="00E96284"/>
    <w:rsid w:val="00ED3969"/>
    <w:rsid w:val="00EF3888"/>
    <w:rsid w:val="00F25ECE"/>
    <w:rsid w:val="00F30793"/>
    <w:rsid w:val="00F54EDC"/>
    <w:rsid w:val="00F9298F"/>
    <w:rsid w:val="00FA3605"/>
    <w:rsid w:val="00FB5729"/>
    <w:rsid w:val="00FC3A9F"/>
    <w:rsid w:val="273D6E63"/>
    <w:rsid w:val="31887FD2"/>
    <w:rsid w:val="38CB2927"/>
    <w:rsid w:val="4B1819CB"/>
    <w:rsid w:val="4E9C6E71"/>
    <w:rsid w:val="632C7220"/>
    <w:rsid w:val="77D85A47"/>
    <w:rsid w:val="78A21B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45AF2E-057F-4808-83C9-6BB4FDA0FAFB}">
  <ds:schemaRefs/>
</ds:datastoreItem>
</file>

<file path=docProps/app.xml><?xml version="1.0" encoding="utf-8"?>
<Properties xmlns="http://schemas.openxmlformats.org/officeDocument/2006/extended-properties" xmlns:vt="http://schemas.openxmlformats.org/officeDocument/2006/docPropsVTypes">
  <Template>Normal</Template>
  <Pages>6</Pages>
  <Words>566</Words>
  <Characters>3232</Characters>
  <Lines>26</Lines>
  <Paragraphs>7</Paragraphs>
  <TotalTime>28</TotalTime>
  <ScaleCrop>false</ScaleCrop>
  <LinksUpToDate>false</LinksUpToDate>
  <CharactersWithSpaces>3791</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2021-11-02T03:46:00Z</dcterms:created>
  <dc:creator>ZQ</dc:creator>
  <cp:lastModifiedBy>麦少君</cp:lastModifiedBy>
  <dcterms:modified xsi:type="dcterms:W3CDTF">2021-12-06T07:56:59Z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ICV">
    <vt:lpwstr>105C5CD872634234AB03339F4479DBDB</vt:lpwstr>
  </property>
</Properties>
</file>