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汕尾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市“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两病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”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服务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药店遴选评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03"/>
        <w:gridCol w:w="2937"/>
        <w:gridCol w:w="1867"/>
        <w:gridCol w:w="3561"/>
        <w:gridCol w:w="1500"/>
        <w:gridCol w:w="1295"/>
        <w:gridCol w:w="1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审核内容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评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细则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评定方式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评定情况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药店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属于我市基本医疗保险定点零售药店。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单体药店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《营业执照》和《药品经营许可证》复印件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；连锁药店和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连锁总部（或集团总部）《营业执照》和《药品经营许可证》复印件。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申请药店的定点零售药店服务协议复印件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在申请之日前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年内未受过市场监督、医疗保障局等相关部门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行政处罚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（含正在调查未有结论的事项）。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提供“信用中国”相关截图说明。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遵守《中华人民共和国药品管理法》及有关法律法规，有健全和完善的管理制度。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药品管理、信息系统管理、医保基金内控内审制度、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外配处方审核制度、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药品不良反应应急预案和处理流程、药品召回制度。不可或缺项，缺项则不通过。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至少2名在岗在职执业药师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无配备2名以上执业药师的不参与评定。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申请药店在岗执业药师的资格证、注册证和身份证的复印件；药师在药店或连锁总部（或集团总部）的《参保缴费历史明细表》原件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，参保缴费至少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3个月。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系统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具备可联网接入医疗保障信息系统的软、硬件条件，能确保信息系统的正常运行，并能正确反映规定药品“进、销、存”情况。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药店全部药品的购、销、存数据可上传到广东省医保信息平台和广东智慧药监平台。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具备与医保信息系统实时传输，满足对所售药品已实现信息化追溯，实现患者与药店直接结算等条件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具备与医保信息系统实时传输，满足对所售药品信息化追溯等条件，实现患者与药店直接结算等条件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品种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  <w:t>备药率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所属的连锁总部（或集团总部）取得“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两病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”管理药品目录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（含）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以上品种。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（含）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以上的不参与评定。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2.单体药店、连锁药店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（或集团总部）取得“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两病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”管理药品目录内的药品的相关证明材料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购进发票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等。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符  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不符合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评定结果</w:t>
            </w:r>
          </w:p>
        </w:tc>
        <w:tc>
          <w:tcPr>
            <w:tcW w:w="4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/>
                <w:lang w:eastAsia="zh-CN" w:bidi="ar"/>
              </w:rPr>
            </w:pPr>
            <w:r>
              <w:rPr>
                <w:rStyle w:val="7"/>
                <w:rFonts w:ascii="仿宋" w:hAnsi="仿宋" w:eastAsia="仿宋" w:cs="仿宋"/>
                <w:color w:val="000000"/>
                <w:lang w:eastAsia="zh-CN" w:bidi="ar"/>
              </w:rPr>
              <w:t>其中有一项不符合的，评定结果为不通过：</w:t>
            </w:r>
          </w:p>
          <w:p>
            <w:pPr>
              <w:widowControl/>
              <w:jc w:val="both"/>
              <w:textAlignment w:val="center"/>
              <w:rPr>
                <w:rStyle w:val="7"/>
                <w:rFonts w:ascii="仿宋" w:hAnsi="仿宋" w:eastAsia="仿宋" w:cs="仿宋"/>
                <w:color w:val="00000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仿宋"/>
                <w:color w:val="00000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  <w:sym w:font="Wingdings" w:char="00A8"/>
            </w:r>
            <w:r>
              <w:rPr>
                <w:rStyle w:val="7"/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Style w:val="7"/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  <w:t>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 xml:space="preserve">       </w:t>
            </w:r>
            <w:r>
              <w:rPr>
                <w:rStyle w:val="7"/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  <w:sym w:font="Wingdings" w:char="00A8"/>
            </w:r>
            <w:r>
              <w:rPr>
                <w:rStyle w:val="7"/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  <w:t>不通过</w:t>
            </w:r>
          </w:p>
        </w:tc>
        <w:tc>
          <w:tcPr>
            <w:tcW w:w="78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评估小组成员签名：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日  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4871"/>
    <w:rsid w:val="65AA3D9E"/>
    <w:rsid w:val="6D9D7D13"/>
    <w:rsid w:val="6F504190"/>
    <w:rsid w:val="73A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2021-11-19T03:30:00Z</dcterms:created>
  <dc:creator>YB-502</dc:creator>
  <cp:lastModifiedBy>宗贺</cp:lastModifiedBy>
  <dcterms:modified xsi:type="dcterms:W3CDTF">2021-12-14T01:54:07Z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4C8036B8D2C14F5496B67CE42E35AD2A</vt:lpwstr>
  </property>
</Properties>
</file>