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0" w:leftChars="0"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2021年</w:t>
      </w:r>
      <w:r>
        <w:rPr>
          <w:rFonts w:hint="eastAsia" w:ascii="方正小标宋简体" w:hAnsi="方正小标宋简体" w:eastAsia="方正小标宋简体" w:cs="方正小标宋简体"/>
          <w:b w:val="0"/>
          <w:bCs w:val="0"/>
          <w:color w:val="000000"/>
          <w:sz w:val="44"/>
          <w:szCs w:val="44"/>
        </w:rPr>
        <w:t>汕尾市灯具及照明装置产品</w:t>
      </w:r>
    </w:p>
    <w:p>
      <w:pPr>
        <w:spacing w:line="600" w:lineRule="exact"/>
        <w:jc w:val="center"/>
        <w:rPr>
          <w:rFonts w:hint="eastAsia" w:asciiTheme="majorEastAsia" w:hAnsiTheme="majorEastAsia" w:eastAsiaTheme="majorEastAsia" w:cstheme="majorEastAsia"/>
          <w:b/>
          <w:bCs/>
          <w:color w:val="000000"/>
          <w:sz w:val="44"/>
          <w:szCs w:val="44"/>
        </w:rPr>
      </w:pPr>
      <w:r>
        <w:rPr>
          <w:rFonts w:hint="eastAsia" w:ascii="方正小标宋简体" w:hAnsi="方正小标宋简体" w:eastAsia="方正小标宋简体" w:cs="方正小标宋简体"/>
          <w:b w:val="0"/>
          <w:bCs w:val="0"/>
          <w:color w:val="000000"/>
          <w:sz w:val="44"/>
          <w:szCs w:val="44"/>
        </w:rPr>
        <w:t>质量监督抽查实施细则</w:t>
      </w:r>
    </w:p>
    <w:p>
      <w:pPr>
        <w:spacing w:line="600" w:lineRule="exact"/>
        <w:jc w:val="left"/>
        <w:rPr>
          <w:b/>
          <w:bCs/>
          <w:szCs w:val="32"/>
        </w:rPr>
      </w:pPr>
    </w:p>
    <w:p>
      <w:pPr>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随机数一般可使用随机数表等方法产生。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抽查数量：每款产品抽取2组样本，第1组用于检验，第2组用于备样。具体抽样数量和方法如下：</w:t>
      </w:r>
    </w:p>
    <w:tbl>
      <w:tblPr>
        <w:tblStyle w:val="5"/>
        <w:tblW w:w="9078"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4395"/>
        <w:gridCol w:w="1936"/>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849" w:type="dxa"/>
            <w:noWrap w:val="0"/>
            <w:vAlign w:val="center"/>
          </w:tcPr>
          <w:p>
            <w:pPr>
              <w:pStyle w:val="8"/>
              <w:spacing w:before="176" w:line="240" w:lineRule="auto"/>
              <w:ind w:left="101" w:right="89"/>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4395" w:type="dxa"/>
            <w:noWrap w:val="0"/>
            <w:vAlign w:val="center"/>
          </w:tcPr>
          <w:p>
            <w:pPr>
              <w:pStyle w:val="8"/>
              <w:spacing w:before="176" w:line="240" w:lineRule="auto"/>
              <w:ind w:left="104" w:right="87"/>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产品名称</w:t>
            </w:r>
          </w:p>
        </w:tc>
        <w:tc>
          <w:tcPr>
            <w:tcW w:w="1936" w:type="dxa"/>
            <w:noWrap w:val="0"/>
            <w:vAlign w:val="center"/>
          </w:tcPr>
          <w:p>
            <w:pPr>
              <w:pStyle w:val="8"/>
              <w:spacing w:before="176" w:line="240" w:lineRule="auto"/>
              <w:ind w:right="276"/>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第1组数量</w:t>
            </w:r>
          </w:p>
        </w:tc>
        <w:tc>
          <w:tcPr>
            <w:tcW w:w="1898" w:type="dxa"/>
            <w:noWrap w:val="0"/>
            <w:vAlign w:val="center"/>
          </w:tcPr>
          <w:p>
            <w:pPr>
              <w:pStyle w:val="8"/>
              <w:spacing w:before="176" w:line="240" w:lineRule="auto"/>
              <w:ind w:right="166"/>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第2组数量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849" w:type="dxa"/>
            <w:noWrap w:val="0"/>
            <w:vAlign w:val="center"/>
          </w:tcPr>
          <w:p>
            <w:pPr>
              <w:pStyle w:val="8"/>
              <w:spacing w:line="240" w:lineRule="auto"/>
              <w:ind w:left="13"/>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4395" w:type="dxa"/>
            <w:noWrap w:val="0"/>
            <w:vAlign w:val="center"/>
          </w:tcPr>
          <w:p>
            <w:pPr>
              <w:pStyle w:val="8"/>
              <w:spacing w:before="1" w:line="240" w:lineRule="auto"/>
              <w:ind w:left="113" w:right="87"/>
              <w:jc w:val="center"/>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室内照明灯具</w:t>
            </w:r>
            <w:r>
              <w:rPr>
                <w:rFonts w:hint="eastAsia" w:ascii="仿宋" w:hAnsi="仿宋" w:eastAsia="仿宋" w:cs="仿宋"/>
                <w:spacing w:val="-5"/>
                <w:sz w:val="28"/>
                <w:szCs w:val="28"/>
                <w:highlight w:val="none"/>
              </w:rPr>
              <w:t>（</w:t>
            </w:r>
            <w:r>
              <w:rPr>
                <w:rFonts w:hint="eastAsia" w:ascii="仿宋" w:hAnsi="仿宋" w:eastAsia="仿宋" w:cs="仿宋"/>
                <w:spacing w:val="-7"/>
                <w:sz w:val="28"/>
                <w:szCs w:val="28"/>
                <w:highlight w:val="none"/>
              </w:rPr>
              <w:t>固定式通用灯</w:t>
            </w:r>
            <w:r>
              <w:rPr>
                <w:rFonts w:hint="eastAsia" w:ascii="仿宋" w:hAnsi="仿宋" w:eastAsia="仿宋" w:cs="仿宋"/>
                <w:spacing w:val="-5"/>
                <w:sz w:val="28"/>
                <w:szCs w:val="28"/>
                <w:highlight w:val="none"/>
              </w:rPr>
              <w:t>具</w:t>
            </w:r>
            <w:r>
              <w:rPr>
                <w:rFonts w:hint="eastAsia" w:ascii="仿宋" w:hAnsi="仿宋" w:eastAsia="仿宋" w:cs="仿宋"/>
                <w:spacing w:val="-4"/>
                <w:sz w:val="28"/>
                <w:szCs w:val="28"/>
                <w:highlight w:val="none"/>
              </w:rPr>
              <w:t>/</w:t>
            </w:r>
            <w:r>
              <w:rPr>
                <w:rFonts w:hint="eastAsia" w:ascii="仿宋" w:hAnsi="仿宋" w:eastAsia="仿宋" w:cs="仿宋"/>
                <w:spacing w:val="-5"/>
                <w:sz w:val="28"/>
                <w:szCs w:val="28"/>
                <w:highlight w:val="none"/>
              </w:rPr>
              <w:t>嵌入式灯具</w:t>
            </w:r>
            <w:r>
              <w:rPr>
                <w:rFonts w:hint="eastAsia" w:ascii="仿宋" w:hAnsi="仿宋" w:eastAsia="仿宋" w:cs="仿宋"/>
                <w:sz w:val="28"/>
                <w:szCs w:val="28"/>
                <w:highlight w:val="none"/>
              </w:rPr>
              <w:t>/</w:t>
            </w:r>
            <w:r>
              <w:rPr>
                <w:rFonts w:hint="eastAsia" w:ascii="仿宋" w:hAnsi="仿宋" w:eastAsia="仿宋" w:cs="仿宋"/>
                <w:spacing w:val="-4"/>
                <w:sz w:val="28"/>
                <w:szCs w:val="28"/>
                <w:highlight w:val="none"/>
              </w:rPr>
              <w:t>可移式通用</w:t>
            </w:r>
            <w:r>
              <w:rPr>
                <w:rFonts w:hint="eastAsia" w:ascii="仿宋" w:hAnsi="仿宋" w:eastAsia="仿宋" w:cs="仿宋"/>
                <w:spacing w:val="-5"/>
                <w:sz w:val="28"/>
                <w:szCs w:val="28"/>
                <w:highlight w:val="none"/>
              </w:rPr>
              <w:t>灯具</w:t>
            </w:r>
            <w:r>
              <w:rPr>
                <w:rFonts w:hint="eastAsia" w:ascii="仿宋" w:hAnsi="仿宋" w:eastAsia="仿宋" w:cs="仿宋"/>
                <w:sz w:val="28"/>
                <w:szCs w:val="28"/>
                <w:highlight w:val="none"/>
              </w:rPr>
              <w:t>）</w:t>
            </w:r>
          </w:p>
        </w:tc>
        <w:tc>
          <w:tcPr>
            <w:tcW w:w="1936" w:type="dxa"/>
            <w:noWrap w:val="0"/>
            <w:vAlign w:val="center"/>
          </w:tcPr>
          <w:p>
            <w:pPr>
              <w:pStyle w:val="8"/>
              <w:spacing w:line="240" w:lineRule="auto"/>
              <w:ind w:left="290" w:right="27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 只</w:t>
            </w:r>
          </w:p>
        </w:tc>
        <w:tc>
          <w:tcPr>
            <w:tcW w:w="1898" w:type="dxa"/>
            <w:noWrap w:val="0"/>
            <w:vAlign w:val="center"/>
          </w:tcPr>
          <w:p>
            <w:pPr>
              <w:pStyle w:val="8"/>
              <w:spacing w:line="240" w:lineRule="auto"/>
              <w:ind w:left="179" w:right="16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9" w:type="dxa"/>
            <w:noWrap w:val="0"/>
            <w:vAlign w:val="center"/>
          </w:tcPr>
          <w:p>
            <w:pPr>
              <w:pStyle w:val="8"/>
              <w:spacing w:before="119" w:line="240" w:lineRule="auto"/>
              <w:ind w:left="13"/>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395" w:type="dxa"/>
            <w:noWrap w:val="0"/>
            <w:vAlign w:val="center"/>
          </w:tcPr>
          <w:p>
            <w:pPr>
              <w:pStyle w:val="8"/>
              <w:spacing w:before="108" w:line="240" w:lineRule="auto"/>
              <w:ind w:left="106" w:right="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装饰用灯（灯串）</w:t>
            </w:r>
          </w:p>
        </w:tc>
        <w:tc>
          <w:tcPr>
            <w:tcW w:w="1936" w:type="dxa"/>
            <w:noWrap w:val="0"/>
            <w:vAlign w:val="center"/>
          </w:tcPr>
          <w:p>
            <w:pPr>
              <w:pStyle w:val="8"/>
              <w:spacing w:before="108" w:line="240" w:lineRule="auto"/>
              <w:ind w:left="290" w:right="27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 只</w:t>
            </w:r>
          </w:p>
        </w:tc>
        <w:tc>
          <w:tcPr>
            <w:tcW w:w="1898" w:type="dxa"/>
            <w:noWrap w:val="0"/>
            <w:vAlign w:val="center"/>
          </w:tcPr>
          <w:p>
            <w:pPr>
              <w:pStyle w:val="8"/>
              <w:spacing w:before="108" w:line="240" w:lineRule="auto"/>
              <w:ind w:left="179" w:right="16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849" w:type="dxa"/>
            <w:noWrap w:val="0"/>
            <w:vAlign w:val="center"/>
          </w:tcPr>
          <w:p>
            <w:pPr>
              <w:pStyle w:val="8"/>
              <w:spacing w:line="240" w:lineRule="auto"/>
              <w:ind w:left="13"/>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4395" w:type="dxa"/>
            <w:noWrap w:val="0"/>
            <w:vAlign w:val="center"/>
          </w:tcPr>
          <w:p>
            <w:pPr>
              <w:pStyle w:val="8"/>
              <w:spacing w:before="48" w:line="240" w:lineRule="auto"/>
              <w:ind w:left="26" w:right="2"/>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电光源、灯具及照明装置零件</w:t>
            </w:r>
          </w:p>
          <w:p>
            <w:pPr>
              <w:pStyle w:val="8"/>
              <w:spacing w:before="53" w:line="240" w:lineRule="auto"/>
              <w:ind w:left="104" w:right="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（LED 球泡灯）</w:t>
            </w:r>
          </w:p>
        </w:tc>
        <w:tc>
          <w:tcPr>
            <w:tcW w:w="1936" w:type="dxa"/>
            <w:noWrap w:val="0"/>
            <w:vAlign w:val="center"/>
          </w:tcPr>
          <w:p>
            <w:pPr>
              <w:pStyle w:val="8"/>
              <w:spacing w:before="228" w:line="240" w:lineRule="auto"/>
              <w:ind w:left="295" w:right="27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LED 球泡灯：5 只</w:t>
            </w:r>
          </w:p>
        </w:tc>
        <w:tc>
          <w:tcPr>
            <w:tcW w:w="1898" w:type="dxa"/>
            <w:noWrap w:val="0"/>
            <w:vAlign w:val="center"/>
          </w:tcPr>
          <w:p>
            <w:pPr>
              <w:pStyle w:val="8"/>
              <w:spacing w:before="228" w:line="240" w:lineRule="auto"/>
              <w:ind w:left="184" w:right="16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LED 球泡灯：2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49" w:type="dxa"/>
            <w:noWrap w:val="0"/>
            <w:vAlign w:val="center"/>
          </w:tcPr>
          <w:p>
            <w:pPr>
              <w:pStyle w:val="8"/>
              <w:spacing w:before="1" w:line="240" w:lineRule="auto"/>
              <w:ind w:left="13"/>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4395" w:type="dxa"/>
            <w:noWrap w:val="0"/>
            <w:vAlign w:val="center"/>
          </w:tcPr>
          <w:p>
            <w:pPr>
              <w:pStyle w:val="8"/>
              <w:spacing w:line="240" w:lineRule="auto"/>
              <w:ind w:left="775" w:right="87" w:hanging="663"/>
              <w:jc w:val="center"/>
              <w:rPr>
                <w:rFonts w:hint="eastAsia" w:ascii="仿宋" w:hAnsi="仿宋" w:eastAsia="仿宋" w:cs="仿宋"/>
                <w:spacing w:val="-15"/>
                <w:sz w:val="28"/>
                <w:szCs w:val="28"/>
                <w:highlight w:val="none"/>
              </w:rPr>
            </w:pPr>
            <w:r>
              <w:rPr>
                <w:rFonts w:hint="eastAsia" w:ascii="仿宋" w:hAnsi="仿宋" w:eastAsia="仿宋" w:cs="仿宋"/>
                <w:spacing w:val="-15"/>
                <w:sz w:val="28"/>
                <w:szCs w:val="28"/>
                <w:highlight w:val="none"/>
              </w:rPr>
              <w:t>其他灯具及照明装置</w:t>
            </w:r>
          </w:p>
          <w:p>
            <w:pPr>
              <w:pStyle w:val="8"/>
              <w:spacing w:line="240" w:lineRule="auto"/>
              <w:ind w:left="775" w:right="87" w:hanging="663"/>
              <w:jc w:val="center"/>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w:t>
            </w:r>
            <w:r>
              <w:rPr>
                <w:rFonts w:hint="eastAsia" w:ascii="仿宋" w:hAnsi="仿宋" w:eastAsia="仿宋" w:cs="仿宋"/>
                <w:spacing w:val="-7"/>
                <w:sz w:val="28"/>
                <w:szCs w:val="28"/>
                <w:highlight w:val="none"/>
              </w:rPr>
              <w:t>电源插</w:t>
            </w:r>
            <w:r>
              <w:rPr>
                <w:rFonts w:hint="eastAsia" w:ascii="仿宋" w:hAnsi="仿宋" w:eastAsia="仿宋" w:cs="仿宋"/>
                <w:spacing w:val="-5"/>
                <w:sz w:val="28"/>
                <w:szCs w:val="28"/>
                <w:highlight w:val="none"/>
              </w:rPr>
              <w:t>座安装的夜灯</w:t>
            </w:r>
            <w:r>
              <w:rPr>
                <w:rFonts w:hint="eastAsia" w:ascii="仿宋" w:hAnsi="仿宋" w:eastAsia="仿宋" w:cs="仿宋"/>
                <w:sz w:val="28"/>
                <w:szCs w:val="28"/>
                <w:highlight w:val="none"/>
              </w:rPr>
              <w:t>）</w:t>
            </w:r>
          </w:p>
        </w:tc>
        <w:tc>
          <w:tcPr>
            <w:tcW w:w="1936" w:type="dxa"/>
            <w:noWrap w:val="0"/>
            <w:vAlign w:val="center"/>
          </w:tcPr>
          <w:p>
            <w:pPr>
              <w:pStyle w:val="8"/>
              <w:spacing w:before="228" w:line="240" w:lineRule="auto"/>
              <w:ind w:left="290" w:right="27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 只</w:t>
            </w:r>
          </w:p>
        </w:tc>
        <w:tc>
          <w:tcPr>
            <w:tcW w:w="1898" w:type="dxa"/>
            <w:noWrap w:val="0"/>
            <w:vAlign w:val="center"/>
          </w:tcPr>
          <w:p>
            <w:pPr>
              <w:pStyle w:val="8"/>
              <w:spacing w:before="228" w:line="240" w:lineRule="auto"/>
              <w:ind w:left="179" w:right="16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 只</w:t>
            </w:r>
          </w:p>
        </w:tc>
      </w:tr>
    </w:tbl>
    <w:p>
      <w:pPr>
        <w:pStyle w:val="9"/>
        <w:numPr>
          <w:ilvl w:val="0"/>
          <w:numId w:val="0"/>
        </w:numPr>
        <w:tabs>
          <w:tab w:val="left" w:pos="1867"/>
        </w:tabs>
        <w:spacing w:before="180" w:after="0" w:line="343" w:lineRule="auto"/>
        <w:ind w:leftChars="210" w:right="106" w:rightChars="0"/>
        <w:jc w:val="left"/>
        <w:rPr>
          <w:rFonts w:hint="eastAsia" w:eastAsia="黑体" w:cs="黑体"/>
          <w:color w:val="000000"/>
          <w:sz w:val="32"/>
          <w:szCs w:val="32"/>
        </w:rPr>
      </w:pPr>
      <w:r>
        <w:rPr>
          <w:rFonts w:hint="eastAsia" w:eastAsia="黑体" w:cs="黑体"/>
          <w:color w:val="000000"/>
          <w:sz w:val="32"/>
          <w:szCs w:val="32"/>
          <w:lang w:eastAsia="zh-CN"/>
        </w:rPr>
        <w:t>二、主</w:t>
      </w:r>
      <w:r>
        <w:rPr>
          <w:rFonts w:hint="eastAsia" w:eastAsia="黑体" w:cs="黑体"/>
          <w:color w:val="000000"/>
          <w:sz w:val="32"/>
          <w:szCs w:val="32"/>
        </w:rPr>
        <w:t>要检验项目及检验项目属性划分</w:t>
      </w:r>
    </w:p>
    <w:p>
      <w:pPr>
        <w:pStyle w:val="9"/>
        <w:numPr>
          <w:ilvl w:val="0"/>
          <w:numId w:val="0"/>
        </w:numPr>
        <w:tabs>
          <w:tab w:val="left" w:pos="1867"/>
        </w:tabs>
        <w:spacing w:before="180" w:after="0" w:line="343" w:lineRule="auto"/>
        <w:ind w:left="0" w:leftChars="0" w:right="106" w:rightChars="0" w:firstLine="638" w:firstLineChars="210"/>
        <w:jc w:val="left"/>
        <w:rPr>
          <w:rFonts w:hint="eastAsia" w:ascii="仿宋_GB2312" w:hAnsi="仿宋_GB2312" w:eastAsia="仿宋_GB2312" w:cs="仿宋_GB2312"/>
          <w:b w:val="0"/>
          <w:bCs/>
          <w:sz w:val="32"/>
          <w:highlight w:val="none"/>
        </w:rPr>
      </w:pPr>
      <w:r>
        <w:rPr>
          <w:rFonts w:hint="eastAsia" w:cs="仿宋_GB2312"/>
          <w:b w:val="0"/>
          <w:bCs/>
          <w:w w:val="95"/>
          <w:sz w:val="32"/>
          <w:highlight w:val="none"/>
          <w:lang w:val="en-US" w:eastAsia="zh-CN"/>
        </w:rPr>
        <w:t>1.</w:t>
      </w:r>
      <w:r>
        <w:rPr>
          <w:rFonts w:hint="eastAsia" w:ascii="仿宋_GB2312" w:hAnsi="仿宋_GB2312" w:eastAsia="仿宋_GB2312" w:cs="仿宋_GB2312"/>
          <w:b w:val="0"/>
          <w:bCs/>
          <w:w w:val="95"/>
          <w:sz w:val="32"/>
          <w:highlight w:val="none"/>
        </w:rPr>
        <w:t>室内照明灯具</w:t>
      </w:r>
      <w:r>
        <w:rPr>
          <w:rFonts w:hint="eastAsia" w:ascii="仿宋_GB2312" w:hAnsi="仿宋_GB2312" w:eastAsia="仿宋_GB2312" w:cs="仿宋_GB2312"/>
          <w:b w:val="0"/>
          <w:bCs/>
          <w:spacing w:val="5"/>
          <w:w w:val="95"/>
          <w:sz w:val="32"/>
          <w:highlight w:val="none"/>
        </w:rPr>
        <w:t>（</w:t>
      </w:r>
      <w:r>
        <w:rPr>
          <w:rFonts w:hint="eastAsia" w:ascii="仿宋_GB2312" w:hAnsi="仿宋_GB2312" w:eastAsia="仿宋_GB2312" w:cs="仿宋_GB2312"/>
          <w:b w:val="0"/>
          <w:bCs/>
          <w:w w:val="95"/>
          <w:sz w:val="32"/>
          <w:highlight w:val="none"/>
        </w:rPr>
        <w:t>固定式通用灯具</w:t>
      </w:r>
      <w:r>
        <w:rPr>
          <w:rFonts w:hint="eastAsia" w:ascii="仿宋_GB2312" w:hAnsi="仿宋_GB2312" w:eastAsia="仿宋_GB2312" w:cs="仿宋_GB2312"/>
          <w:b w:val="0"/>
          <w:bCs/>
          <w:spacing w:val="3"/>
          <w:w w:val="95"/>
          <w:sz w:val="32"/>
          <w:highlight w:val="none"/>
        </w:rPr>
        <w:t>/</w:t>
      </w:r>
      <w:r>
        <w:rPr>
          <w:rFonts w:hint="eastAsia" w:ascii="仿宋_GB2312" w:hAnsi="仿宋_GB2312" w:eastAsia="仿宋_GB2312" w:cs="仿宋_GB2312"/>
          <w:b w:val="0"/>
          <w:bCs/>
          <w:w w:val="95"/>
          <w:sz w:val="32"/>
          <w:highlight w:val="none"/>
        </w:rPr>
        <w:t>嵌入式灯具</w:t>
      </w:r>
      <w:r>
        <w:rPr>
          <w:rFonts w:hint="eastAsia" w:ascii="仿宋_GB2312" w:hAnsi="仿宋_GB2312" w:eastAsia="仿宋_GB2312" w:cs="仿宋_GB2312"/>
          <w:b w:val="0"/>
          <w:bCs/>
          <w:spacing w:val="3"/>
          <w:w w:val="95"/>
          <w:sz w:val="32"/>
          <w:highlight w:val="none"/>
        </w:rPr>
        <w:t>/</w:t>
      </w:r>
      <w:r>
        <w:rPr>
          <w:rFonts w:hint="eastAsia" w:ascii="仿宋_GB2312" w:hAnsi="仿宋_GB2312" w:eastAsia="仿宋_GB2312" w:cs="仿宋_GB2312"/>
          <w:b w:val="0"/>
          <w:bCs/>
          <w:w w:val="95"/>
          <w:sz w:val="32"/>
          <w:highlight w:val="none"/>
        </w:rPr>
        <w:t>可移式</w:t>
      </w:r>
      <w:r>
        <w:rPr>
          <w:rFonts w:hint="eastAsia" w:ascii="仿宋_GB2312" w:hAnsi="仿宋_GB2312" w:eastAsia="仿宋_GB2312" w:cs="仿宋_GB2312"/>
          <w:b w:val="0"/>
          <w:bCs/>
          <w:spacing w:val="-3"/>
          <w:sz w:val="32"/>
          <w:highlight w:val="none"/>
        </w:rPr>
        <w:t>通用灯具</w:t>
      </w:r>
      <w:r>
        <w:rPr>
          <w:rFonts w:hint="eastAsia" w:ascii="仿宋_GB2312" w:hAnsi="仿宋_GB2312" w:eastAsia="仿宋_GB2312" w:cs="仿宋_GB2312"/>
          <w:b w:val="0"/>
          <w:bCs/>
          <w:sz w:val="32"/>
          <w:highlight w:val="none"/>
        </w:rPr>
        <w:t>）</w:t>
      </w:r>
    </w:p>
    <w:tbl>
      <w:tblPr>
        <w:tblStyle w:val="6"/>
        <w:tblpPr w:leftFromText="180" w:rightFromText="180" w:vertAnchor="text" w:horzAnchor="page" w:tblpX="1275"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27"/>
        <w:gridCol w:w="3226"/>
        <w:gridCol w:w="814"/>
        <w:gridCol w:w="880"/>
        <w:gridCol w:w="826"/>
        <w:gridCol w:w="85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pStyle w:val="8"/>
              <w:spacing w:before="12" w:line="291" w:lineRule="exact"/>
              <w:ind w:right="1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序</w:t>
            </w:r>
            <w:r>
              <w:rPr>
                <w:rFonts w:hint="eastAsia" w:ascii="仿宋" w:hAnsi="仿宋" w:eastAsia="仿宋" w:cs="仿宋"/>
                <w:sz w:val="21"/>
                <w:szCs w:val="21"/>
                <w:highlight w:val="none"/>
                <w:lang w:val="en-US" w:eastAsia="zh-CN"/>
              </w:rPr>
              <w:t>号</w:t>
            </w:r>
          </w:p>
        </w:tc>
        <w:tc>
          <w:tcPr>
            <w:tcW w:w="1627" w:type="dxa"/>
            <w:noWrap w:val="0"/>
            <w:vAlign w:val="center"/>
          </w:tcPr>
          <w:p>
            <w:pPr>
              <w:pStyle w:val="8"/>
              <w:spacing w:before="12" w:line="291" w:lineRule="exact"/>
              <w:ind w:right="1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检验项目</w:t>
            </w:r>
          </w:p>
        </w:tc>
        <w:tc>
          <w:tcPr>
            <w:tcW w:w="3226" w:type="dxa"/>
            <w:noWrap w:val="0"/>
            <w:vAlign w:val="center"/>
          </w:tcPr>
          <w:p>
            <w:pPr>
              <w:pStyle w:val="8"/>
              <w:spacing w:before="12" w:line="291" w:lineRule="exact"/>
              <w:ind w:left="187" w:leftChars="0" w:right="1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依据法律法规或标准</w:t>
            </w:r>
          </w:p>
        </w:tc>
        <w:tc>
          <w:tcPr>
            <w:tcW w:w="814" w:type="dxa"/>
            <w:noWrap w:val="0"/>
            <w:vAlign w:val="center"/>
          </w:tcPr>
          <w:p>
            <w:pPr>
              <w:pStyle w:val="8"/>
              <w:spacing w:before="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强制性</w:t>
            </w:r>
          </w:p>
        </w:tc>
        <w:tc>
          <w:tcPr>
            <w:tcW w:w="880" w:type="dxa"/>
            <w:noWrap w:val="0"/>
            <w:vAlign w:val="center"/>
          </w:tcPr>
          <w:p>
            <w:pPr>
              <w:pStyle w:val="8"/>
              <w:spacing w:before="1"/>
              <w:jc w:val="center"/>
              <w:rPr>
                <w:rFonts w:hint="eastAsia" w:ascii="仿宋" w:hAnsi="仿宋" w:eastAsia="仿宋" w:cs="仿宋"/>
                <w:sz w:val="21"/>
                <w:szCs w:val="21"/>
                <w:highlight w:val="none"/>
                <w:vertAlign w:val="baseline"/>
              </w:rPr>
            </w:pPr>
            <w:r>
              <w:rPr>
                <w:rFonts w:hint="eastAsia" w:ascii="仿宋" w:hAnsi="仿宋" w:eastAsia="仿宋" w:cs="仿宋"/>
                <w:spacing w:val="-3"/>
                <w:sz w:val="21"/>
                <w:szCs w:val="21"/>
                <w:highlight w:val="none"/>
              </w:rPr>
              <w:t>非强制性</w:t>
            </w:r>
          </w:p>
        </w:tc>
        <w:tc>
          <w:tcPr>
            <w:tcW w:w="826" w:type="dxa"/>
            <w:noWrap w:val="0"/>
            <w:vAlign w:val="center"/>
          </w:tcPr>
          <w:p>
            <w:pPr>
              <w:pStyle w:val="8"/>
              <w:spacing w:before="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重要项</w:t>
            </w:r>
          </w:p>
        </w:tc>
        <w:tc>
          <w:tcPr>
            <w:tcW w:w="854" w:type="dxa"/>
            <w:noWrap w:val="0"/>
            <w:vAlign w:val="center"/>
          </w:tcPr>
          <w:p>
            <w:pPr>
              <w:pStyle w:val="8"/>
              <w:spacing w:before="1"/>
              <w:jc w:val="center"/>
              <w:rPr>
                <w:rFonts w:hint="eastAsia" w:ascii="仿宋" w:hAnsi="仿宋" w:eastAsia="仿宋" w:cs="仿宋"/>
                <w:sz w:val="21"/>
                <w:szCs w:val="21"/>
                <w:highlight w:val="none"/>
                <w:vertAlign w:val="baseline"/>
              </w:rPr>
            </w:pPr>
            <w:r>
              <w:rPr>
                <w:rFonts w:hint="eastAsia" w:ascii="仿宋" w:hAnsi="仿宋" w:eastAsia="仿宋" w:cs="仿宋"/>
                <w:spacing w:val="-3"/>
                <w:sz w:val="21"/>
                <w:szCs w:val="21"/>
                <w:highlight w:val="none"/>
              </w:rPr>
              <w:t>较重要项</w:t>
            </w:r>
          </w:p>
        </w:tc>
        <w:tc>
          <w:tcPr>
            <w:tcW w:w="760" w:type="dxa"/>
            <w:noWrap w:val="0"/>
            <w:vAlign w:val="center"/>
          </w:tcPr>
          <w:p>
            <w:pPr>
              <w:pStyle w:val="8"/>
              <w:spacing w:before="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pStyle w:val="8"/>
              <w:spacing w:before="12" w:line="291" w:lineRule="exact"/>
              <w:ind w:left="187" w:leftChars="0" w:right="1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1</w:t>
            </w:r>
          </w:p>
        </w:tc>
        <w:tc>
          <w:tcPr>
            <w:tcW w:w="1627" w:type="dxa"/>
            <w:noWrap w:val="0"/>
            <w:vAlign w:val="center"/>
          </w:tcPr>
          <w:p>
            <w:pPr>
              <w:pStyle w:val="8"/>
              <w:spacing w:before="12" w:line="291" w:lineRule="exact"/>
              <w:ind w:left="187" w:leftChars="0" w:right="169" w:rightChars="0"/>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标记</w:t>
            </w:r>
          </w:p>
        </w:tc>
        <w:tc>
          <w:tcPr>
            <w:tcW w:w="3226" w:type="dxa"/>
            <w:noWrap w:val="0"/>
            <w:vAlign w:val="center"/>
          </w:tcPr>
          <w:p>
            <w:pPr>
              <w:pStyle w:val="8"/>
              <w:spacing w:before="12" w:line="291" w:lineRule="exact"/>
              <w:ind w:right="169" w:rightChars="0"/>
              <w:jc w:val="left"/>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GB7000.1-2015（GB7000.201-2008/GB7000.202-2008/GB7000.204-2008）第 3 章(第5 章)</w:t>
            </w:r>
          </w:p>
        </w:tc>
        <w:tc>
          <w:tcPr>
            <w:tcW w:w="814" w:type="dxa"/>
            <w:noWrap w:val="0"/>
            <w:vAlign w:val="center"/>
          </w:tcPr>
          <w:p>
            <w:pPr>
              <w:pStyle w:val="8"/>
              <w:spacing w:before="174"/>
              <w:ind w:left="282" w:lef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w:t>
            </w:r>
          </w:p>
        </w:tc>
        <w:tc>
          <w:tcPr>
            <w:tcW w:w="880" w:type="dxa"/>
            <w:noWrap w:val="0"/>
            <w:vAlign w:val="center"/>
          </w:tcPr>
          <w:p>
            <w:pPr>
              <w:pStyle w:val="8"/>
              <w:jc w:val="center"/>
              <w:rPr>
                <w:rFonts w:hint="eastAsia" w:ascii="仿宋" w:hAnsi="仿宋" w:eastAsia="仿宋" w:cs="仿宋"/>
                <w:sz w:val="21"/>
                <w:szCs w:val="21"/>
                <w:highlight w:val="none"/>
                <w:vertAlign w:val="baseline"/>
              </w:rPr>
            </w:pPr>
          </w:p>
        </w:tc>
        <w:tc>
          <w:tcPr>
            <w:tcW w:w="826" w:type="dxa"/>
            <w:noWrap w:val="0"/>
            <w:vAlign w:val="center"/>
          </w:tcPr>
          <w:p>
            <w:pPr>
              <w:pStyle w:val="8"/>
              <w:jc w:val="center"/>
              <w:rPr>
                <w:rFonts w:hint="eastAsia" w:ascii="仿宋" w:hAnsi="仿宋" w:eastAsia="仿宋" w:cs="仿宋"/>
                <w:sz w:val="21"/>
                <w:szCs w:val="21"/>
                <w:highlight w:val="none"/>
                <w:vertAlign w:val="baseline"/>
              </w:rPr>
            </w:pPr>
          </w:p>
        </w:tc>
        <w:tc>
          <w:tcPr>
            <w:tcW w:w="854" w:type="dxa"/>
            <w:noWrap w:val="0"/>
            <w:vAlign w:val="center"/>
          </w:tcPr>
          <w:p>
            <w:pPr>
              <w:pStyle w:val="8"/>
              <w:spacing w:before="174"/>
              <w:ind w:right="2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w:t>
            </w:r>
          </w:p>
        </w:tc>
        <w:tc>
          <w:tcPr>
            <w:tcW w:w="760" w:type="dxa"/>
            <w:noWrap w:val="0"/>
            <w:vAlign w:val="top"/>
          </w:tcPr>
          <w:p>
            <w:pPr>
              <w:pStyle w:val="8"/>
              <w:rPr>
                <w:rFonts w:hint="eastAsia" w:ascii="仿宋" w:hAnsi="仿宋" w:eastAsia="仿宋" w:cs="仿宋"/>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pStyle w:val="8"/>
              <w:spacing w:before="12" w:line="291" w:lineRule="exact"/>
              <w:ind w:left="187" w:leftChars="0" w:right="169"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2</w:t>
            </w:r>
          </w:p>
        </w:tc>
        <w:tc>
          <w:tcPr>
            <w:tcW w:w="1627" w:type="dxa"/>
            <w:noWrap w:val="0"/>
            <w:vAlign w:val="center"/>
          </w:tcPr>
          <w:p>
            <w:pPr>
              <w:pStyle w:val="8"/>
              <w:spacing w:before="12" w:line="291" w:lineRule="exact"/>
              <w:ind w:right="169" w:rightChars="0"/>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结构（含光生物危害）</w:t>
            </w:r>
          </w:p>
        </w:tc>
        <w:tc>
          <w:tcPr>
            <w:tcW w:w="3226" w:type="dxa"/>
            <w:noWrap w:val="0"/>
            <w:vAlign w:val="center"/>
          </w:tcPr>
          <w:p>
            <w:pPr>
              <w:pStyle w:val="8"/>
              <w:spacing w:before="12" w:line="291" w:lineRule="exact"/>
              <w:ind w:right="169" w:rightChars="0"/>
              <w:jc w:val="left"/>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GB7000.1-2015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GB7000.201-2008/ GB7000.202-2008/GB7000.204-2008）第 4 章(第 6 章)</w:t>
            </w:r>
          </w:p>
        </w:tc>
        <w:tc>
          <w:tcPr>
            <w:tcW w:w="814" w:type="dxa"/>
            <w:noWrap w:val="0"/>
            <w:vAlign w:val="center"/>
          </w:tcPr>
          <w:p>
            <w:pPr>
              <w:pStyle w:val="8"/>
              <w:ind w:left="282" w:lef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w:t>
            </w:r>
          </w:p>
        </w:tc>
        <w:tc>
          <w:tcPr>
            <w:tcW w:w="880" w:type="dxa"/>
            <w:noWrap w:val="0"/>
            <w:vAlign w:val="center"/>
          </w:tcPr>
          <w:p>
            <w:pPr>
              <w:pStyle w:val="8"/>
              <w:jc w:val="center"/>
              <w:rPr>
                <w:rFonts w:hint="eastAsia" w:ascii="仿宋" w:hAnsi="仿宋" w:eastAsia="仿宋" w:cs="仿宋"/>
                <w:sz w:val="21"/>
                <w:szCs w:val="21"/>
                <w:highlight w:val="none"/>
                <w:vertAlign w:val="baseline"/>
              </w:rPr>
            </w:pPr>
          </w:p>
        </w:tc>
        <w:tc>
          <w:tcPr>
            <w:tcW w:w="826" w:type="dxa"/>
            <w:noWrap w:val="0"/>
            <w:vAlign w:val="center"/>
          </w:tcPr>
          <w:p>
            <w:pPr>
              <w:pStyle w:val="8"/>
              <w:ind w:right="270"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rPr>
              <w:t>●</w:t>
            </w:r>
          </w:p>
        </w:tc>
        <w:tc>
          <w:tcPr>
            <w:tcW w:w="854" w:type="dxa"/>
            <w:noWrap w:val="0"/>
            <w:vAlign w:val="center"/>
          </w:tcPr>
          <w:p>
            <w:pPr>
              <w:pStyle w:val="8"/>
              <w:jc w:val="center"/>
              <w:rPr>
                <w:rFonts w:hint="eastAsia" w:ascii="仿宋" w:hAnsi="仿宋" w:eastAsia="仿宋" w:cs="仿宋"/>
                <w:sz w:val="21"/>
                <w:szCs w:val="21"/>
                <w:highlight w:val="none"/>
                <w:vertAlign w:val="baseline"/>
              </w:rPr>
            </w:pPr>
          </w:p>
        </w:tc>
        <w:tc>
          <w:tcPr>
            <w:tcW w:w="760" w:type="dxa"/>
            <w:noWrap w:val="0"/>
            <w:vAlign w:val="top"/>
          </w:tcPr>
          <w:p>
            <w:pPr>
              <w:pStyle w:val="8"/>
              <w:rPr>
                <w:rFonts w:hint="eastAsia" w:ascii="仿宋" w:hAnsi="仿宋" w:eastAsia="仿宋" w:cs="仿宋"/>
                <w:sz w:val="21"/>
                <w:szCs w:val="21"/>
                <w:highlight w:val="none"/>
                <w:vertAlign w:val="baseline"/>
              </w:rPr>
            </w:pPr>
          </w:p>
        </w:tc>
      </w:tr>
    </w:tbl>
    <w:tbl>
      <w:tblPr>
        <w:tblStyle w:val="5"/>
        <w:tblpPr w:leftFromText="180" w:rightFromText="180" w:vertAnchor="text" w:horzAnchor="page" w:tblpX="1157" w:tblpY="11"/>
        <w:tblOverlap w:val="never"/>
        <w:tblW w:w="9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1611"/>
        <w:gridCol w:w="3229"/>
        <w:gridCol w:w="813"/>
        <w:gridCol w:w="867"/>
        <w:gridCol w:w="840"/>
        <w:gridCol w:w="836"/>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p>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爬电距离和电气间隙</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（GB7000.201-2008/GB7000.202-2008/GB7000.204-2008）</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11 章(第7 章)</w:t>
            </w:r>
          </w:p>
        </w:tc>
        <w:tc>
          <w:tcPr>
            <w:tcW w:w="813" w:type="dxa"/>
            <w:noWrap w:val="0"/>
            <w:vAlign w:val="center"/>
          </w:tcPr>
          <w:p>
            <w:pPr>
              <w:pStyle w:val="8"/>
              <w:spacing w:before="168"/>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spacing w:before="168"/>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接地规定</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（GB7000.201-2008/GB7000.202-2</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08/GB7000.204-2008）</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第7章(第8 章)</w:t>
            </w:r>
          </w:p>
        </w:tc>
        <w:tc>
          <w:tcPr>
            <w:tcW w:w="813" w:type="dxa"/>
            <w:noWrap w:val="0"/>
            <w:vAlign w:val="center"/>
          </w:tcPr>
          <w:p>
            <w:pPr>
              <w:pStyle w:val="8"/>
              <w:spacing w:before="172"/>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spacing w:before="172"/>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p>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外部接线与内部接线</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（GB7000.201-2008/GB7000.202-2 08/GB7000.204-2008）第 5 章(第10章)</w:t>
            </w:r>
          </w:p>
        </w:tc>
        <w:tc>
          <w:tcPr>
            <w:tcW w:w="813" w:type="dxa"/>
            <w:noWrap w:val="0"/>
            <w:vAlign w:val="center"/>
          </w:tcPr>
          <w:p>
            <w:pPr>
              <w:pStyle w:val="8"/>
              <w:spacing w:before="174"/>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spacing w:before="174"/>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防触电保护</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（GB7000.201-2008/GB7000.202-2 08/GB7000.204-2008）第 8 章(第11章)</w:t>
            </w:r>
          </w:p>
        </w:tc>
        <w:tc>
          <w:tcPr>
            <w:tcW w:w="813" w:type="dxa"/>
            <w:noWrap w:val="0"/>
            <w:vAlign w:val="center"/>
          </w:tcPr>
          <w:p>
            <w:pPr>
              <w:pStyle w:val="8"/>
              <w:spacing w:before="174"/>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spacing w:before="174"/>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绝缘电阻和电气强度</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（GB7000.201-2008/GB7000.202-2 08/GB7000.204-2008）第 10 章(第14章)</w:t>
            </w:r>
          </w:p>
        </w:tc>
        <w:tc>
          <w:tcPr>
            <w:tcW w:w="813" w:type="dxa"/>
            <w:noWrap w:val="0"/>
            <w:vAlign w:val="center"/>
          </w:tcPr>
          <w:p>
            <w:pPr>
              <w:pStyle w:val="8"/>
              <w:spacing w:before="173"/>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spacing w:before="173"/>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耐热、耐火和耐起痕</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GB7000.1-2015（GB7000.201-2008/ GB7000.202-2008/GB7000.204-2008）第13章(第15章)</w:t>
            </w:r>
          </w:p>
        </w:tc>
        <w:tc>
          <w:tcPr>
            <w:tcW w:w="813" w:type="dxa"/>
            <w:noWrap w:val="0"/>
            <w:vAlign w:val="center"/>
          </w:tcPr>
          <w:p>
            <w:pPr>
              <w:pStyle w:val="8"/>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ind w:right="27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36" w:type="dxa"/>
            <w:noWrap w:val="0"/>
            <w:vAlign w:val="center"/>
          </w:tcPr>
          <w:p>
            <w:pPr>
              <w:pStyle w:val="8"/>
              <w:jc w:val="center"/>
              <w:rPr>
                <w:rFonts w:hint="eastAsia" w:ascii="仿宋" w:hAnsi="仿宋" w:eastAsia="仿宋" w:cs="仿宋"/>
                <w:sz w:val="21"/>
                <w:szCs w:val="21"/>
                <w:highlight w:val="none"/>
              </w:rPr>
            </w:pP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谐波电流</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17625.1-2012 第7章</w:t>
            </w:r>
          </w:p>
        </w:tc>
        <w:tc>
          <w:tcPr>
            <w:tcW w:w="813" w:type="dxa"/>
            <w:noWrap w:val="0"/>
            <w:vAlign w:val="center"/>
          </w:tcPr>
          <w:p>
            <w:pPr>
              <w:pStyle w:val="8"/>
              <w:spacing w:before="27" w:line="273" w:lineRule="exact"/>
              <w:ind w:left="28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67" w:type="dxa"/>
            <w:noWrap w:val="0"/>
            <w:vAlign w:val="center"/>
          </w:tcPr>
          <w:p>
            <w:pPr>
              <w:pStyle w:val="8"/>
              <w:jc w:val="center"/>
              <w:rPr>
                <w:rFonts w:hint="eastAsia" w:ascii="仿宋" w:hAnsi="仿宋" w:eastAsia="仿宋" w:cs="仿宋"/>
                <w:sz w:val="21"/>
                <w:szCs w:val="21"/>
                <w:highlight w:val="none"/>
              </w:rPr>
            </w:pPr>
          </w:p>
        </w:tc>
        <w:tc>
          <w:tcPr>
            <w:tcW w:w="840" w:type="dxa"/>
            <w:noWrap w:val="0"/>
            <w:vAlign w:val="center"/>
          </w:tcPr>
          <w:p>
            <w:pPr>
              <w:pStyle w:val="8"/>
              <w:jc w:val="center"/>
              <w:rPr>
                <w:rFonts w:hint="eastAsia" w:ascii="仿宋" w:hAnsi="仿宋" w:eastAsia="仿宋" w:cs="仿宋"/>
                <w:sz w:val="21"/>
                <w:szCs w:val="21"/>
                <w:highlight w:val="none"/>
              </w:rPr>
            </w:pPr>
          </w:p>
        </w:tc>
        <w:tc>
          <w:tcPr>
            <w:tcW w:w="836" w:type="dxa"/>
            <w:noWrap w:val="0"/>
            <w:vAlign w:val="center"/>
          </w:tcPr>
          <w:p>
            <w:pPr>
              <w:pStyle w:val="8"/>
              <w:spacing w:before="27" w:line="273" w:lineRule="exact"/>
              <w:ind w:right="2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0"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611" w:type="dxa"/>
            <w:noWrap w:val="0"/>
            <w:vAlign w:val="center"/>
          </w:tcPr>
          <w:p>
            <w:pPr>
              <w:pStyle w:val="8"/>
              <w:spacing w:before="12" w:line="291" w:lineRule="exact"/>
              <w:ind w:left="187" w:right="1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骚扰电压</w:t>
            </w:r>
          </w:p>
        </w:tc>
        <w:tc>
          <w:tcPr>
            <w:tcW w:w="3229" w:type="dxa"/>
            <w:noWrap w:val="0"/>
            <w:vAlign w:val="center"/>
          </w:tcPr>
          <w:p>
            <w:pPr>
              <w:pStyle w:val="8"/>
              <w:spacing w:before="12" w:line="291" w:lineRule="exact"/>
              <w:ind w:left="187" w:right="169"/>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17743-2017或GB/T 17743-2007 第4章</w:t>
            </w:r>
          </w:p>
        </w:tc>
        <w:tc>
          <w:tcPr>
            <w:tcW w:w="813" w:type="dxa"/>
            <w:noWrap w:val="0"/>
            <w:vAlign w:val="center"/>
          </w:tcPr>
          <w:p>
            <w:pPr>
              <w:pStyle w:val="8"/>
              <w:jc w:val="center"/>
              <w:rPr>
                <w:rFonts w:hint="eastAsia" w:ascii="仿宋" w:hAnsi="仿宋" w:eastAsia="仿宋" w:cs="仿宋"/>
                <w:sz w:val="21"/>
                <w:szCs w:val="21"/>
                <w:highlight w:val="none"/>
              </w:rPr>
            </w:pPr>
          </w:p>
        </w:tc>
        <w:tc>
          <w:tcPr>
            <w:tcW w:w="867" w:type="dxa"/>
            <w:noWrap w:val="0"/>
            <w:vAlign w:val="center"/>
          </w:tcPr>
          <w:p>
            <w:pPr>
              <w:pStyle w:val="8"/>
              <w:spacing w:before="180"/>
              <w:ind w:left="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40" w:type="dxa"/>
            <w:noWrap w:val="0"/>
            <w:vAlign w:val="center"/>
          </w:tcPr>
          <w:p>
            <w:pPr>
              <w:pStyle w:val="8"/>
              <w:jc w:val="center"/>
              <w:rPr>
                <w:rFonts w:hint="eastAsia" w:ascii="仿宋" w:hAnsi="仿宋" w:eastAsia="仿宋" w:cs="仿宋"/>
                <w:sz w:val="21"/>
                <w:szCs w:val="21"/>
                <w:highlight w:val="none"/>
              </w:rPr>
            </w:pPr>
          </w:p>
        </w:tc>
        <w:tc>
          <w:tcPr>
            <w:tcW w:w="836" w:type="dxa"/>
            <w:noWrap w:val="0"/>
            <w:vAlign w:val="center"/>
          </w:tcPr>
          <w:p>
            <w:pPr>
              <w:pStyle w:val="8"/>
              <w:spacing w:before="180"/>
              <w:ind w:right="26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91" w:type="dxa"/>
            <w:noWrap w:val="0"/>
            <w:vAlign w:val="top"/>
          </w:tcPr>
          <w:p>
            <w:pPr>
              <w:pStyle w:val="8"/>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67" w:type="dxa"/>
            <w:gridSpan w:val="8"/>
            <w:noWrap w:val="0"/>
            <w:vAlign w:val="center"/>
          </w:tcPr>
          <w:p>
            <w:pPr>
              <w:pStyle w:val="4"/>
              <w:spacing w:before="55" w:line="345" w:lineRule="auto"/>
              <w:ind w:left="744" w:leftChars="0" w:right="105" w:rightChars="50" w:hanging="744" w:hangingChars="400"/>
              <w:jc w:val="both"/>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 xml:space="preserve">备注：①功率小于或等于 </w:t>
            </w:r>
            <w:r>
              <w:rPr>
                <w:rFonts w:hint="eastAsia" w:ascii="仿宋" w:hAnsi="仿宋" w:eastAsia="仿宋" w:cs="仿宋"/>
                <w:sz w:val="21"/>
                <w:szCs w:val="21"/>
                <w:highlight w:val="none"/>
              </w:rPr>
              <w:t>25W</w:t>
            </w:r>
            <w:r>
              <w:rPr>
                <w:rFonts w:hint="eastAsia" w:ascii="仿宋" w:hAnsi="仿宋" w:eastAsia="仿宋" w:cs="仿宋"/>
                <w:spacing w:val="-9"/>
                <w:sz w:val="21"/>
                <w:szCs w:val="21"/>
                <w:highlight w:val="none"/>
              </w:rPr>
              <w:t xml:space="preserve"> 的</w:t>
            </w:r>
            <w:r>
              <w:rPr>
                <w:rFonts w:hint="eastAsia" w:ascii="仿宋" w:hAnsi="仿宋" w:eastAsia="仿宋" w:cs="仿宋"/>
                <w:sz w:val="21"/>
                <w:szCs w:val="21"/>
                <w:highlight w:val="none"/>
              </w:rPr>
              <w:t>LED</w:t>
            </w:r>
            <w:r>
              <w:rPr>
                <w:rFonts w:hint="eastAsia" w:ascii="仿宋" w:hAnsi="仿宋" w:eastAsia="仿宋" w:cs="仿宋"/>
                <w:spacing w:val="-13"/>
                <w:sz w:val="21"/>
                <w:szCs w:val="21"/>
                <w:highlight w:val="none"/>
              </w:rPr>
              <w:t xml:space="preserve"> 灯具不进行谐波电流的</w:t>
            </w:r>
            <w:r>
              <w:rPr>
                <w:rFonts w:hint="eastAsia" w:ascii="仿宋" w:hAnsi="仿宋" w:eastAsia="仿宋" w:cs="仿宋"/>
                <w:spacing w:val="-3"/>
                <w:sz w:val="21"/>
                <w:szCs w:val="21"/>
                <w:highlight w:val="none"/>
              </w:rPr>
              <w:t>检测。</w:t>
            </w:r>
          </w:p>
          <w:p>
            <w:pPr>
              <w:pStyle w:val="4"/>
              <w:spacing w:line="345" w:lineRule="auto"/>
              <w:ind w:left="812" w:leftChars="304" w:right="105" w:rightChars="50" w:hanging="174" w:hangingChars="72"/>
              <w:jc w:val="both"/>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②属于</w:t>
            </w:r>
            <w:r>
              <w:rPr>
                <w:rFonts w:hint="eastAsia" w:ascii="仿宋" w:hAnsi="仿宋" w:eastAsia="仿宋" w:cs="仿宋"/>
                <w:sz w:val="21"/>
                <w:szCs w:val="21"/>
                <w:highlight w:val="none"/>
              </w:rPr>
              <w:t>CCC</w:t>
            </w:r>
            <w:r>
              <w:rPr>
                <w:rFonts w:hint="eastAsia" w:ascii="仿宋" w:hAnsi="仿宋" w:eastAsia="仿宋" w:cs="仿宋"/>
                <w:spacing w:val="-11"/>
                <w:sz w:val="21"/>
                <w:szCs w:val="21"/>
                <w:highlight w:val="none"/>
              </w:rPr>
              <w:t xml:space="preserve"> 范围内的产品没有</w:t>
            </w:r>
            <w:r>
              <w:rPr>
                <w:rFonts w:hint="eastAsia" w:ascii="仿宋" w:hAnsi="仿宋" w:eastAsia="仿宋" w:cs="仿宋"/>
                <w:sz w:val="21"/>
                <w:szCs w:val="21"/>
                <w:highlight w:val="none"/>
              </w:rPr>
              <w:t>CCC</w:t>
            </w:r>
            <w:r>
              <w:rPr>
                <w:rFonts w:hint="eastAsia" w:ascii="仿宋" w:hAnsi="仿宋" w:eastAsia="仿宋" w:cs="仿宋"/>
                <w:spacing w:val="-37"/>
                <w:sz w:val="21"/>
                <w:szCs w:val="21"/>
                <w:highlight w:val="none"/>
              </w:rPr>
              <w:t xml:space="preserve"> 证书不应抽取；若产品 </w:t>
            </w:r>
            <w:r>
              <w:rPr>
                <w:rFonts w:hint="eastAsia" w:ascii="仿宋" w:hAnsi="仿宋" w:eastAsia="仿宋" w:cs="仿宋"/>
                <w:sz w:val="21"/>
                <w:szCs w:val="21"/>
                <w:highlight w:val="none"/>
              </w:rPr>
              <w:t xml:space="preserve">CCC </w:t>
            </w:r>
            <w:r>
              <w:rPr>
                <w:rFonts w:hint="eastAsia" w:ascii="仿宋" w:hAnsi="仿宋" w:eastAsia="仿宋" w:cs="仿宋"/>
                <w:spacing w:val="23"/>
                <w:sz w:val="21"/>
                <w:szCs w:val="21"/>
                <w:highlight w:val="none"/>
              </w:rPr>
              <w:t>证书上</w:t>
            </w:r>
            <w:r>
              <w:rPr>
                <w:rFonts w:hint="eastAsia" w:ascii="仿宋" w:hAnsi="仿宋" w:eastAsia="仿宋" w:cs="仿宋"/>
                <w:sz w:val="21"/>
                <w:szCs w:val="21"/>
                <w:highlight w:val="none"/>
              </w:rPr>
              <w:t>GB/T 17743</w:t>
            </w:r>
            <w:r>
              <w:rPr>
                <w:rFonts w:hint="eastAsia" w:ascii="仿宋" w:hAnsi="仿宋" w:eastAsia="仿宋" w:cs="仿宋"/>
                <w:spacing w:val="-33"/>
                <w:sz w:val="21"/>
                <w:szCs w:val="21"/>
                <w:highlight w:val="none"/>
              </w:rPr>
              <w:t xml:space="preserve"> 的版本为 </w:t>
            </w:r>
            <w:r>
              <w:rPr>
                <w:rFonts w:hint="eastAsia" w:ascii="仿宋" w:hAnsi="仿宋" w:eastAsia="仿宋" w:cs="仿宋"/>
                <w:sz w:val="21"/>
                <w:szCs w:val="21"/>
                <w:highlight w:val="none"/>
              </w:rPr>
              <w:t>2007</w:t>
            </w:r>
            <w:r>
              <w:rPr>
                <w:rFonts w:hint="eastAsia" w:ascii="仿宋" w:hAnsi="仿宋" w:eastAsia="仿宋" w:cs="仿宋"/>
                <w:spacing w:val="-6"/>
                <w:sz w:val="21"/>
                <w:szCs w:val="21"/>
                <w:highlight w:val="none"/>
              </w:rPr>
              <w:t xml:space="preserve"> 版时，按照</w:t>
            </w:r>
            <w:r>
              <w:rPr>
                <w:rFonts w:hint="eastAsia" w:ascii="仿宋" w:hAnsi="仿宋" w:eastAsia="仿宋" w:cs="仿宋"/>
                <w:sz w:val="21"/>
                <w:szCs w:val="21"/>
                <w:highlight w:val="none"/>
              </w:rPr>
              <w:t xml:space="preserve">GB/T </w:t>
            </w:r>
            <w:r>
              <w:rPr>
                <w:rFonts w:hint="eastAsia" w:ascii="仿宋" w:hAnsi="仿宋" w:eastAsia="仿宋" w:cs="仿宋"/>
                <w:spacing w:val="-3"/>
                <w:sz w:val="21"/>
                <w:szCs w:val="21"/>
                <w:highlight w:val="none"/>
              </w:rPr>
              <w:t xml:space="preserve">17743-2007 </w:t>
            </w:r>
            <w:r>
              <w:rPr>
                <w:rFonts w:hint="eastAsia" w:ascii="仿宋" w:hAnsi="仿宋" w:eastAsia="仿宋" w:cs="仿宋"/>
                <w:spacing w:val="2"/>
                <w:sz w:val="21"/>
                <w:szCs w:val="21"/>
                <w:highlight w:val="none"/>
              </w:rPr>
              <w:t>进行试验和判定；若产品</w:t>
            </w:r>
            <w:r>
              <w:rPr>
                <w:rFonts w:hint="eastAsia" w:ascii="仿宋" w:hAnsi="仿宋" w:eastAsia="仿宋" w:cs="仿宋"/>
                <w:sz w:val="21"/>
                <w:szCs w:val="21"/>
                <w:highlight w:val="none"/>
              </w:rPr>
              <w:t>CCC</w:t>
            </w:r>
            <w:r>
              <w:rPr>
                <w:rFonts w:hint="eastAsia" w:ascii="仿宋" w:hAnsi="仿宋" w:eastAsia="仿宋" w:cs="仿宋"/>
                <w:spacing w:val="-7"/>
                <w:sz w:val="21"/>
                <w:szCs w:val="21"/>
                <w:highlight w:val="none"/>
              </w:rPr>
              <w:t xml:space="preserve"> 证书上</w:t>
            </w:r>
            <w:r>
              <w:rPr>
                <w:rFonts w:hint="eastAsia" w:ascii="仿宋" w:hAnsi="仿宋" w:eastAsia="仿宋" w:cs="仿宋"/>
                <w:sz w:val="21"/>
                <w:szCs w:val="21"/>
                <w:highlight w:val="none"/>
              </w:rPr>
              <w:t>GB/T 17743</w:t>
            </w:r>
            <w:r>
              <w:rPr>
                <w:rFonts w:hint="eastAsia" w:ascii="仿宋" w:hAnsi="仿宋" w:eastAsia="仿宋" w:cs="仿宋"/>
                <w:spacing w:val="-34"/>
                <w:sz w:val="21"/>
                <w:szCs w:val="21"/>
                <w:highlight w:val="none"/>
              </w:rPr>
              <w:t xml:space="preserve"> 的版本为 </w:t>
            </w:r>
            <w:r>
              <w:rPr>
                <w:rFonts w:hint="eastAsia" w:ascii="仿宋" w:hAnsi="仿宋" w:eastAsia="仿宋" w:cs="仿宋"/>
                <w:sz w:val="21"/>
                <w:szCs w:val="21"/>
                <w:highlight w:val="none"/>
              </w:rPr>
              <w:t xml:space="preserve">2017 </w:t>
            </w:r>
            <w:r>
              <w:rPr>
                <w:rFonts w:hint="eastAsia" w:ascii="仿宋" w:hAnsi="仿宋" w:eastAsia="仿宋" w:cs="仿宋"/>
                <w:spacing w:val="11"/>
                <w:sz w:val="21"/>
                <w:szCs w:val="21"/>
                <w:highlight w:val="none"/>
              </w:rPr>
              <w:t>版时，按照</w:t>
            </w:r>
            <w:r>
              <w:rPr>
                <w:rFonts w:hint="eastAsia" w:ascii="仿宋" w:hAnsi="仿宋" w:eastAsia="仿宋" w:cs="仿宋"/>
                <w:sz w:val="21"/>
                <w:szCs w:val="21"/>
                <w:highlight w:val="none"/>
              </w:rPr>
              <w:t>GB/T 17743-2017</w:t>
            </w:r>
            <w:r>
              <w:rPr>
                <w:rFonts w:hint="eastAsia" w:ascii="仿宋" w:hAnsi="仿宋" w:eastAsia="仿宋" w:cs="仿宋"/>
                <w:spacing w:val="-15"/>
                <w:sz w:val="21"/>
                <w:szCs w:val="21"/>
                <w:highlight w:val="none"/>
              </w:rPr>
              <w:t xml:space="preserve"> 进行试验和判定。</w:t>
            </w:r>
          </w:p>
          <w:p>
            <w:pPr>
              <w:pStyle w:val="8"/>
              <w:rPr>
                <w:rFonts w:hint="eastAsia" w:ascii="仿宋" w:hAnsi="仿宋" w:eastAsia="仿宋" w:cs="仿宋"/>
                <w:sz w:val="21"/>
                <w:szCs w:val="21"/>
                <w:highlight w:val="none"/>
              </w:rPr>
            </w:pPr>
          </w:p>
        </w:tc>
      </w:tr>
    </w:tbl>
    <w:p>
      <w:pPr>
        <w:pStyle w:val="3"/>
        <w:numPr>
          <w:ilvl w:val="0"/>
          <w:numId w:val="0"/>
        </w:numPr>
        <w:tabs>
          <w:tab w:val="left" w:pos="1853"/>
        </w:tabs>
        <w:spacing w:before="0" w:after="24" w:line="240" w:lineRule="auto"/>
        <w:ind w:leftChars="0" w:right="105" w:rightChars="50"/>
        <w:jc w:val="left"/>
        <w:rPr>
          <w:rFonts w:hint="eastAsia" w:ascii="仿宋_GB2312" w:hAnsi="仿宋_GB2312" w:eastAsia="仿宋_GB2312" w:cs="仿宋_GB2312"/>
          <w:b w:val="0"/>
          <w:bCs w:val="0"/>
          <w:highlight w:val="none"/>
        </w:rPr>
      </w:pPr>
      <w:r>
        <w:rPr>
          <w:rFonts w:hint="eastAsia" w:cs="仿宋_GB2312"/>
          <w:b w:val="0"/>
          <w:bCs w:val="0"/>
          <w:spacing w:val="-3"/>
          <w:highlight w:val="none"/>
          <w:lang w:val="en-US" w:eastAsia="zh-CN"/>
        </w:rPr>
        <w:t>2.</w:t>
      </w:r>
      <w:r>
        <w:rPr>
          <w:rFonts w:hint="eastAsia" w:ascii="仿宋_GB2312" w:hAnsi="仿宋_GB2312" w:eastAsia="仿宋_GB2312" w:cs="仿宋_GB2312"/>
          <w:b w:val="0"/>
          <w:bCs w:val="0"/>
          <w:spacing w:val="-3"/>
          <w:highlight w:val="none"/>
        </w:rPr>
        <w:t>装饰用灯（灯串</w:t>
      </w:r>
      <w:r>
        <w:rPr>
          <w:rFonts w:hint="eastAsia" w:ascii="仿宋_GB2312" w:hAnsi="仿宋_GB2312" w:eastAsia="仿宋_GB2312" w:cs="仿宋_GB2312"/>
          <w:b w:val="0"/>
          <w:bCs w:val="0"/>
          <w:highlight w:val="none"/>
        </w:rPr>
        <w:t>）</w:t>
      </w:r>
    </w:p>
    <w:tbl>
      <w:tblPr>
        <w:tblStyle w:val="5"/>
        <w:tblW w:w="9410"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67"/>
        <w:gridCol w:w="2412"/>
        <w:gridCol w:w="922"/>
        <w:gridCol w:w="919"/>
        <w:gridCol w:w="926"/>
        <w:gridCol w:w="922"/>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20"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667"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412"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922"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919"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926"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922"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较重要项</w:t>
            </w:r>
          </w:p>
        </w:tc>
        <w:tc>
          <w:tcPr>
            <w:tcW w:w="922"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标记</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3 章(第 5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结构</w:t>
            </w:r>
          </w:p>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（含光生物危害）</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4 章(第 6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爬电距离和电气间隙</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11 章(第 7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接地规定</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7 章(第 8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外部和内部接线</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5 章(第 10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p>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防触电保护</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8 章(第 11 章)</w:t>
            </w:r>
          </w:p>
        </w:tc>
        <w:tc>
          <w:tcPr>
            <w:tcW w:w="922"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绝缘电阻和电气强度</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10 章(第 14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耐热、耐火和耐起痕</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（GB7000.9-2008）</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第 13 章(第 15 </w:t>
            </w:r>
            <w:r>
              <w:rPr>
                <w:rFonts w:hint="eastAsia" w:ascii="仿宋" w:hAnsi="仿宋" w:eastAsia="仿宋" w:cs="仿宋"/>
                <w:sz w:val="21"/>
                <w:szCs w:val="21"/>
                <w:highlight w:val="none"/>
                <w:lang w:val="en-US" w:eastAsia="zh-CN"/>
              </w:rPr>
              <w:t>章</w:t>
            </w: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谐波电流</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17625.1-2012</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7 章</w:t>
            </w:r>
          </w:p>
        </w:tc>
        <w:tc>
          <w:tcPr>
            <w:tcW w:w="922" w:type="dxa"/>
            <w:noWrap w:val="0"/>
            <w:vAlign w:val="center"/>
          </w:tcPr>
          <w:p>
            <w:pPr>
              <w:pStyle w:val="8"/>
              <w:spacing w:before="196"/>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center"/>
          </w:tcPr>
          <w:p>
            <w:pPr>
              <w:pStyle w:val="8"/>
              <w:spacing w:before="196"/>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667"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骚扰电压</w:t>
            </w:r>
          </w:p>
        </w:tc>
        <w:tc>
          <w:tcPr>
            <w:tcW w:w="2412"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17743-2017 或GB/T 17743-2007</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4 章</w:t>
            </w: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1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6"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22"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22"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410" w:type="dxa"/>
            <w:gridSpan w:val="8"/>
            <w:noWrap w:val="0"/>
            <w:vAlign w:val="center"/>
          </w:tcPr>
          <w:p>
            <w:pPr>
              <w:pStyle w:val="4"/>
              <w:spacing w:before="54" w:line="345" w:lineRule="auto"/>
              <w:ind w:left="752" w:leftChars="0" w:right="105" w:rightChars="50" w:hanging="752" w:hangingChars="400"/>
              <w:jc w:val="both"/>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 xml:space="preserve">备注：①功率小于或等于 </w:t>
            </w:r>
            <w:r>
              <w:rPr>
                <w:rFonts w:hint="eastAsia" w:ascii="仿宋" w:hAnsi="仿宋" w:eastAsia="仿宋" w:cs="仿宋"/>
                <w:sz w:val="21"/>
                <w:szCs w:val="21"/>
                <w:highlight w:val="none"/>
              </w:rPr>
              <w:t>25W</w:t>
            </w:r>
            <w:r>
              <w:rPr>
                <w:rFonts w:hint="eastAsia" w:ascii="仿宋" w:hAnsi="仿宋" w:eastAsia="仿宋" w:cs="仿宋"/>
                <w:spacing w:val="-7"/>
                <w:sz w:val="21"/>
                <w:szCs w:val="21"/>
                <w:highlight w:val="none"/>
              </w:rPr>
              <w:t xml:space="preserve"> 的</w:t>
            </w:r>
            <w:r>
              <w:rPr>
                <w:rFonts w:hint="eastAsia" w:ascii="仿宋" w:hAnsi="仿宋" w:eastAsia="仿宋" w:cs="仿宋"/>
                <w:sz w:val="21"/>
                <w:szCs w:val="21"/>
                <w:highlight w:val="none"/>
              </w:rPr>
              <w:t>LED</w:t>
            </w:r>
            <w:r>
              <w:rPr>
                <w:rFonts w:hint="eastAsia" w:ascii="仿宋" w:hAnsi="仿宋" w:eastAsia="仿宋" w:cs="仿宋"/>
                <w:spacing w:val="-12"/>
                <w:sz w:val="21"/>
                <w:szCs w:val="21"/>
                <w:highlight w:val="none"/>
              </w:rPr>
              <w:t xml:space="preserve"> 灯具不进行谐波电流的</w:t>
            </w:r>
            <w:r>
              <w:rPr>
                <w:rFonts w:hint="eastAsia" w:ascii="仿宋" w:hAnsi="仿宋" w:eastAsia="仿宋" w:cs="仿宋"/>
                <w:spacing w:val="-18"/>
                <w:w w:val="95"/>
                <w:sz w:val="21"/>
                <w:szCs w:val="21"/>
                <w:highlight w:val="none"/>
              </w:rPr>
              <w:t>检测。没有认证证书或者明示标准的灯串不进行骚扰电压的检测。</w:t>
            </w:r>
          </w:p>
          <w:p>
            <w:pPr>
              <w:pStyle w:val="4"/>
              <w:spacing w:line="345" w:lineRule="auto"/>
              <w:ind w:left="836" w:leftChars="226" w:right="105" w:rightChars="50" w:hanging="361" w:hangingChars="166"/>
              <w:jc w:val="both"/>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②若产品自愿认证证书上</w:t>
            </w:r>
            <w:r>
              <w:rPr>
                <w:rFonts w:hint="eastAsia" w:ascii="仿宋" w:hAnsi="仿宋" w:eastAsia="仿宋" w:cs="仿宋"/>
                <w:sz w:val="21"/>
                <w:szCs w:val="21"/>
                <w:highlight w:val="none"/>
              </w:rPr>
              <w:t>GB/T 17743</w:t>
            </w:r>
            <w:r>
              <w:rPr>
                <w:rFonts w:hint="eastAsia" w:ascii="仿宋" w:hAnsi="仿宋" w:eastAsia="仿宋" w:cs="仿宋"/>
                <w:spacing w:val="-32"/>
                <w:sz w:val="21"/>
                <w:szCs w:val="21"/>
                <w:highlight w:val="none"/>
              </w:rPr>
              <w:t xml:space="preserve"> 的版本为 </w:t>
            </w:r>
            <w:r>
              <w:rPr>
                <w:rFonts w:hint="eastAsia" w:ascii="仿宋" w:hAnsi="仿宋" w:eastAsia="仿宋" w:cs="仿宋"/>
                <w:sz w:val="21"/>
                <w:szCs w:val="21"/>
                <w:highlight w:val="none"/>
              </w:rPr>
              <w:t>2007</w:t>
            </w:r>
            <w:r>
              <w:rPr>
                <w:rFonts w:hint="eastAsia" w:ascii="仿宋" w:hAnsi="仿宋" w:eastAsia="仿宋" w:cs="仿宋"/>
                <w:spacing w:val="-24"/>
                <w:sz w:val="21"/>
                <w:szCs w:val="21"/>
                <w:highlight w:val="none"/>
              </w:rPr>
              <w:t xml:space="preserve"> 版时， </w:t>
            </w:r>
            <w:r>
              <w:rPr>
                <w:rFonts w:hint="eastAsia" w:ascii="仿宋" w:hAnsi="仿宋" w:eastAsia="仿宋" w:cs="仿宋"/>
                <w:spacing w:val="36"/>
                <w:sz w:val="21"/>
                <w:szCs w:val="21"/>
                <w:highlight w:val="none"/>
              </w:rPr>
              <w:t>按照</w:t>
            </w:r>
            <w:r>
              <w:rPr>
                <w:rFonts w:hint="eastAsia" w:ascii="仿宋" w:hAnsi="仿宋" w:eastAsia="仿宋" w:cs="仿宋"/>
                <w:sz w:val="21"/>
                <w:szCs w:val="21"/>
                <w:highlight w:val="none"/>
              </w:rPr>
              <w:t>GB/T 17743-2007</w:t>
            </w:r>
            <w:r>
              <w:rPr>
                <w:rFonts w:hint="eastAsia" w:ascii="仿宋" w:hAnsi="仿宋" w:eastAsia="仿宋" w:cs="仿宋"/>
                <w:spacing w:val="-12"/>
                <w:sz w:val="21"/>
                <w:szCs w:val="21"/>
                <w:highlight w:val="none"/>
              </w:rPr>
              <w:t xml:space="preserve"> 进行试验和判定；若产品自愿认证证书上GB/T </w:t>
            </w:r>
            <w:r>
              <w:rPr>
                <w:rFonts w:hint="eastAsia" w:ascii="仿宋" w:hAnsi="仿宋" w:eastAsia="仿宋" w:cs="仿宋"/>
                <w:sz w:val="21"/>
                <w:szCs w:val="21"/>
                <w:highlight w:val="none"/>
              </w:rPr>
              <w:t>17743</w:t>
            </w:r>
            <w:r>
              <w:rPr>
                <w:rFonts w:hint="eastAsia" w:ascii="仿宋" w:hAnsi="仿宋" w:eastAsia="仿宋" w:cs="仿宋"/>
                <w:spacing w:val="-28"/>
                <w:sz w:val="21"/>
                <w:szCs w:val="21"/>
                <w:highlight w:val="none"/>
              </w:rPr>
              <w:t xml:space="preserve"> 的版本为 </w:t>
            </w:r>
            <w:r>
              <w:rPr>
                <w:rFonts w:hint="eastAsia" w:ascii="仿宋" w:hAnsi="仿宋" w:eastAsia="仿宋" w:cs="仿宋"/>
                <w:sz w:val="21"/>
                <w:szCs w:val="21"/>
                <w:highlight w:val="none"/>
              </w:rPr>
              <w:t>2017</w:t>
            </w:r>
            <w:r>
              <w:rPr>
                <w:rFonts w:hint="eastAsia" w:ascii="仿宋" w:hAnsi="仿宋" w:eastAsia="仿宋" w:cs="仿宋"/>
                <w:spacing w:val="-24"/>
                <w:sz w:val="21"/>
                <w:szCs w:val="21"/>
                <w:highlight w:val="none"/>
              </w:rPr>
              <w:t xml:space="preserve"> 版时，按照 </w:t>
            </w:r>
            <w:r>
              <w:rPr>
                <w:rFonts w:hint="eastAsia" w:ascii="仿宋" w:hAnsi="仿宋" w:eastAsia="仿宋" w:cs="仿宋"/>
                <w:sz w:val="21"/>
                <w:szCs w:val="21"/>
                <w:highlight w:val="none"/>
              </w:rPr>
              <w:t>GB/T 17743-2017</w:t>
            </w:r>
            <w:r>
              <w:rPr>
                <w:rFonts w:hint="eastAsia" w:ascii="仿宋" w:hAnsi="仿宋" w:eastAsia="仿宋" w:cs="仿宋"/>
                <w:spacing w:val="-21"/>
                <w:sz w:val="21"/>
                <w:szCs w:val="21"/>
                <w:highlight w:val="none"/>
              </w:rPr>
              <w:t xml:space="preserve"> 进行试</w:t>
            </w:r>
            <w:r>
              <w:rPr>
                <w:rFonts w:hint="eastAsia" w:ascii="仿宋" w:hAnsi="仿宋" w:eastAsia="仿宋" w:cs="仿宋"/>
                <w:spacing w:val="1"/>
                <w:sz w:val="21"/>
                <w:szCs w:val="21"/>
                <w:highlight w:val="none"/>
              </w:rPr>
              <w:t>验和判定。若灯串没有认证证书但是明示了</w:t>
            </w:r>
            <w:r>
              <w:rPr>
                <w:rFonts w:hint="eastAsia" w:ascii="仿宋" w:hAnsi="仿宋" w:eastAsia="仿宋" w:cs="仿宋"/>
                <w:sz w:val="21"/>
                <w:szCs w:val="21"/>
                <w:highlight w:val="none"/>
              </w:rPr>
              <w:t>GB/T</w:t>
            </w:r>
            <w:r>
              <w:rPr>
                <w:rFonts w:hint="eastAsia" w:ascii="仿宋" w:hAnsi="仿宋" w:eastAsia="仿宋" w:cs="仿宋"/>
                <w:spacing w:val="-103"/>
                <w:sz w:val="21"/>
                <w:szCs w:val="21"/>
                <w:highlight w:val="none"/>
              </w:rPr>
              <w:t xml:space="preserve"> </w:t>
            </w:r>
            <w:r>
              <w:rPr>
                <w:rFonts w:hint="eastAsia" w:ascii="仿宋" w:hAnsi="仿宋" w:eastAsia="仿宋" w:cs="仿宋"/>
                <w:spacing w:val="-3"/>
                <w:sz w:val="21"/>
                <w:szCs w:val="21"/>
                <w:highlight w:val="none"/>
              </w:rPr>
              <w:t>17743，则按照</w:t>
            </w:r>
            <w:r>
              <w:rPr>
                <w:rFonts w:hint="eastAsia" w:ascii="仿宋" w:hAnsi="仿宋" w:eastAsia="仿宋" w:cs="仿宋"/>
                <w:spacing w:val="-5"/>
                <w:sz w:val="21"/>
                <w:szCs w:val="21"/>
                <w:highlight w:val="none"/>
              </w:rPr>
              <w:t>明示的标准版本进行试验和判定。</w:t>
            </w:r>
          </w:p>
          <w:p>
            <w:pPr>
              <w:pStyle w:val="8"/>
              <w:ind w:left="0" w:leftChars="0" w:right="105" w:rightChars="50" w:firstLine="0" w:firstLineChars="0"/>
              <w:rPr>
                <w:rFonts w:hint="eastAsia" w:ascii="仿宋" w:hAnsi="仿宋" w:eastAsia="仿宋" w:cs="仿宋"/>
                <w:sz w:val="21"/>
                <w:szCs w:val="21"/>
                <w:highlight w:val="none"/>
              </w:rPr>
            </w:pPr>
          </w:p>
        </w:tc>
      </w:tr>
    </w:tbl>
    <w:p>
      <w:pPr>
        <w:pStyle w:val="4"/>
        <w:spacing w:before="8"/>
        <w:ind w:left="0" w:leftChars="0" w:right="105" w:rightChars="50" w:firstLine="0" w:firstLineChars="0"/>
        <w:rPr>
          <w:rFonts w:hint="eastAsia" w:ascii="仿宋" w:hAnsi="仿宋" w:eastAsia="仿宋" w:cs="仿宋"/>
          <w:b/>
          <w:sz w:val="21"/>
          <w:szCs w:val="21"/>
          <w:highlight w:val="none"/>
        </w:rPr>
      </w:pPr>
    </w:p>
    <w:p>
      <w:pPr>
        <w:pStyle w:val="3"/>
        <w:numPr>
          <w:ilvl w:val="0"/>
          <w:numId w:val="0"/>
        </w:numPr>
        <w:tabs>
          <w:tab w:val="left" w:pos="1853"/>
        </w:tabs>
        <w:spacing w:before="0" w:after="28" w:line="408" w:lineRule="exact"/>
        <w:ind w:leftChars="0" w:right="105" w:rightChars="50"/>
        <w:jc w:val="left"/>
        <w:rPr>
          <w:rFonts w:hint="eastAsia" w:ascii="仿宋_GB2312" w:hAnsi="仿宋_GB2312" w:eastAsia="仿宋_GB2312" w:cs="仿宋_GB2312"/>
          <w:b w:val="0"/>
          <w:bCs w:val="0"/>
          <w:highlight w:val="none"/>
        </w:rPr>
      </w:pPr>
      <w:r>
        <w:rPr>
          <w:rFonts w:hint="eastAsia" w:cs="仿宋_GB2312"/>
          <w:b w:val="0"/>
          <w:bCs w:val="0"/>
          <w:spacing w:val="-3"/>
          <w:highlight w:val="none"/>
          <w:lang w:val="en-US" w:eastAsia="zh-CN"/>
        </w:rPr>
        <w:t>3.</w:t>
      </w:r>
      <w:r>
        <w:rPr>
          <w:rFonts w:hint="eastAsia" w:ascii="仿宋_GB2312" w:hAnsi="仿宋_GB2312" w:eastAsia="仿宋_GB2312" w:cs="仿宋_GB2312"/>
          <w:b w:val="0"/>
          <w:bCs w:val="0"/>
          <w:spacing w:val="-3"/>
          <w:highlight w:val="none"/>
        </w:rPr>
        <w:t>电光源、灯具及照明装置零件</w:t>
      </w:r>
      <w:r>
        <w:rPr>
          <w:rFonts w:hint="eastAsia" w:ascii="仿宋_GB2312" w:hAnsi="仿宋_GB2312" w:eastAsia="仿宋_GB2312" w:cs="仿宋_GB2312"/>
          <w:b w:val="0"/>
          <w:bCs w:val="0"/>
          <w:highlight w:val="none"/>
        </w:rPr>
        <w:t>（LED</w:t>
      </w:r>
      <w:r>
        <w:rPr>
          <w:rFonts w:hint="eastAsia" w:ascii="仿宋_GB2312" w:hAnsi="仿宋_GB2312" w:eastAsia="仿宋_GB2312" w:cs="仿宋_GB2312"/>
          <w:b w:val="0"/>
          <w:bCs w:val="0"/>
          <w:spacing w:val="-25"/>
          <w:highlight w:val="none"/>
        </w:rPr>
        <w:t xml:space="preserve"> 球泡灯</w:t>
      </w:r>
      <w:r>
        <w:rPr>
          <w:rFonts w:hint="eastAsia" w:ascii="仿宋_GB2312" w:hAnsi="仿宋_GB2312" w:eastAsia="仿宋_GB2312" w:cs="仿宋_GB2312"/>
          <w:b w:val="0"/>
          <w:bCs w:val="0"/>
          <w:highlight w:val="none"/>
        </w:rPr>
        <w:t>）</w:t>
      </w:r>
    </w:p>
    <w:tbl>
      <w:tblPr>
        <w:tblStyle w:val="5"/>
        <w:tblW w:w="9456"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81"/>
        <w:gridCol w:w="2419"/>
        <w:gridCol w:w="935"/>
        <w:gridCol w:w="808"/>
        <w:gridCol w:w="1063"/>
        <w:gridCol w:w="935"/>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80"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581"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419"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935"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808"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1063"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935"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较重要</w:t>
            </w:r>
          </w:p>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w:t>
            </w:r>
          </w:p>
        </w:tc>
        <w:tc>
          <w:tcPr>
            <w:tcW w:w="935" w:type="dxa"/>
            <w:shd w:val="clear" w:color="auto" w:fill="EDEBE0"/>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81"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w:t>
            </w:r>
          </w:p>
        </w:tc>
        <w:tc>
          <w:tcPr>
            <w:tcW w:w="2419"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5 章</w:t>
            </w:r>
          </w:p>
        </w:tc>
        <w:tc>
          <w:tcPr>
            <w:tcW w:w="935" w:type="dxa"/>
            <w:noWrap w:val="0"/>
            <w:vAlign w:val="center"/>
          </w:tcPr>
          <w:p>
            <w:pPr>
              <w:pStyle w:val="8"/>
              <w:spacing w:before="160"/>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1063"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center"/>
          </w:tcPr>
          <w:p>
            <w:pPr>
              <w:pStyle w:val="8"/>
              <w:spacing w:before="160"/>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81"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互换性</w:t>
            </w:r>
          </w:p>
        </w:tc>
        <w:tc>
          <w:tcPr>
            <w:tcW w:w="2419"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6 章</w:t>
            </w:r>
          </w:p>
        </w:tc>
        <w:tc>
          <w:tcPr>
            <w:tcW w:w="935" w:type="dxa"/>
            <w:noWrap w:val="0"/>
            <w:vAlign w:val="center"/>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1063" w:type="dxa"/>
            <w:noWrap w:val="0"/>
            <w:vAlign w:val="center"/>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581"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意外接触带电部件的防护</w:t>
            </w:r>
          </w:p>
        </w:tc>
        <w:tc>
          <w:tcPr>
            <w:tcW w:w="2419"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7 章</w:t>
            </w:r>
          </w:p>
        </w:tc>
        <w:tc>
          <w:tcPr>
            <w:tcW w:w="935" w:type="dxa"/>
            <w:noWrap w:val="0"/>
            <w:vAlign w:val="center"/>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1063" w:type="dxa"/>
            <w:noWrap w:val="0"/>
            <w:vAlign w:val="center"/>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0"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p>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581" w:type="dxa"/>
            <w:noWrap w:val="0"/>
            <w:vAlign w:val="center"/>
          </w:tcPr>
          <w:p>
            <w:pPr>
              <w:pStyle w:val="8"/>
              <w:spacing w:before="12" w:line="291"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潮湿处理后的绝缘电阻和介电强度</w:t>
            </w:r>
          </w:p>
        </w:tc>
        <w:tc>
          <w:tcPr>
            <w:tcW w:w="2419"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8 章</w:t>
            </w:r>
          </w:p>
        </w:tc>
        <w:tc>
          <w:tcPr>
            <w:tcW w:w="935"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1063"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center"/>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581" w:type="dxa"/>
            <w:noWrap w:val="0"/>
            <w:vAlign w:val="center"/>
          </w:tcPr>
          <w:p>
            <w:pPr>
              <w:pStyle w:val="8"/>
              <w:spacing w:before="149"/>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机械强度</w:t>
            </w:r>
          </w:p>
        </w:tc>
        <w:tc>
          <w:tcPr>
            <w:tcW w:w="2419" w:type="dxa"/>
            <w:noWrap w:val="0"/>
            <w:vAlign w:val="center"/>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line="277"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9 章</w:t>
            </w:r>
          </w:p>
        </w:tc>
        <w:tc>
          <w:tcPr>
            <w:tcW w:w="935" w:type="dxa"/>
            <w:noWrap w:val="0"/>
            <w:vAlign w:val="center"/>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1063" w:type="dxa"/>
            <w:noWrap w:val="0"/>
            <w:vAlign w:val="center"/>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top"/>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581" w:type="dxa"/>
            <w:noWrap w:val="0"/>
            <w:vAlign w:val="top"/>
          </w:tcPr>
          <w:p>
            <w:pPr>
              <w:pStyle w:val="8"/>
              <w:spacing w:before="149"/>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耐热性</w:t>
            </w:r>
          </w:p>
        </w:tc>
        <w:tc>
          <w:tcPr>
            <w:tcW w:w="2419" w:type="dxa"/>
            <w:noWrap w:val="0"/>
            <w:vAlign w:val="top"/>
          </w:tcPr>
          <w:p>
            <w:pPr>
              <w:pStyle w:val="8"/>
              <w:spacing w:before="12"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line="277"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11 章</w:t>
            </w:r>
          </w:p>
        </w:tc>
        <w:tc>
          <w:tcPr>
            <w:tcW w:w="935" w:type="dxa"/>
            <w:noWrap w:val="0"/>
            <w:vAlign w:val="top"/>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1063" w:type="dxa"/>
            <w:noWrap w:val="0"/>
            <w:vAlign w:val="top"/>
          </w:tcPr>
          <w:p>
            <w:pPr>
              <w:pStyle w:val="8"/>
              <w:spacing w:before="16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0" w:type="dxa"/>
            <w:noWrap w:val="0"/>
            <w:vAlign w:val="top"/>
          </w:tcPr>
          <w:p>
            <w:pPr>
              <w:pStyle w:val="8"/>
              <w:spacing w:before="160"/>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581" w:type="dxa"/>
            <w:noWrap w:val="0"/>
            <w:vAlign w:val="top"/>
          </w:tcPr>
          <w:p>
            <w:pPr>
              <w:pStyle w:val="8"/>
              <w:spacing w:before="149"/>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防火与防燃</w:t>
            </w:r>
          </w:p>
        </w:tc>
        <w:tc>
          <w:tcPr>
            <w:tcW w:w="2419" w:type="dxa"/>
            <w:noWrap w:val="0"/>
            <w:vAlign w:val="top"/>
          </w:tcPr>
          <w:p>
            <w:pPr>
              <w:pStyle w:val="8"/>
              <w:spacing w:before="11"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24906-2010</w:t>
            </w:r>
          </w:p>
          <w:p>
            <w:pPr>
              <w:pStyle w:val="8"/>
              <w:spacing w:line="278"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12 章</w:t>
            </w:r>
          </w:p>
        </w:tc>
        <w:tc>
          <w:tcPr>
            <w:tcW w:w="935" w:type="dxa"/>
            <w:noWrap w:val="0"/>
            <w:vAlign w:val="top"/>
          </w:tcPr>
          <w:p>
            <w:pPr>
              <w:pStyle w:val="8"/>
              <w:spacing w:before="160"/>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1063" w:type="dxa"/>
            <w:noWrap w:val="0"/>
            <w:vAlign w:val="top"/>
          </w:tcPr>
          <w:p>
            <w:pPr>
              <w:pStyle w:val="8"/>
              <w:spacing w:before="160"/>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80" w:type="dxa"/>
            <w:noWrap w:val="0"/>
            <w:vAlign w:val="top"/>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581" w:type="dxa"/>
            <w:noWrap w:val="0"/>
            <w:vAlign w:val="top"/>
          </w:tcPr>
          <w:p>
            <w:pPr>
              <w:pStyle w:val="8"/>
              <w:spacing w:before="15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谐波电流</w:t>
            </w:r>
          </w:p>
        </w:tc>
        <w:tc>
          <w:tcPr>
            <w:tcW w:w="2419" w:type="dxa"/>
            <w:noWrap w:val="0"/>
            <w:vAlign w:val="top"/>
          </w:tcPr>
          <w:p>
            <w:pPr>
              <w:pStyle w:val="8"/>
              <w:spacing w:before="11"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17625.1-2012</w:t>
            </w:r>
          </w:p>
          <w:p>
            <w:pPr>
              <w:pStyle w:val="8"/>
              <w:spacing w:line="276"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7 章</w:t>
            </w:r>
          </w:p>
        </w:tc>
        <w:tc>
          <w:tcPr>
            <w:tcW w:w="935" w:type="dxa"/>
            <w:noWrap w:val="0"/>
            <w:vAlign w:val="top"/>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08"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1063"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c>
          <w:tcPr>
            <w:tcW w:w="935" w:type="dxa"/>
            <w:noWrap w:val="0"/>
            <w:vAlign w:val="top"/>
          </w:tcPr>
          <w:p>
            <w:pPr>
              <w:pStyle w:val="8"/>
              <w:spacing w:before="162"/>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581" w:type="dxa"/>
            <w:noWrap w:val="0"/>
            <w:vAlign w:val="center"/>
          </w:tcPr>
          <w:p>
            <w:pPr>
              <w:pStyle w:val="8"/>
              <w:ind w:left="0" w:leftChars="0" w:right="105" w:rightChars="5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骚扰电压</w:t>
            </w:r>
          </w:p>
        </w:tc>
        <w:tc>
          <w:tcPr>
            <w:tcW w:w="2419" w:type="dxa"/>
            <w:noWrap w:val="0"/>
            <w:vAlign w:val="center"/>
          </w:tcPr>
          <w:p>
            <w:pPr>
              <w:pStyle w:val="8"/>
              <w:spacing w:before="11"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GB/T 17743-2017 </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GB/T 17743-2007</w:t>
            </w:r>
          </w:p>
          <w:p>
            <w:pPr>
              <w:pStyle w:val="8"/>
              <w:spacing w:before="11" w:line="291"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4 章</w:t>
            </w: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08"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063"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935"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935"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9456" w:type="dxa"/>
            <w:gridSpan w:val="8"/>
            <w:noWrap w:val="0"/>
            <w:vAlign w:val="center"/>
          </w:tcPr>
          <w:p>
            <w:pPr>
              <w:pStyle w:val="4"/>
              <w:spacing w:before="54" w:line="345" w:lineRule="auto"/>
              <w:ind w:left="744" w:leftChars="0" w:right="105" w:rightChars="50" w:hanging="744" w:hangingChars="400"/>
              <w:jc w:val="both"/>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 xml:space="preserve">备注：①功率小于或等于 </w:t>
            </w:r>
            <w:r>
              <w:rPr>
                <w:rFonts w:hint="eastAsia" w:ascii="仿宋" w:hAnsi="仿宋" w:eastAsia="仿宋" w:cs="仿宋"/>
                <w:sz w:val="21"/>
                <w:szCs w:val="21"/>
                <w:highlight w:val="none"/>
              </w:rPr>
              <w:t>25W</w:t>
            </w:r>
            <w:r>
              <w:rPr>
                <w:rFonts w:hint="eastAsia" w:ascii="仿宋" w:hAnsi="仿宋" w:eastAsia="仿宋" w:cs="仿宋"/>
                <w:spacing w:val="-9"/>
                <w:sz w:val="21"/>
                <w:szCs w:val="21"/>
                <w:highlight w:val="none"/>
              </w:rPr>
              <w:t xml:space="preserve"> 的</w:t>
            </w:r>
            <w:r>
              <w:rPr>
                <w:rFonts w:hint="eastAsia" w:ascii="仿宋" w:hAnsi="仿宋" w:eastAsia="仿宋" w:cs="仿宋"/>
                <w:sz w:val="21"/>
                <w:szCs w:val="21"/>
                <w:highlight w:val="none"/>
              </w:rPr>
              <w:t>LED</w:t>
            </w:r>
            <w:r>
              <w:rPr>
                <w:rFonts w:hint="eastAsia" w:ascii="仿宋" w:hAnsi="仿宋" w:eastAsia="仿宋" w:cs="仿宋"/>
                <w:spacing w:val="-13"/>
                <w:sz w:val="21"/>
                <w:szCs w:val="21"/>
                <w:highlight w:val="none"/>
              </w:rPr>
              <w:t xml:space="preserve"> 球泡灯不进行谐波电流</w:t>
            </w:r>
            <w:r>
              <w:rPr>
                <w:rFonts w:hint="eastAsia" w:ascii="仿宋" w:hAnsi="仿宋" w:eastAsia="仿宋" w:cs="仿宋"/>
                <w:spacing w:val="1"/>
                <w:sz w:val="21"/>
                <w:szCs w:val="21"/>
                <w:highlight w:val="none"/>
              </w:rPr>
              <w:t>的检测。没有认证证书或者明示标准的</w:t>
            </w:r>
            <w:r>
              <w:rPr>
                <w:rFonts w:hint="eastAsia" w:ascii="仿宋" w:hAnsi="仿宋" w:eastAsia="仿宋" w:cs="仿宋"/>
                <w:sz w:val="21"/>
                <w:szCs w:val="21"/>
                <w:highlight w:val="none"/>
              </w:rPr>
              <w:t>LED</w:t>
            </w:r>
            <w:r>
              <w:rPr>
                <w:rFonts w:hint="eastAsia" w:ascii="仿宋" w:hAnsi="仿宋" w:eastAsia="仿宋" w:cs="仿宋"/>
                <w:spacing w:val="-16"/>
                <w:sz w:val="21"/>
                <w:szCs w:val="21"/>
                <w:highlight w:val="none"/>
              </w:rPr>
              <w:t xml:space="preserve"> 球泡灯不进行骚扰电</w:t>
            </w:r>
            <w:r>
              <w:rPr>
                <w:rFonts w:hint="eastAsia" w:ascii="仿宋" w:hAnsi="仿宋" w:eastAsia="仿宋" w:cs="仿宋"/>
                <w:spacing w:val="-4"/>
                <w:sz w:val="21"/>
                <w:szCs w:val="21"/>
                <w:highlight w:val="none"/>
              </w:rPr>
              <w:t>压的检测。</w:t>
            </w:r>
          </w:p>
          <w:p>
            <w:pPr>
              <w:pStyle w:val="8"/>
              <w:ind w:left="637" w:leftChars="207" w:right="105" w:rightChars="50" w:hanging="202" w:hangingChars="93"/>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②若产品自愿认证证书上</w:t>
            </w:r>
            <w:r>
              <w:rPr>
                <w:rFonts w:hint="eastAsia" w:ascii="仿宋" w:hAnsi="仿宋" w:eastAsia="仿宋" w:cs="仿宋"/>
                <w:sz w:val="21"/>
                <w:szCs w:val="21"/>
                <w:highlight w:val="none"/>
              </w:rPr>
              <w:t>GB/T 17743</w:t>
            </w:r>
            <w:r>
              <w:rPr>
                <w:rFonts w:hint="eastAsia" w:ascii="仿宋" w:hAnsi="仿宋" w:eastAsia="仿宋" w:cs="仿宋"/>
                <w:spacing w:val="-32"/>
                <w:sz w:val="21"/>
                <w:szCs w:val="21"/>
                <w:highlight w:val="none"/>
              </w:rPr>
              <w:t xml:space="preserve"> 的版本为 </w:t>
            </w:r>
            <w:r>
              <w:rPr>
                <w:rFonts w:hint="eastAsia" w:ascii="仿宋" w:hAnsi="仿宋" w:eastAsia="仿宋" w:cs="仿宋"/>
                <w:sz w:val="21"/>
                <w:szCs w:val="21"/>
                <w:highlight w:val="none"/>
              </w:rPr>
              <w:t>2007</w:t>
            </w:r>
            <w:r>
              <w:rPr>
                <w:rFonts w:hint="eastAsia" w:ascii="仿宋" w:hAnsi="仿宋" w:eastAsia="仿宋" w:cs="仿宋"/>
                <w:spacing w:val="-24"/>
                <w:sz w:val="21"/>
                <w:szCs w:val="21"/>
                <w:highlight w:val="none"/>
              </w:rPr>
              <w:t xml:space="preserve"> 版时， </w:t>
            </w:r>
            <w:r>
              <w:rPr>
                <w:rFonts w:hint="eastAsia" w:ascii="仿宋" w:hAnsi="仿宋" w:eastAsia="仿宋" w:cs="仿宋"/>
                <w:spacing w:val="36"/>
                <w:sz w:val="21"/>
                <w:szCs w:val="21"/>
                <w:highlight w:val="none"/>
              </w:rPr>
              <w:t>按照</w:t>
            </w:r>
            <w:r>
              <w:rPr>
                <w:rFonts w:hint="eastAsia" w:ascii="仿宋" w:hAnsi="仿宋" w:eastAsia="仿宋" w:cs="仿宋"/>
                <w:sz w:val="21"/>
                <w:szCs w:val="21"/>
                <w:highlight w:val="none"/>
              </w:rPr>
              <w:t>GB/T 17743-2007</w:t>
            </w:r>
            <w:r>
              <w:rPr>
                <w:rFonts w:hint="eastAsia" w:ascii="仿宋" w:hAnsi="仿宋" w:eastAsia="仿宋" w:cs="仿宋"/>
                <w:spacing w:val="-12"/>
                <w:sz w:val="21"/>
                <w:szCs w:val="21"/>
                <w:highlight w:val="none"/>
              </w:rPr>
              <w:t xml:space="preserve"> 进行试验和判定；若产品自愿认证证书上GB/T </w:t>
            </w:r>
            <w:r>
              <w:rPr>
                <w:rFonts w:hint="eastAsia" w:ascii="仿宋" w:hAnsi="仿宋" w:eastAsia="仿宋" w:cs="仿宋"/>
                <w:sz w:val="21"/>
                <w:szCs w:val="21"/>
                <w:highlight w:val="none"/>
              </w:rPr>
              <w:t>17743</w:t>
            </w:r>
            <w:r>
              <w:rPr>
                <w:rFonts w:hint="eastAsia" w:ascii="仿宋" w:hAnsi="仿宋" w:eastAsia="仿宋" w:cs="仿宋"/>
                <w:spacing w:val="-27"/>
                <w:sz w:val="21"/>
                <w:szCs w:val="21"/>
                <w:highlight w:val="none"/>
              </w:rPr>
              <w:t xml:space="preserve"> 的版本为 </w:t>
            </w:r>
            <w:r>
              <w:rPr>
                <w:rFonts w:hint="eastAsia" w:ascii="仿宋" w:hAnsi="仿宋" w:eastAsia="仿宋" w:cs="仿宋"/>
                <w:sz w:val="21"/>
                <w:szCs w:val="21"/>
                <w:highlight w:val="none"/>
              </w:rPr>
              <w:t>2017</w:t>
            </w:r>
            <w:r>
              <w:rPr>
                <w:rFonts w:hint="eastAsia" w:ascii="仿宋" w:hAnsi="仿宋" w:eastAsia="仿宋" w:cs="仿宋"/>
                <w:spacing w:val="-24"/>
                <w:sz w:val="21"/>
                <w:szCs w:val="21"/>
                <w:highlight w:val="none"/>
              </w:rPr>
              <w:t xml:space="preserve"> 版时，按照 </w:t>
            </w:r>
            <w:r>
              <w:rPr>
                <w:rFonts w:hint="eastAsia" w:ascii="仿宋" w:hAnsi="仿宋" w:eastAsia="仿宋" w:cs="仿宋"/>
                <w:sz w:val="21"/>
                <w:szCs w:val="21"/>
                <w:highlight w:val="none"/>
              </w:rPr>
              <w:t>GB/T 17743-2017</w:t>
            </w:r>
            <w:r>
              <w:rPr>
                <w:rFonts w:hint="eastAsia" w:ascii="仿宋" w:hAnsi="仿宋" w:eastAsia="仿宋" w:cs="仿宋"/>
                <w:spacing w:val="-21"/>
                <w:sz w:val="21"/>
                <w:szCs w:val="21"/>
                <w:highlight w:val="none"/>
              </w:rPr>
              <w:t xml:space="preserve"> 进行试</w:t>
            </w:r>
            <w:r>
              <w:rPr>
                <w:rFonts w:hint="eastAsia" w:ascii="仿宋" w:hAnsi="仿宋" w:eastAsia="仿宋" w:cs="仿宋"/>
                <w:spacing w:val="10"/>
                <w:sz w:val="21"/>
                <w:szCs w:val="21"/>
                <w:highlight w:val="none"/>
              </w:rPr>
              <w:t>验和判定。若</w:t>
            </w:r>
            <w:r>
              <w:rPr>
                <w:rFonts w:hint="eastAsia" w:ascii="仿宋" w:hAnsi="仿宋" w:eastAsia="仿宋" w:cs="仿宋"/>
                <w:sz w:val="21"/>
                <w:szCs w:val="21"/>
                <w:highlight w:val="none"/>
              </w:rPr>
              <w:t>LED</w:t>
            </w:r>
            <w:r>
              <w:rPr>
                <w:rFonts w:hint="eastAsia" w:ascii="仿宋" w:hAnsi="仿宋" w:eastAsia="仿宋" w:cs="仿宋"/>
                <w:spacing w:val="-7"/>
                <w:sz w:val="21"/>
                <w:szCs w:val="21"/>
                <w:highlight w:val="none"/>
              </w:rPr>
              <w:t xml:space="preserve"> 球泡灯没有认证证书但是明示了</w:t>
            </w:r>
            <w:r>
              <w:rPr>
                <w:rFonts w:hint="eastAsia" w:ascii="仿宋" w:hAnsi="仿宋" w:eastAsia="仿宋" w:cs="仿宋"/>
                <w:sz w:val="21"/>
                <w:szCs w:val="21"/>
                <w:highlight w:val="none"/>
              </w:rPr>
              <w:t xml:space="preserve">GB/T </w:t>
            </w:r>
            <w:r>
              <w:rPr>
                <w:rFonts w:hint="eastAsia" w:ascii="仿宋" w:hAnsi="仿宋" w:eastAsia="仿宋" w:cs="仿宋"/>
                <w:spacing w:val="-2"/>
                <w:sz w:val="21"/>
                <w:szCs w:val="21"/>
                <w:highlight w:val="none"/>
              </w:rPr>
              <w:t xml:space="preserve">17743， </w:t>
            </w:r>
            <w:r>
              <w:rPr>
                <w:rFonts w:hint="eastAsia" w:ascii="仿宋" w:hAnsi="仿宋" w:eastAsia="仿宋" w:cs="仿宋"/>
                <w:spacing w:val="-5"/>
                <w:sz w:val="21"/>
                <w:szCs w:val="21"/>
                <w:highlight w:val="none"/>
              </w:rPr>
              <w:t>则按照明示的标准版本进行试验和判定。</w:t>
            </w:r>
          </w:p>
        </w:tc>
      </w:tr>
    </w:tbl>
    <w:p>
      <w:pPr>
        <w:pStyle w:val="3"/>
        <w:numPr>
          <w:ilvl w:val="0"/>
          <w:numId w:val="0"/>
        </w:numPr>
        <w:tabs>
          <w:tab w:val="left" w:pos="1856"/>
        </w:tabs>
        <w:spacing w:before="0" w:after="27" w:line="408" w:lineRule="exact"/>
        <w:ind w:leftChars="0" w:right="105" w:rightChars="50"/>
        <w:jc w:val="left"/>
        <w:rPr>
          <w:rFonts w:hint="eastAsia" w:ascii="仿宋_GB2312" w:hAnsi="仿宋_GB2312" w:eastAsia="仿宋_GB2312" w:cs="仿宋_GB2312"/>
          <w:b w:val="0"/>
          <w:bCs w:val="0"/>
          <w:highlight w:val="none"/>
        </w:rPr>
      </w:pPr>
      <w:r>
        <w:rPr>
          <w:rFonts w:hint="eastAsia" w:cs="仿宋_GB2312"/>
          <w:b w:val="0"/>
          <w:bCs w:val="0"/>
          <w:spacing w:val="-3"/>
          <w:highlight w:val="none"/>
          <w:lang w:val="en-US" w:eastAsia="zh-CN"/>
        </w:rPr>
        <w:t>4.</w:t>
      </w:r>
      <w:r>
        <w:rPr>
          <w:rFonts w:hint="eastAsia" w:ascii="仿宋_GB2312" w:hAnsi="仿宋_GB2312" w:eastAsia="仿宋_GB2312" w:cs="仿宋_GB2312"/>
          <w:b w:val="0"/>
          <w:bCs w:val="0"/>
          <w:spacing w:val="-3"/>
          <w:highlight w:val="none"/>
        </w:rPr>
        <w:t>其他灯具及照明装置（电源插座安装的夜灯</w:t>
      </w:r>
      <w:r>
        <w:rPr>
          <w:rFonts w:hint="eastAsia" w:ascii="仿宋_GB2312" w:hAnsi="仿宋_GB2312" w:eastAsia="仿宋_GB2312" w:cs="仿宋_GB2312"/>
          <w:b w:val="0"/>
          <w:bCs w:val="0"/>
          <w:highlight w:val="none"/>
        </w:rPr>
        <w:t>）</w:t>
      </w:r>
    </w:p>
    <w:tbl>
      <w:tblPr>
        <w:tblStyle w:val="5"/>
        <w:tblW w:w="9319"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35"/>
        <w:gridCol w:w="2885"/>
        <w:gridCol w:w="1134"/>
        <w:gridCol w:w="709"/>
        <w:gridCol w:w="850"/>
        <w:gridCol w:w="709"/>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20"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635"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885"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1134"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709"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850"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709"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较重要项</w:t>
            </w:r>
          </w:p>
        </w:tc>
        <w:tc>
          <w:tcPr>
            <w:tcW w:w="677" w:type="dxa"/>
            <w:shd w:val="clear" w:color="auto" w:fill="EDEBE0"/>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标记</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3 章(第 5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结构</w:t>
            </w:r>
          </w:p>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（含光生物危害）</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4 章(第 6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接地规定</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7 章(第 8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防触电保护</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8 章(第 9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绝缘电阻和电气强度</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10 章(第 11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爬电距离和电气间隙</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11 章(第 12 章)</w:t>
            </w:r>
          </w:p>
        </w:tc>
        <w:tc>
          <w:tcPr>
            <w:tcW w:w="1134"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耐热、耐火和耐起痕</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GB7000.1-2015</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（GB7000.212-2008）</w:t>
            </w:r>
          </w:p>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第 13 章(第 14 章)</w:t>
            </w:r>
          </w:p>
        </w:tc>
        <w:tc>
          <w:tcPr>
            <w:tcW w:w="1134"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spacing w:before="1"/>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谐波电流</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 17625.1-2012第 7 章</w:t>
            </w:r>
          </w:p>
        </w:tc>
        <w:tc>
          <w:tcPr>
            <w:tcW w:w="1134" w:type="dxa"/>
            <w:noWrap w:val="0"/>
            <w:vAlign w:val="center"/>
          </w:tcPr>
          <w:p>
            <w:pPr>
              <w:pStyle w:val="8"/>
              <w:spacing w:before="19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709" w:type="dxa"/>
            <w:noWrap w:val="0"/>
            <w:vAlign w:val="center"/>
          </w:tcPr>
          <w:p>
            <w:pPr>
              <w:pStyle w:val="8"/>
              <w:spacing w:before="19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20"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635" w:type="dxa"/>
            <w:noWrap w:val="0"/>
            <w:vAlign w:val="center"/>
          </w:tcPr>
          <w:p>
            <w:pPr>
              <w:adjustRightInd w:val="0"/>
              <w:snapToGrid w:val="0"/>
              <w:spacing w:line="360" w:lineRule="exact"/>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骚扰电压</w:t>
            </w:r>
          </w:p>
        </w:tc>
        <w:tc>
          <w:tcPr>
            <w:tcW w:w="2885" w:type="dxa"/>
            <w:noWrap w:val="0"/>
            <w:vAlign w:val="center"/>
          </w:tcPr>
          <w:p>
            <w:pPr>
              <w:adjustRightInd w:val="0"/>
              <w:snapToGrid w:val="0"/>
              <w:spacing w:line="360" w:lineRule="exact"/>
              <w:ind w:left="0" w:leftChars="0" w:right="105" w:rightChars="5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17743-2017 或GB/T 17743-2007第 4 章</w:t>
            </w:r>
          </w:p>
        </w:tc>
        <w:tc>
          <w:tcPr>
            <w:tcW w:w="1134"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50"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p>
        </w:tc>
        <w:tc>
          <w:tcPr>
            <w:tcW w:w="709" w:type="dxa"/>
            <w:noWrap w:val="0"/>
            <w:vAlign w:val="center"/>
          </w:tcPr>
          <w:p>
            <w:pPr>
              <w:pStyle w:val="8"/>
              <w:ind w:left="0" w:leftChars="0" w:right="105" w:rightChars="5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677" w:type="dxa"/>
            <w:noWrap w:val="0"/>
            <w:vAlign w:val="top"/>
          </w:tcPr>
          <w:p>
            <w:pPr>
              <w:pStyle w:val="8"/>
              <w:ind w:left="0" w:leftChars="0" w:right="105" w:rightChars="50" w:firstLine="0" w:firstLineChars="0"/>
              <w:rPr>
                <w:rFonts w:hint="eastAsia" w:ascii="仿宋" w:hAnsi="仿宋" w:eastAsia="仿宋" w:cs="仿宋"/>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19" w:type="dxa"/>
            <w:gridSpan w:val="8"/>
            <w:noWrap w:val="0"/>
            <w:vAlign w:val="center"/>
          </w:tcPr>
          <w:p>
            <w:pPr>
              <w:pStyle w:val="4"/>
              <w:spacing w:before="54" w:line="343" w:lineRule="auto"/>
              <w:ind w:left="0" w:leftChars="0" w:right="105" w:rightChars="50" w:firstLine="0" w:firstLineChars="0"/>
              <w:jc w:val="both"/>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 xml:space="preserve">备注：①功率小于或等于 </w:t>
            </w:r>
            <w:r>
              <w:rPr>
                <w:rFonts w:hint="eastAsia" w:ascii="仿宋" w:hAnsi="仿宋" w:eastAsia="仿宋" w:cs="仿宋"/>
                <w:sz w:val="21"/>
                <w:szCs w:val="21"/>
                <w:highlight w:val="none"/>
              </w:rPr>
              <w:t>25W</w:t>
            </w:r>
            <w:r>
              <w:rPr>
                <w:rFonts w:hint="eastAsia" w:ascii="仿宋" w:hAnsi="仿宋" w:eastAsia="仿宋" w:cs="仿宋"/>
                <w:spacing w:val="-9"/>
                <w:sz w:val="21"/>
                <w:szCs w:val="21"/>
                <w:highlight w:val="none"/>
              </w:rPr>
              <w:t xml:space="preserve"> 的</w:t>
            </w:r>
            <w:r>
              <w:rPr>
                <w:rFonts w:hint="eastAsia" w:ascii="仿宋" w:hAnsi="仿宋" w:eastAsia="仿宋" w:cs="仿宋"/>
                <w:sz w:val="21"/>
                <w:szCs w:val="21"/>
                <w:highlight w:val="none"/>
              </w:rPr>
              <w:t>LED</w:t>
            </w:r>
            <w:r>
              <w:rPr>
                <w:rFonts w:hint="eastAsia" w:ascii="仿宋" w:hAnsi="仿宋" w:eastAsia="仿宋" w:cs="仿宋"/>
                <w:spacing w:val="-13"/>
                <w:sz w:val="21"/>
                <w:szCs w:val="21"/>
                <w:highlight w:val="none"/>
              </w:rPr>
              <w:t xml:space="preserve"> 灯具不进行谐波电流的</w:t>
            </w:r>
            <w:r>
              <w:rPr>
                <w:rFonts w:hint="eastAsia" w:ascii="仿宋" w:hAnsi="仿宋" w:eastAsia="仿宋" w:cs="仿宋"/>
                <w:spacing w:val="-3"/>
                <w:sz w:val="21"/>
                <w:szCs w:val="21"/>
                <w:highlight w:val="none"/>
              </w:rPr>
              <w:t>检测。</w:t>
            </w:r>
          </w:p>
          <w:p>
            <w:pPr>
              <w:spacing w:line="240" w:lineRule="auto"/>
              <w:ind w:left="823" w:leftChars="308" w:right="105" w:rightChars="50" w:hanging="176" w:hangingChars="95"/>
              <w:jc w:val="left"/>
              <w:rPr>
                <w:rFonts w:hint="eastAsia" w:ascii="仿宋" w:hAnsi="仿宋" w:eastAsia="仿宋" w:cs="仿宋"/>
                <w:spacing w:val="-12"/>
                <w:kern w:val="2"/>
                <w:sz w:val="21"/>
                <w:szCs w:val="21"/>
                <w:highlight w:val="none"/>
                <w:lang w:val="en-US" w:eastAsia="zh-CN" w:bidi="ar-SA"/>
              </w:rPr>
            </w:pPr>
            <w:r>
              <w:rPr>
                <w:rFonts w:hint="eastAsia" w:ascii="仿宋" w:hAnsi="仿宋" w:eastAsia="仿宋" w:cs="仿宋"/>
                <w:spacing w:val="-12"/>
                <w:kern w:val="2"/>
                <w:sz w:val="21"/>
                <w:szCs w:val="21"/>
                <w:highlight w:val="none"/>
                <w:lang w:val="en-US" w:eastAsia="zh-CN" w:bidi="ar-SA"/>
              </w:rPr>
              <w:t>②属于CCC 范围内的产品没有CCC 证书不应抽取；若产品 CCC 证书上GB/T 17743 的版本为 2007 版时，按照GB/T 17743-2007 进行试验和判定；若产品CCC 证书上GB/T 17743 的版本为 2017 版时，按照GB/T 17743-2017 进行试验和判定。</w:t>
            </w:r>
          </w:p>
          <w:p>
            <w:pPr>
              <w:pStyle w:val="8"/>
              <w:ind w:left="0" w:leftChars="0" w:right="105" w:rightChars="50" w:firstLine="0" w:firstLineChars="0"/>
              <w:rPr>
                <w:rFonts w:hint="eastAsia" w:ascii="仿宋" w:hAnsi="仿宋" w:eastAsia="仿宋" w:cs="仿宋"/>
                <w:sz w:val="21"/>
                <w:szCs w:val="21"/>
                <w:highlight w:val="none"/>
              </w:rPr>
            </w:pPr>
          </w:p>
        </w:tc>
      </w:tr>
    </w:tbl>
    <w:p>
      <w:pPr>
        <w:spacing w:line="600" w:lineRule="exact"/>
        <w:ind w:firstLine="640" w:firstLineChars="200"/>
        <w:rPr>
          <w:rFonts w:eastAsia="黑体" w:cs="黑体"/>
          <w:sz w:val="32"/>
          <w:szCs w:val="32"/>
        </w:rPr>
      </w:pPr>
      <w:r>
        <w:rPr>
          <w:rFonts w:hint="eastAsia" w:eastAsia="黑体" w:cs="黑体"/>
          <w:sz w:val="32"/>
          <w:szCs w:val="32"/>
        </w:rPr>
        <w:t>三、判定规则</w:t>
      </w:r>
    </w:p>
    <w:p>
      <w:pPr>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依据标准</w:t>
      </w:r>
    </w:p>
    <w:p>
      <w:pPr>
        <w:spacing w:line="240" w:lineRule="auto"/>
        <w:ind w:firstLine="623" w:firstLineChars="200"/>
        <w:rPr>
          <w:rFonts w:hint="eastAsia" w:ascii="仿宋_GB2312" w:hAnsi="仿宋_GB2312" w:eastAsia="仿宋_GB2312" w:cs="仿宋_GB2312"/>
          <w:b/>
          <w:bCs/>
          <w:spacing w:val="-5"/>
          <w:kern w:val="2"/>
          <w:sz w:val="32"/>
          <w:szCs w:val="22"/>
          <w:highlight w:val="none"/>
          <w:lang w:val="en-US" w:eastAsia="zh-CN" w:bidi="ar-SA"/>
        </w:rPr>
      </w:pPr>
      <w:r>
        <w:rPr>
          <w:rFonts w:hint="eastAsia" w:ascii="仿宋_GB2312" w:hAnsi="仿宋_GB2312" w:eastAsia="仿宋_GB2312" w:cs="仿宋_GB2312"/>
          <w:b/>
          <w:bCs/>
          <w:spacing w:val="-5"/>
          <w:kern w:val="2"/>
          <w:sz w:val="32"/>
          <w:szCs w:val="22"/>
          <w:highlight w:val="none"/>
          <w:lang w:val="en-US" w:eastAsia="zh-CN" w:bidi="ar-SA"/>
        </w:rPr>
        <w:t>A）强制性标准:</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7000.1-2015《灯具第 1 部分: 一般要求与试验》</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7000.201-2008《灯具第 2-1 部分：特殊要求固定式通用灯具》</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7000.202-2008《灯具第 2-2 部分：特殊要求嵌入式灯具》</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7000.204-2008《灯具第 2-4 部分：特殊要求可移式通用灯具》</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7000.9-2008《灯具第 2-20 部分：特殊要求灯串》</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24906-2010《普通照明用 50V 以上自镇流 LED 灯安全要求》</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19510.1-2009《灯的控制装置第1部分：一般要求和安全要求》</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7000.212-2008《灯具第 2-12部分：特殊要求电源插座安装的夜灯》</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 17625.1-2012《电磁兼容限值谐波电流发射限值(设备每相输入电流≤16A)》</w:t>
      </w:r>
    </w:p>
    <w:p>
      <w:pPr>
        <w:pStyle w:val="9"/>
        <w:numPr>
          <w:ilvl w:val="0"/>
          <w:numId w:val="0"/>
        </w:numPr>
        <w:tabs>
          <w:tab w:val="left" w:pos="1379"/>
        </w:tabs>
        <w:spacing w:before="0" w:after="0" w:line="240" w:lineRule="auto"/>
        <w:ind w:right="0" w:rightChars="0" w:firstLine="623" w:firstLineChars="200"/>
        <w:jc w:val="left"/>
        <w:rPr>
          <w:rFonts w:hint="eastAsia" w:ascii="仿宋_GB2312" w:hAnsi="仿宋_GB2312" w:eastAsia="仿宋_GB2312" w:cs="仿宋_GB2312"/>
          <w:b/>
          <w:bCs/>
          <w:spacing w:val="-5"/>
          <w:kern w:val="2"/>
          <w:sz w:val="32"/>
          <w:szCs w:val="22"/>
          <w:highlight w:val="none"/>
          <w:lang w:val="en-US" w:eastAsia="zh-CN" w:bidi="ar-SA"/>
        </w:rPr>
      </w:pPr>
      <w:r>
        <w:rPr>
          <w:rFonts w:hint="eastAsia" w:ascii="仿宋_GB2312" w:hAnsi="仿宋_GB2312" w:eastAsia="仿宋_GB2312" w:cs="仿宋_GB2312"/>
          <w:b/>
          <w:bCs/>
          <w:spacing w:val="-5"/>
          <w:kern w:val="2"/>
          <w:sz w:val="32"/>
          <w:szCs w:val="22"/>
          <w:highlight w:val="none"/>
          <w:lang w:val="en-US" w:eastAsia="zh-CN" w:bidi="ar-SA"/>
        </w:rPr>
        <w:t>B）推荐性标准:</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17743-2017《电气照明和类似设备的无线电骚扰特性的限值和测量方法》</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过渡期内仍存在的旧版本标准：</w:t>
      </w:r>
    </w:p>
    <w:p>
      <w:pPr>
        <w:spacing w:line="240" w:lineRule="auto"/>
        <w:ind w:firstLine="620" w:firstLineChars="200"/>
        <w:rPr>
          <w:rFonts w:hint="eastAsia" w:ascii="仿宋_GB2312" w:hAnsi="仿宋_GB2312" w:eastAsia="仿宋_GB2312" w:cs="仿宋_GB2312"/>
          <w:spacing w:val="-5"/>
          <w:kern w:val="2"/>
          <w:sz w:val="32"/>
          <w:szCs w:val="22"/>
          <w:highlight w:val="none"/>
          <w:lang w:val="en-US" w:eastAsia="zh-CN" w:bidi="ar-SA"/>
        </w:rPr>
      </w:pPr>
      <w:r>
        <w:rPr>
          <w:rFonts w:hint="eastAsia" w:ascii="仿宋_GB2312" w:hAnsi="仿宋_GB2312" w:eastAsia="仿宋_GB2312" w:cs="仿宋_GB2312"/>
          <w:spacing w:val="-5"/>
          <w:kern w:val="2"/>
          <w:sz w:val="32"/>
          <w:szCs w:val="22"/>
          <w:highlight w:val="none"/>
          <w:lang w:val="en-US" w:eastAsia="zh-CN" w:bidi="ar-SA"/>
        </w:rPr>
        <w:t>GB/T 17743-2007《电气照明和类似设备的无线电骚扰特性的限值和测量方法》</w:t>
      </w:r>
    </w:p>
    <w:p>
      <w:pPr>
        <w:spacing w:line="240" w:lineRule="auto"/>
        <w:ind w:firstLine="623" w:firstLineChars="200"/>
        <w:rPr>
          <w:rFonts w:hint="eastAsia" w:ascii="仿宋_GB2312" w:hAnsi="仿宋_GB2312" w:eastAsia="仿宋_GB2312" w:cs="仿宋_GB2312"/>
          <w:b/>
          <w:bCs/>
          <w:spacing w:val="-5"/>
          <w:kern w:val="2"/>
          <w:sz w:val="32"/>
          <w:szCs w:val="22"/>
          <w:highlight w:val="none"/>
          <w:lang w:val="en-US" w:eastAsia="zh-CN" w:bidi="ar-SA"/>
        </w:rPr>
      </w:pPr>
      <w:r>
        <w:rPr>
          <w:rFonts w:hint="eastAsia" w:ascii="仿宋_GB2312" w:hAnsi="仿宋_GB2312" w:eastAsia="仿宋_GB2312" w:cs="仿宋_GB2312"/>
          <w:b/>
          <w:bCs/>
          <w:spacing w:val="-5"/>
          <w:kern w:val="2"/>
          <w:sz w:val="32"/>
          <w:szCs w:val="22"/>
          <w:highlight w:val="none"/>
          <w:lang w:val="en-US" w:eastAsia="zh-CN" w:bidi="ar-SA"/>
        </w:rPr>
        <w:t>C）商品标示执行的标准或商品明示指标。</w:t>
      </w:r>
    </w:p>
    <w:p>
      <w:pPr>
        <w:spacing w:line="240" w:lineRule="auto"/>
        <w:ind w:firstLine="62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kern w:val="2"/>
          <w:sz w:val="32"/>
          <w:szCs w:val="22"/>
          <w:highlight w:val="none"/>
          <w:lang w:val="en-US" w:eastAsia="zh-CN" w:bidi="ar-SA"/>
        </w:rPr>
        <w:t>商品标示执行的标准或商品明示指标劣于相关强制性标准的，以相关强制性标准作为依据。</w:t>
      </w:r>
    </w:p>
    <w:p>
      <w:pPr>
        <w:widowControl/>
        <w:spacing w:line="60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（二）判定原则</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经检验，检验项目全部合格，判定为被抽查产品所检项目未发现不合格；检验项目中任一项或一项以上不合格，判定为被抽查产品不合格。</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若被检产品明示的质量要求高于本细则中检验项目依据的标准要求时，应按被检产品明示的质量要求判定。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若被检产品明示的质量要求低于或包含本细则中检验项目依据的推荐性标准要求时，应以被检产品明示的质量要求判定。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若被检产品明示的质量要求缺少本细则中检验项目依据的推荐性标准要求时，该项目不参与判定。</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934A9"/>
    <w:rsid w:val="4839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ind w:left="426"/>
      <w:outlineLvl w:val="2"/>
    </w:pPr>
    <w:rPr>
      <w:rFonts w:ascii="仿宋_GB2312" w:hAnsi="仿宋_GB2312" w:eastAsia="仿宋_GB2312" w:cs="仿宋_GB2312"/>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仿宋_GB2312" w:hAnsi="仿宋_GB2312" w:eastAsia="仿宋_GB2312" w:cs="仿宋_GB2312"/>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99"/>
    <w:rPr>
      <w:rFonts w:eastAsia="仿宋_GB2312"/>
      <w:sz w:val="32"/>
    </w:rPr>
  </w:style>
  <w:style w:type="paragraph" w:customStyle="1" w:styleId="9">
    <w:name w:val="List Paragraph"/>
    <w:basedOn w:val="1"/>
    <w:qFormat/>
    <w:uiPriority w:val="1"/>
    <w:pPr>
      <w:ind w:left="426" w:firstLine="633"/>
    </w:pPr>
    <w:rPr>
      <w:rFonts w:ascii="仿宋_GB2312" w:hAnsi="仿宋_GB2312" w:eastAsia="仿宋_GB2312" w:cs="仿宋_GB2312"/>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2021-12-09T01:34:00Z</dcterms:created>
  <dc:creator>林熙镇</dc:creator>
  <cp:lastModifiedBy>林熙镇</cp:lastModifiedBy>
  <dcterms:modified xsi:type="dcterms:W3CDTF">2021-12-09T01:34:37Z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