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0" w:leftChars="0" w:firstLine="0" w:firstLine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附件2</w:t>
      </w:r>
    </w:p>
    <w:p>
      <w:pPr>
        <w:widowControl/>
        <w:spacing w:line="600" w:lineRule="exact"/>
        <w:ind w:left="0" w:leftChars="0"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2021年汕尾市电力器具专用配件产品</w:t>
      </w:r>
    </w:p>
    <w:p>
      <w:pPr>
        <w:widowControl/>
        <w:spacing w:line="600" w:lineRule="exact"/>
        <w:ind w:left="0" w:leftChars="0"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质量监督抽查实施细则</w:t>
      </w:r>
    </w:p>
    <w:p>
      <w:pPr>
        <w:widowControl/>
        <w:spacing w:line="600" w:lineRule="exact"/>
        <w:ind w:left="0" w:leftChars="0" w:firstLine="0" w:firstLineChars="0"/>
        <w:jc w:val="left"/>
        <w:rPr>
          <w:rFonts w:hint="eastAsia" w:ascii="仿宋_GB2312" w:hAnsi="仿宋_GB2312" w:eastAsia="仿宋_GB2312" w:cs="仿宋_GB2312"/>
          <w:kern w:val="0"/>
          <w:sz w:val="32"/>
          <w:szCs w:val="32"/>
          <w:lang w:val="en-US" w:eastAsia="zh-CN"/>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抽查数量：每款产品抽取2组样本，第1组用于检验，第2组用于备样。具体抽样数量和方法如下：</w:t>
      </w:r>
    </w:p>
    <w:tbl>
      <w:tblPr>
        <w:tblStyle w:val="3"/>
        <w:tblW w:w="84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
        <w:gridCol w:w="4118"/>
        <w:gridCol w:w="1823"/>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5" w:type="dxa"/>
            <w:noWrap w:val="0"/>
            <w:vAlign w:val="center"/>
          </w:tcPr>
          <w:p>
            <w:pPr>
              <w:pStyle w:val="5"/>
              <w:spacing w:before="61" w:line="240" w:lineRule="auto"/>
              <w:ind w:right="174"/>
              <w:jc w:val="center"/>
              <w:rPr>
                <w:rFonts w:hint="eastAsia"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序号</w:t>
            </w:r>
          </w:p>
        </w:tc>
        <w:tc>
          <w:tcPr>
            <w:tcW w:w="4118" w:type="dxa"/>
            <w:noWrap w:val="0"/>
            <w:vAlign w:val="center"/>
          </w:tcPr>
          <w:p>
            <w:pPr>
              <w:pStyle w:val="5"/>
              <w:spacing w:before="61" w:line="240" w:lineRule="auto"/>
              <w:ind w:left="35" w:right="20"/>
              <w:jc w:val="center"/>
              <w:rPr>
                <w:rFonts w:hint="eastAsia"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产品名称</w:t>
            </w:r>
          </w:p>
        </w:tc>
        <w:tc>
          <w:tcPr>
            <w:tcW w:w="1823" w:type="dxa"/>
            <w:noWrap w:val="0"/>
            <w:vAlign w:val="center"/>
          </w:tcPr>
          <w:p>
            <w:pPr>
              <w:pStyle w:val="5"/>
              <w:spacing w:before="61" w:line="240" w:lineRule="auto"/>
              <w:ind w:right="351"/>
              <w:jc w:val="center"/>
              <w:rPr>
                <w:rFonts w:hint="eastAsia"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第1组数量</w:t>
            </w:r>
          </w:p>
        </w:tc>
        <w:tc>
          <w:tcPr>
            <w:tcW w:w="1741" w:type="dxa"/>
            <w:noWrap w:val="0"/>
            <w:vAlign w:val="center"/>
          </w:tcPr>
          <w:p>
            <w:pPr>
              <w:pStyle w:val="5"/>
              <w:spacing w:before="49" w:line="240" w:lineRule="auto"/>
              <w:ind w:right="473"/>
              <w:jc w:val="center"/>
              <w:rPr>
                <w:rFonts w:hint="eastAsia" w:ascii="华文仿宋" w:hAnsi="华文仿宋" w:eastAsia="华文仿宋" w:cs="华文仿宋"/>
                <w:b/>
                <w:bCs/>
                <w:sz w:val="28"/>
                <w:szCs w:val="28"/>
                <w:highlight w:val="none"/>
              </w:rPr>
            </w:pPr>
            <w:r>
              <w:rPr>
                <w:rFonts w:hint="eastAsia" w:ascii="华文仿宋" w:hAnsi="华文仿宋" w:eastAsia="华文仿宋" w:cs="华文仿宋"/>
                <w:b/>
                <w:bCs/>
                <w:sz w:val="28"/>
                <w:szCs w:val="28"/>
                <w:highlight w:val="none"/>
              </w:rPr>
              <w:t>第2组数量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75" w:type="dxa"/>
            <w:noWrap w:val="0"/>
            <w:vAlign w:val="center"/>
          </w:tcPr>
          <w:p>
            <w:pPr>
              <w:pStyle w:val="5"/>
              <w:spacing w:before="74" w:line="240" w:lineRule="auto"/>
              <w:ind w:left="13"/>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w:t>
            </w:r>
          </w:p>
        </w:tc>
        <w:tc>
          <w:tcPr>
            <w:tcW w:w="4118" w:type="dxa"/>
            <w:noWrap w:val="0"/>
            <w:vAlign w:val="center"/>
          </w:tcPr>
          <w:p>
            <w:pPr>
              <w:pStyle w:val="5"/>
              <w:spacing w:before="63" w:line="240" w:lineRule="auto"/>
              <w:ind w:left="40" w:right="18"/>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固定式插座、转换器</w:t>
            </w:r>
          </w:p>
        </w:tc>
        <w:tc>
          <w:tcPr>
            <w:tcW w:w="1823" w:type="dxa"/>
            <w:noWrap w:val="0"/>
            <w:vAlign w:val="center"/>
          </w:tcPr>
          <w:p>
            <w:pPr>
              <w:pStyle w:val="5"/>
              <w:spacing w:before="63" w:line="240" w:lineRule="auto"/>
              <w:ind w:left="363" w:right="351"/>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 只</w:t>
            </w:r>
          </w:p>
        </w:tc>
        <w:tc>
          <w:tcPr>
            <w:tcW w:w="1741" w:type="dxa"/>
            <w:noWrap w:val="0"/>
            <w:vAlign w:val="center"/>
          </w:tcPr>
          <w:p>
            <w:pPr>
              <w:pStyle w:val="5"/>
              <w:spacing w:before="63" w:line="240" w:lineRule="auto"/>
              <w:ind w:left="486" w:right="473"/>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775" w:type="dxa"/>
            <w:noWrap w:val="0"/>
            <w:vAlign w:val="center"/>
          </w:tcPr>
          <w:p>
            <w:pPr>
              <w:pStyle w:val="5"/>
              <w:spacing w:before="73" w:line="240" w:lineRule="auto"/>
              <w:ind w:left="13"/>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w:t>
            </w:r>
          </w:p>
        </w:tc>
        <w:tc>
          <w:tcPr>
            <w:tcW w:w="4118" w:type="dxa"/>
            <w:noWrap w:val="0"/>
            <w:vAlign w:val="center"/>
          </w:tcPr>
          <w:p>
            <w:pPr>
              <w:pStyle w:val="5"/>
              <w:spacing w:before="62" w:line="240" w:lineRule="auto"/>
              <w:ind w:left="40" w:right="20"/>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延长线插座、移动式插座</w:t>
            </w:r>
          </w:p>
        </w:tc>
        <w:tc>
          <w:tcPr>
            <w:tcW w:w="1823" w:type="dxa"/>
            <w:noWrap w:val="0"/>
            <w:vAlign w:val="center"/>
          </w:tcPr>
          <w:p>
            <w:pPr>
              <w:pStyle w:val="5"/>
              <w:spacing w:before="62" w:line="240" w:lineRule="auto"/>
              <w:ind w:left="363" w:right="351"/>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3 只</w:t>
            </w:r>
          </w:p>
        </w:tc>
        <w:tc>
          <w:tcPr>
            <w:tcW w:w="1741" w:type="dxa"/>
            <w:noWrap w:val="0"/>
            <w:vAlign w:val="center"/>
          </w:tcPr>
          <w:p>
            <w:pPr>
              <w:pStyle w:val="5"/>
              <w:spacing w:before="62" w:line="240" w:lineRule="auto"/>
              <w:ind w:left="486" w:right="473"/>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 只</w:t>
            </w:r>
          </w:p>
        </w:tc>
      </w:tr>
    </w:tbl>
    <w:p>
      <w:pPr>
        <w:pStyle w:val="6"/>
        <w:numPr>
          <w:ilvl w:val="0"/>
          <w:numId w:val="0"/>
        </w:numPr>
        <w:tabs>
          <w:tab w:val="left" w:pos="1867"/>
        </w:tabs>
        <w:spacing w:before="180" w:after="0" w:line="343" w:lineRule="auto"/>
        <w:ind w:leftChars="210" w:right="106" w:rightChars="0"/>
        <w:jc w:val="left"/>
        <w:rPr>
          <w:rFonts w:hint="eastAsia" w:eastAsia="黑体" w:cs="黑体"/>
          <w:color w:val="000000"/>
          <w:sz w:val="32"/>
          <w:szCs w:val="32"/>
        </w:rPr>
      </w:pPr>
      <w:r>
        <w:rPr>
          <w:rFonts w:hint="eastAsia" w:eastAsia="黑体" w:cs="黑体"/>
          <w:color w:val="000000"/>
          <w:sz w:val="32"/>
          <w:szCs w:val="32"/>
          <w:lang w:eastAsia="zh-CN"/>
        </w:rPr>
        <w:t>二、主</w:t>
      </w:r>
      <w:r>
        <w:rPr>
          <w:rFonts w:hint="eastAsia" w:eastAsia="黑体" w:cs="黑体"/>
          <w:color w:val="000000"/>
          <w:sz w:val="32"/>
          <w:szCs w:val="32"/>
        </w:rPr>
        <w:t>要检验项目及检验项目属性划分</w:t>
      </w:r>
    </w:p>
    <w:p>
      <w:pPr>
        <w:pStyle w:val="6"/>
        <w:numPr>
          <w:ilvl w:val="0"/>
          <w:numId w:val="0"/>
        </w:numPr>
        <w:tabs>
          <w:tab w:val="left" w:pos="746"/>
        </w:tabs>
        <w:spacing w:before="180" w:after="27" w:line="240" w:lineRule="auto"/>
        <w:ind w:left="425" w:leftChars="0" w:right="0" w:rightChars="0"/>
        <w:jc w:val="left"/>
        <w:rPr>
          <w:rFonts w:hint="eastAsia" w:ascii="仿宋_GB2312" w:hAnsi="仿宋_GB2312" w:eastAsia="仿宋_GB2312" w:cs="仿宋_GB2312"/>
          <w:sz w:val="32"/>
          <w:highlight w:val="none"/>
        </w:rPr>
      </w:pPr>
      <w:r>
        <w:rPr>
          <w:rFonts w:hint="eastAsia" w:ascii="仿宋_GB2312" w:hAnsi="仿宋_GB2312" w:eastAsia="仿宋_GB2312" w:cs="仿宋_GB2312"/>
          <w:spacing w:val="-5"/>
          <w:sz w:val="32"/>
          <w:highlight w:val="none"/>
          <w:lang w:val="en-US" w:eastAsia="zh-CN"/>
        </w:rPr>
        <w:t>1.</w:t>
      </w:r>
      <w:r>
        <w:rPr>
          <w:rFonts w:hint="eastAsia" w:ascii="仿宋_GB2312" w:hAnsi="仿宋_GB2312" w:eastAsia="仿宋_GB2312" w:cs="仿宋_GB2312"/>
          <w:spacing w:val="-5"/>
          <w:sz w:val="32"/>
          <w:highlight w:val="none"/>
        </w:rPr>
        <w:t>固定式插座、转换器</w:t>
      </w:r>
    </w:p>
    <w:tbl>
      <w:tblPr>
        <w:tblStyle w:val="3"/>
        <w:tblW w:w="9210"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1602"/>
        <w:gridCol w:w="2453"/>
        <w:gridCol w:w="812"/>
        <w:gridCol w:w="879"/>
        <w:gridCol w:w="890"/>
        <w:gridCol w:w="879"/>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27" w:type="dxa"/>
            <w:shd w:val="clear" w:color="auto" w:fill="EDEBE0"/>
            <w:noWrap w:val="0"/>
            <w:vAlign w:val="top"/>
          </w:tcPr>
          <w:p>
            <w:pPr>
              <w:pStyle w:val="5"/>
              <w:spacing w:before="1"/>
              <w:ind w:left="113" w:right="101"/>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602" w:type="dxa"/>
            <w:shd w:val="clear" w:color="auto" w:fill="EDEBE0"/>
            <w:noWrap w:val="0"/>
            <w:vAlign w:val="top"/>
          </w:tcPr>
          <w:p>
            <w:pPr>
              <w:pStyle w:val="5"/>
              <w:spacing w:before="1"/>
              <w:ind w:left="104" w:right="8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453" w:type="dxa"/>
            <w:shd w:val="clear" w:color="auto" w:fill="EDEBE0"/>
            <w:noWrap w:val="0"/>
            <w:vAlign w:val="center"/>
          </w:tcPr>
          <w:p>
            <w:pPr>
              <w:pStyle w:val="5"/>
              <w:spacing w:line="360" w:lineRule="exact"/>
              <w:ind w:left="726" w:right="68" w:hanging="588"/>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812" w:type="dxa"/>
            <w:shd w:val="clear" w:color="auto" w:fill="EDEBE0"/>
            <w:noWrap w:val="0"/>
            <w:vAlign w:val="top"/>
          </w:tcPr>
          <w:p>
            <w:pPr>
              <w:pStyle w:val="5"/>
              <w:spacing w:line="360" w:lineRule="exact"/>
              <w:ind w:left="286" w:right="112" w:hanging="116"/>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879" w:type="dxa"/>
            <w:shd w:val="clear" w:color="auto" w:fill="EDEBE0"/>
            <w:noWrap w:val="0"/>
            <w:vAlign w:val="top"/>
          </w:tcPr>
          <w:p>
            <w:pPr>
              <w:pStyle w:val="5"/>
              <w:spacing w:line="360" w:lineRule="exact"/>
              <w:ind w:left="204" w:right="146"/>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890" w:type="dxa"/>
            <w:shd w:val="clear" w:color="auto" w:fill="EDEBE0"/>
            <w:noWrap w:val="0"/>
            <w:vAlign w:val="top"/>
          </w:tcPr>
          <w:p>
            <w:pPr>
              <w:pStyle w:val="5"/>
              <w:spacing w:line="360" w:lineRule="exact"/>
              <w:ind w:left="325" w:right="151" w:hanging="116"/>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879" w:type="dxa"/>
            <w:shd w:val="clear" w:color="auto" w:fill="EDEBE0"/>
            <w:noWrap w:val="0"/>
            <w:vAlign w:val="top"/>
          </w:tcPr>
          <w:p>
            <w:pPr>
              <w:pStyle w:val="5"/>
              <w:spacing w:line="360" w:lineRule="exact"/>
              <w:ind w:left="203" w:right="146"/>
              <w:rPr>
                <w:rFonts w:hint="eastAsia" w:ascii="仿宋" w:hAnsi="仿宋" w:eastAsia="仿宋" w:cs="仿宋"/>
                <w:sz w:val="21"/>
                <w:szCs w:val="21"/>
                <w:highlight w:val="none"/>
              </w:rPr>
            </w:pPr>
            <w:r>
              <w:rPr>
                <w:rFonts w:hint="eastAsia" w:ascii="仿宋" w:hAnsi="仿宋" w:eastAsia="仿宋" w:cs="仿宋"/>
                <w:sz w:val="21"/>
                <w:szCs w:val="21"/>
                <w:highlight w:val="none"/>
              </w:rPr>
              <w:t>较重要项</w:t>
            </w:r>
          </w:p>
        </w:tc>
        <w:tc>
          <w:tcPr>
            <w:tcW w:w="868" w:type="dxa"/>
            <w:shd w:val="clear" w:color="auto" w:fill="EDEBE0"/>
            <w:noWrap w:val="0"/>
            <w:vAlign w:val="top"/>
          </w:tcPr>
          <w:p>
            <w:pPr>
              <w:pStyle w:val="5"/>
              <w:spacing w:line="360" w:lineRule="exact"/>
              <w:ind w:left="316" w:right="141" w:hanging="118"/>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标志</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8</w:t>
            </w:r>
          </w:p>
        </w:tc>
        <w:tc>
          <w:tcPr>
            <w:tcW w:w="81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879" w:type="dxa"/>
            <w:noWrap w:val="0"/>
            <w:vAlign w:val="center"/>
          </w:tcPr>
          <w:p>
            <w:pPr>
              <w:pStyle w:val="5"/>
              <w:spacing w:before="165"/>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5"/>
              <w:ind w:left="1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8"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防触电保护</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10</w:t>
            </w:r>
          </w:p>
        </w:tc>
        <w:tc>
          <w:tcPr>
            <w:tcW w:w="81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879" w:type="dxa"/>
            <w:noWrap w:val="0"/>
            <w:vAlign w:val="center"/>
          </w:tcPr>
          <w:p>
            <w:pPr>
              <w:pStyle w:val="5"/>
              <w:spacing w:before="164"/>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spacing w:before="164"/>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79" w:type="dxa"/>
            <w:noWrap w:val="0"/>
            <w:vAlign w:val="center"/>
          </w:tcPr>
          <w:p>
            <w:pPr>
              <w:pStyle w:val="5"/>
              <w:jc w:val="center"/>
              <w:rPr>
                <w:rFonts w:hint="eastAsia" w:ascii="仿宋" w:hAnsi="仿宋" w:eastAsia="仿宋" w:cs="仿宋"/>
                <w:sz w:val="21"/>
                <w:szCs w:val="21"/>
                <w:highlight w:val="none"/>
              </w:rPr>
            </w:pPr>
          </w:p>
        </w:tc>
        <w:tc>
          <w:tcPr>
            <w:tcW w:w="868"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接地措施</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11</w:t>
            </w:r>
          </w:p>
        </w:tc>
        <w:tc>
          <w:tcPr>
            <w:tcW w:w="812"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4"/>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spacing w:before="164"/>
              <w:ind w:right="35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79" w:type="dxa"/>
            <w:noWrap w:val="0"/>
            <w:vAlign w:val="center"/>
          </w:tcPr>
          <w:p>
            <w:pPr>
              <w:pStyle w:val="5"/>
              <w:jc w:val="center"/>
              <w:rPr>
                <w:rFonts w:hint="eastAsia" w:ascii="仿宋" w:hAnsi="仿宋" w:eastAsia="仿宋" w:cs="仿宋"/>
                <w:sz w:val="21"/>
                <w:szCs w:val="21"/>
                <w:highlight w:val="none"/>
              </w:rPr>
            </w:pPr>
          </w:p>
        </w:tc>
        <w:tc>
          <w:tcPr>
            <w:tcW w:w="868" w:type="dxa"/>
            <w:noWrap w:val="0"/>
            <w:vAlign w:val="top"/>
          </w:tcPr>
          <w:p>
            <w:pPr>
              <w:pStyle w:val="5"/>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绝缘电阻和电气强度</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17</w:t>
            </w:r>
          </w:p>
        </w:tc>
        <w:tc>
          <w:tcPr>
            <w:tcW w:w="812"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6"/>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spacing w:before="166"/>
              <w:ind w:right="35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79" w:type="dxa"/>
            <w:noWrap w:val="0"/>
            <w:vAlign w:val="center"/>
          </w:tcPr>
          <w:p>
            <w:pPr>
              <w:pStyle w:val="5"/>
              <w:jc w:val="center"/>
              <w:rPr>
                <w:rFonts w:hint="eastAsia" w:ascii="仿宋" w:hAnsi="仿宋" w:eastAsia="仿宋" w:cs="仿宋"/>
                <w:sz w:val="21"/>
                <w:szCs w:val="21"/>
                <w:highlight w:val="none"/>
              </w:rPr>
            </w:pPr>
          </w:p>
        </w:tc>
        <w:tc>
          <w:tcPr>
            <w:tcW w:w="868" w:type="dxa"/>
            <w:noWrap w:val="0"/>
            <w:vAlign w:val="top"/>
          </w:tcPr>
          <w:p>
            <w:pPr>
              <w:pStyle w:val="5"/>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25</w:t>
            </w:r>
          </w:p>
        </w:tc>
        <w:tc>
          <w:tcPr>
            <w:tcW w:w="812"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6"/>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spacing w:before="166"/>
              <w:ind w:right="35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79" w:type="dxa"/>
            <w:noWrap w:val="0"/>
            <w:vAlign w:val="center"/>
          </w:tcPr>
          <w:p>
            <w:pPr>
              <w:pStyle w:val="5"/>
              <w:jc w:val="center"/>
              <w:rPr>
                <w:rFonts w:hint="eastAsia" w:ascii="仿宋" w:hAnsi="仿宋" w:eastAsia="仿宋" w:cs="仿宋"/>
                <w:sz w:val="21"/>
                <w:szCs w:val="21"/>
                <w:highlight w:val="none"/>
              </w:rPr>
            </w:pPr>
          </w:p>
        </w:tc>
        <w:tc>
          <w:tcPr>
            <w:tcW w:w="868" w:type="dxa"/>
            <w:noWrap w:val="0"/>
            <w:vAlign w:val="top"/>
          </w:tcPr>
          <w:p>
            <w:pPr>
              <w:pStyle w:val="5"/>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827"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602"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爬电距离、电气间隙和通过密封胶的距离</w:t>
            </w:r>
          </w:p>
        </w:tc>
        <w:tc>
          <w:tcPr>
            <w:tcW w:w="2453"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GB/T2099.3-2015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27</w:t>
            </w:r>
          </w:p>
        </w:tc>
        <w:tc>
          <w:tcPr>
            <w:tcW w:w="812"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5"/>
              <w:ind w:right="354"/>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0" w:type="dxa"/>
            <w:noWrap w:val="0"/>
            <w:vAlign w:val="center"/>
          </w:tcPr>
          <w:p>
            <w:pPr>
              <w:pStyle w:val="5"/>
              <w:jc w:val="center"/>
              <w:rPr>
                <w:rFonts w:hint="eastAsia" w:ascii="仿宋" w:hAnsi="仿宋" w:eastAsia="仿宋" w:cs="仿宋"/>
                <w:sz w:val="21"/>
                <w:szCs w:val="21"/>
                <w:highlight w:val="none"/>
              </w:rPr>
            </w:pPr>
          </w:p>
        </w:tc>
        <w:tc>
          <w:tcPr>
            <w:tcW w:w="879" w:type="dxa"/>
            <w:noWrap w:val="0"/>
            <w:vAlign w:val="center"/>
          </w:tcPr>
          <w:p>
            <w:pPr>
              <w:pStyle w:val="5"/>
              <w:spacing w:before="165"/>
              <w:ind w:left="1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8" w:type="dxa"/>
            <w:noWrap w:val="0"/>
            <w:vAlign w:val="top"/>
          </w:tcPr>
          <w:p>
            <w:pPr>
              <w:pStyle w:val="5"/>
              <w:rPr>
                <w:rFonts w:hint="eastAsia" w:ascii="仿宋" w:hAnsi="仿宋" w:eastAsia="仿宋" w:cs="仿宋"/>
                <w:sz w:val="21"/>
                <w:szCs w:val="21"/>
                <w:highlight w:val="none"/>
              </w:rPr>
            </w:pPr>
          </w:p>
        </w:tc>
      </w:tr>
    </w:tbl>
    <w:p>
      <w:pPr>
        <w:pStyle w:val="6"/>
        <w:numPr>
          <w:ilvl w:val="0"/>
          <w:numId w:val="0"/>
        </w:numPr>
        <w:tabs>
          <w:tab w:val="left" w:pos="746"/>
        </w:tabs>
        <w:spacing w:before="55" w:after="27" w:line="240" w:lineRule="auto"/>
        <w:ind w:left="425" w:leftChars="0" w:right="0" w:rightChars="0"/>
        <w:jc w:val="left"/>
        <w:rPr>
          <w:rFonts w:hint="eastAsia" w:ascii="仿宋_GB2312" w:hAnsi="仿宋_GB2312" w:eastAsia="仿宋_GB2312" w:cs="仿宋_GB2312"/>
          <w:sz w:val="32"/>
          <w:highlight w:val="none"/>
        </w:rPr>
      </w:pPr>
      <w:r>
        <w:rPr>
          <w:rFonts w:hint="eastAsia" w:ascii="仿宋_GB2312" w:hAnsi="仿宋_GB2312" w:eastAsia="仿宋_GB2312" w:cs="仿宋_GB2312"/>
          <w:spacing w:val="-5"/>
          <w:sz w:val="32"/>
          <w:highlight w:val="none"/>
          <w:lang w:val="en-US" w:eastAsia="zh-CN"/>
        </w:rPr>
        <w:t>2.</w:t>
      </w:r>
      <w:r>
        <w:rPr>
          <w:rFonts w:hint="eastAsia" w:ascii="仿宋_GB2312" w:hAnsi="仿宋_GB2312" w:eastAsia="仿宋_GB2312" w:cs="仿宋_GB2312"/>
          <w:spacing w:val="-5"/>
          <w:sz w:val="32"/>
          <w:highlight w:val="none"/>
        </w:rPr>
        <w:t>延长线插座、移动式插座</w:t>
      </w:r>
    </w:p>
    <w:tbl>
      <w:tblPr>
        <w:tblStyle w:val="3"/>
        <w:tblW w:w="9266"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3"/>
        <w:gridCol w:w="1614"/>
        <w:gridCol w:w="2440"/>
        <w:gridCol w:w="813"/>
        <w:gridCol w:w="907"/>
        <w:gridCol w:w="866"/>
        <w:gridCol w:w="894"/>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13" w:type="dxa"/>
            <w:shd w:val="clear" w:color="auto" w:fill="EDEBE0"/>
            <w:noWrap w:val="0"/>
            <w:vAlign w:val="center"/>
          </w:tcPr>
          <w:p>
            <w:pPr>
              <w:pStyle w:val="5"/>
              <w:spacing w:before="1"/>
              <w:ind w:left="126" w:right="111"/>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614" w:type="dxa"/>
            <w:shd w:val="clear" w:color="auto" w:fill="EDEBE0"/>
            <w:noWrap w:val="0"/>
            <w:vAlign w:val="center"/>
          </w:tcPr>
          <w:p>
            <w:pPr>
              <w:pStyle w:val="5"/>
              <w:spacing w:before="1"/>
              <w:ind w:left="108" w:right="9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440" w:type="dxa"/>
            <w:shd w:val="clear" w:color="auto" w:fill="EDEBE0"/>
            <w:noWrap w:val="0"/>
            <w:vAlign w:val="center"/>
          </w:tcPr>
          <w:p>
            <w:pPr>
              <w:pStyle w:val="5"/>
              <w:spacing w:line="360" w:lineRule="exact"/>
              <w:ind w:left="874" w:right="216" w:hanging="588"/>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813" w:type="dxa"/>
            <w:shd w:val="clear" w:color="auto" w:fill="EDEBE0"/>
            <w:noWrap w:val="0"/>
            <w:vAlign w:val="center"/>
          </w:tcPr>
          <w:p>
            <w:pPr>
              <w:pStyle w:val="5"/>
              <w:spacing w:line="360" w:lineRule="exact"/>
              <w:ind w:right="16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907" w:type="dxa"/>
            <w:shd w:val="clear" w:color="auto" w:fill="EDEBE0"/>
            <w:noWrap w:val="0"/>
            <w:vAlign w:val="center"/>
          </w:tcPr>
          <w:p>
            <w:pPr>
              <w:pStyle w:val="5"/>
              <w:spacing w:line="360" w:lineRule="exact"/>
              <w:ind w:left="194" w:right="14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866" w:type="dxa"/>
            <w:shd w:val="clear" w:color="auto" w:fill="EDEBE0"/>
            <w:noWrap w:val="0"/>
            <w:vAlign w:val="center"/>
          </w:tcPr>
          <w:p>
            <w:pPr>
              <w:pStyle w:val="5"/>
              <w:spacing w:line="360" w:lineRule="exact"/>
              <w:ind w:left="265" w:right="91" w:hanging="118"/>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894" w:type="dxa"/>
            <w:shd w:val="clear" w:color="auto" w:fill="EDEBE0"/>
            <w:noWrap w:val="0"/>
            <w:vAlign w:val="center"/>
          </w:tcPr>
          <w:p>
            <w:pPr>
              <w:pStyle w:val="5"/>
              <w:spacing w:line="360" w:lineRule="exact"/>
              <w:ind w:left="189" w:right="13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较重要项</w:t>
            </w:r>
          </w:p>
        </w:tc>
        <w:tc>
          <w:tcPr>
            <w:tcW w:w="919" w:type="dxa"/>
            <w:shd w:val="clear" w:color="auto" w:fill="EDEBE0"/>
            <w:noWrap w:val="0"/>
            <w:vAlign w:val="center"/>
          </w:tcPr>
          <w:p>
            <w:pPr>
              <w:pStyle w:val="5"/>
              <w:spacing w:line="360" w:lineRule="exact"/>
              <w:ind w:left="227" w:right="53" w:hanging="12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3" w:type="dxa"/>
            <w:noWrap w:val="0"/>
            <w:vAlign w:val="center"/>
          </w:tcPr>
          <w:p>
            <w:pPr>
              <w:pStyle w:val="5"/>
              <w:spacing w:before="1"/>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标志</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8</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spacing w:before="1"/>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jc w:val="center"/>
              <w:rPr>
                <w:rFonts w:hint="eastAsia" w:ascii="仿宋" w:hAnsi="仿宋" w:eastAsia="仿宋" w:cs="仿宋"/>
                <w:sz w:val="21"/>
                <w:szCs w:val="21"/>
                <w:highlight w:val="none"/>
              </w:rPr>
            </w:pPr>
          </w:p>
        </w:tc>
        <w:tc>
          <w:tcPr>
            <w:tcW w:w="894" w:type="dxa"/>
            <w:noWrap w:val="0"/>
            <w:vAlign w:val="center"/>
          </w:tcPr>
          <w:p>
            <w:pPr>
              <w:pStyle w:val="5"/>
              <w:spacing w:before="1"/>
              <w:ind w:left="1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3" w:type="dxa"/>
            <w:noWrap w:val="0"/>
            <w:vAlign w:val="center"/>
          </w:tcPr>
          <w:p>
            <w:pPr>
              <w:pStyle w:val="5"/>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防触电保护</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10</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ind w:left="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4" w:type="dxa"/>
            <w:noWrap w:val="0"/>
            <w:vAlign w:val="center"/>
          </w:tcPr>
          <w:p>
            <w:pPr>
              <w:pStyle w:val="5"/>
              <w:jc w:val="center"/>
              <w:rPr>
                <w:rFonts w:hint="eastAsia" w:ascii="仿宋" w:hAnsi="仿宋" w:eastAsia="仿宋" w:cs="仿宋"/>
                <w:sz w:val="21"/>
                <w:szCs w:val="21"/>
                <w:highlight w:val="none"/>
              </w:rPr>
            </w:pPr>
          </w:p>
        </w:tc>
        <w:tc>
          <w:tcPr>
            <w:tcW w:w="919"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813" w:type="dxa"/>
            <w:noWrap w:val="0"/>
            <w:vAlign w:val="center"/>
          </w:tcPr>
          <w:p>
            <w:pPr>
              <w:pStyle w:val="5"/>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接地措施</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11</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ind w:left="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4" w:type="dxa"/>
            <w:noWrap w:val="0"/>
            <w:vAlign w:val="center"/>
          </w:tcPr>
          <w:p>
            <w:pPr>
              <w:pStyle w:val="5"/>
              <w:jc w:val="center"/>
              <w:rPr>
                <w:rFonts w:hint="eastAsia" w:ascii="仿宋" w:hAnsi="仿宋" w:eastAsia="仿宋" w:cs="仿宋"/>
                <w:sz w:val="21"/>
                <w:szCs w:val="21"/>
                <w:highlight w:val="none"/>
              </w:rPr>
            </w:pPr>
          </w:p>
        </w:tc>
        <w:tc>
          <w:tcPr>
            <w:tcW w:w="919"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3" w:type="dxa"/>
            <w:noWrap w:val="0"/>
            <w:vAlign w:val="center"/>
          </w:tcPr>
          <w:p>
            <w:pPr>
              <w:pStyle w:val="5"/>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绝缘电阻和电气强度</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17</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spacing w:before="9"/>
              <w:jc w:val="center"/>
              <w:rPr>
                <w:rFonts w:hint="eastAsia" w:ascii="仿宋" w:hAnsi="仿宋" w:eastAsia="仿宋" w:cs="仿宋"/>
                <w:sz w:val="21"/>
                <w:szCs w:val="21"/>
                <w:highlight w:val="none"/>
              </w:rPr>
            </w:pPr>
          </w:p>
          <w:p>
            <w:pPr>
              <w:pStyle w:val="5"/>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spacing w:before="9"/>
              <w:jc w:val="center"/>
              <w:rPr>
                <w:rFonts w:hint="eastAsia" w:ascii="仿宋" w:hAnsi="仿宋" w:eastAsia="仿宋" w:cs="仿宋"/>
                <w:sz w:val="21"/>
                <w:szCs w:val="21"/>
                <w:highlight w:val="none"/>
              </w:rPr>
            </w:pPr>
          </w:p>
          <w:p>
            <w:pPr>
              <w:pStyle w:val="5"/>
              <w:ind w:left="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4" w:type="dxa"/>
            <w:noWrap w:val="0"/>
            <w:vAlign w:val="center"/>
          </w:tcPr>
          <w:p>
            <w:pPr>
              <w:pStyle w:val="5"/>
              <w:jc w:val="center"/>
              <w:rPr>
                <w:rFonts w:hint="eastAsia" w:ascii="仿宋" w:hAnsi="仿宋" w:eastAsia="仿宋" w:cs="仿宋"/>
                <w:sz w:val="21"/>
                <w:szCs w:val="21"/>
                <w:highlight w:val="none"/>
              </w:rPr>
            </w:pPr>
          </w:p>
        </w:tc>
        <w:tc>
          <w:tcPr>
            <w:tcW w:w="919"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3" w:type="dxa"/>
            <w:noWrap w:val="0"/>
            <w:vAlign w:val="center"/>
          </w:tcPr>
          <w:p>
            <w:pPr>
              <w:pStyle w:val="5"/>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耐热</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25</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ind w:left="9"/>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94" w:type="dxa"/>
            <w:noWrap w:val="0"/>
            <w:vAlign w:val="center"/>
          </w:tcPr>
          <w:p>
            <w:pPr>
              <w:pStyle w:val="5"/>
              <w:jc w:val="center"/>
              <w:rPr>
                <w:rFonts w:hint="eastAsia" w:ascii="仿宋" w:hAnsi="仿宋" w:eastAsia="仿宋" w:cs="仿宋"/>
                <w:sz w:val="21"/>
                <w:szCs w:val="21"/>
                <w:highlight w:val="none"/>
              </w:rPr>
            </w:pPr>
          </w:p>
        </w:tc>
        <w:tc>
          <w:tcPr>
            <w:tcW w:w="919" w:type="dxa"/>
            <w:noWrap w:val="0"/>
            <w:vAlign w:val="center"/>
          </w:tcPr>
          <w:p>
            <w:pPr>
              <w:pStyle w:val="5"/>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813" w:type="dxa"/>
            <w:noWrap w:val="0"/>
            <w:vAlign w:val="center"/>
          </w:tcPr>
          <w:p>
            <w:pPr>
              <w:pStyle w:val="5"/>
              <w:ind w:left="12"/>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1614" w:type="dxa"/>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爬电距离、电气间隙和通过密封胶的距离</w:t>
            </w:r>
          </w:p>
        </w:tc>
        <w:tc>
          <w:tcPr>
            <w:tcW w:w="2440" w:type="dxa"/>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2099.1-2008、GB/T 2099.7-2015</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条款 27</w:t>
            </w:r>
          </w:p>
        </w:tc>
        <w:tc>
          <w:tcPr>
            <w:tcW w:w="813" w:type="dxa"/>
            <w:noWrap w:val="0"/>
            <w:vAlign w:val="center"/>
          </w:tcPr>
          <w:p>
            <w:pPr>
              <w:pStyle w:val="5"/>
              <w:jc w:val="center"/>
              <w:rPr>
                <w:rFonts w:hint="eastAsia" w:ascii="仿宋" w:hAnsi="仿宋" w:eastAsia="仿宋" w:cs="仿宋"/>
                <w:sz w:val="21"/>
                <w:szCs w:val="21"/>
                <w:highlight w:val="none"/>
              </w:rPr>
            </w:pPr>
          </w:p>
        </w:tc>
        <w:tc>
          <w:tcPr>
            <w:tcW w:w="907" w:type="dxa"/>
            <w:noWrap w:val="0"/>
            <w:vAlign w:val="center"/>
          </w:tcPr>
          <w:p>
            <w:pPr>
              <w:pStyle w:val="5"/>
              <w:ind w:right="345"/>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866" w:type="dxa"/>
            <w:noWrap w:val="0"/>
            <w:vAlign w:val="center"/>
          </w:tcPr>
          <w:p>
            <w:pPr>
              <w:pStyle w:val="5"/>
              <w:jc w:val="center"/>
              <w:rPr>
                <w:rFonts w:hint="eastAsia" w:ascii="仿宋" w:hAnsi="仿宋" w:eastAsia="仿宋" w:cs="仿宋"/>
                <w:sz w:val="21"/>
                <w:szCs w:val="21"/>
                <w:highlight w:val="none"/>
              </w:rPr>
            </w:pPr>
          </w:p>
        </w:tc>
        <w:tc>
          <w:tcPr>
            <w:tcW w:w="894" w:type="dxa"/>
            <w:noWrap w:val="0"/>
            <w:vAlign w:val="center"/>
          </w:tcPr>
          <w:p>
            <w:pPr>
              <w:pStyle w:val="5"/>
              <w:ind w:left="1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w:t>
            </w:r>
          </w:p>
        </w:tc>
        <w:tc>
          <w:tcPr>
            <w:tcW w:w="919" w:type="dxa"/>
            <w:noWrap w:val="0"/>
            <w:vAlign w:val="center"/>
          </w:tcPr>
          <w:p>
            <w:pPr>
              <w:pStyle w:val="5"/>
              <w:jc w:val="center"/>
              <w:rPr>
                <w:rFonts w:hint="eastAsia" w:ascii="仿宋" w:hAnsi="仿宋" w:eastAsia="仿宋" w:cs="仿宋"/>
                <w:sz w:val="21"/>
                <w:szCs w:val="21"/>
                <w:highlight w:val="none"/>
              </w:rPr>
            </w:pPr>
          </w:p>
        </w:tc>
      </w:tr>
    </w:tbl>
    <w:p>
      <w:pPr>
        <w:spacing w:line="600" w:lineRule="exact"/>
        <w:ind w:firstLine="640" w:firstLineChars="200"/>
        <w:rPr>
          <w:rFonts w:eastAsia="黑体" w:cs="黑体"/>
          <w:sz w:val="32"/>
          <w:szCs w:val="32"/>
        </w:rPr>
      </w:pPr>
      <w:r>
        <w:rPr>
          <w:rFonts w:hint="eastAsia" w:eastAsia="黑体" w:cs="黑体"/>
          <w:sz w:val="32"/>
          <w:szCs w:val="32"/>
        </w:rPr>
        <w:t>三、判定规则</w:t>
      </w:r>
    </w:p>
    <w:p>
      <w:pPr>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pStyle w:val="6"/>
        <w:numPr>
          <w:ilvl w:val="0"/>
          <w:numId w:val="0"/>
        </w:numPr>
        <w:tabs>
          <w:tab w:val="left" w:pos="1387"/>
        </w:tabs>
        <w:spacing w:before="0" w:after="0" w:line="240" w:lineRule="auto"/>
        <w:ind w:right="0" w:rightChars="0" w:firstLine="643"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A）强制性标准：</w:t>
      </w:r>
      <w:r>
        <w:rPr>
          <w:rFonts w:hint="eastAsia" w:ascii="仿宋_GB2312" w:hAnsi="仿宋_GB2312" w:eastAsia="仿宋_GB2312" w:cs="仿宋_GB2312"/>
          <w:spacing w:val="-5"/>
          <w:kern w:val="2"/>
          <w:sz w:val="32"/>
          <w:szCs w:val="22"/>
          <w:highlight w:val="none"/>
          <w:lang w:val="en-US" w:eastAsia="zh-CN" w:bidi="ar-SA"/>
        </w:rPr>
        <w:t>无</w:t>
      </w:r>
    </w:p>
    <w:p>
      <w:pPr>
        <w:pStyle w:val="6"/>
        <w:numPr>
          <w:ilvl w:val="0"/>
          <w:numId w:val="0"/>
        </w:numPr>
        <w:tabs>
          <w:tab w:val="left" w:pos="1387"/>
        </w:tabs>
        <w:spacing w:before="0" w:after="0" w:line="240" w:lineRule="auto"/>
        <w:ind w:right="0" w:rightChars="0" w:firstLine="643"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B）推荐性标准：</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2099.1-2008 《家用和类似用途插头插座第1部分：通用要求》</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2099.3-2015《家用和类似用途插头插座第2-5部分：转换器的特殊要求》</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2099.7-2015《家用和类似用途插头插座第2-7部分：延长线插座的特殊要求》</w:t>
      </w:r>
    </w:p>
    <w:p>
      <w:pPr>
        <w:spacing w:line="240" w:lineRule="auto"/>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GB/T 1002-2008 《家用和类似用途单相插头插座型式、基本参数和尺寸》</w:t>
      </w:r>
    </w:p>
    <w:p>
      <w:pPr>
        <w:spacing w:line="240" w:lineRule="auto"/>
        <w:ind w:firstLine="623" w:firstLineChars="200"/>
        <w:rPr>
          <w:rFonts w:hint="eastAsia" w:ascii="仿宋_GB2312" w:hAnsi="仿宋_GB2312" w:eastAsia="仿宋_GB2312" w:cs="仿宋_GB2312"/>
          <w:b/>
          <w:bCs/>
          <w:spacing w:val="-5"/>
          <w:kern w:val="2"/>
          <w:sz w:val="32"/>
          <w:szCs w:val="22"/>
          <w:highlight w:val="none"/>
          <w:lang w:val="en-US" w:eastAsia="zh-CN" w:bidi="ar-SA"/>
        </w:rPr>
      </w:pPr>
      <w:r>
        <w:rPr>
          <w:rFonts w:hint="eastAsia" w:ascii="仿宋_GB2312" w:hAnsi="仿宋_GB2312" w:eastAsia="仿宋_GB2312" w:cs="仿宋_GB2312"/>
          <w:b/>
          <w:bCs/>
          <w:spacing w:val="-5"/>
          <w:kern w:val="2"/>
          <w:sz w:val="32"/>
          <w:szCs w:val="22"/>
          <w:highlight w:val="none"/>
          <w:lang w:val="en-US" w:eastAsia="zh-CN" w:bidi="ar-SA"/>
        </w:rPr>
        <w:t>C）商品标示执行的标准或商品明示指标。</w:t>
      </w:r>
    </w:p>
    <w:p>
      <w:pPr>
        <w:ind w:firstLine="620" w:firstLineChars="200"/>
        <w:rPr>
          <w:rFonts w:hint="eastAsia" w:ascii="仿宋_GB2312" w:hAnsi="仿宋_GB2312" w:eastAsia="仿宋_GB2312" w:cs="仿宋_GB2312"/>
          <w:spacing w:val="-5"/>
          <w:kern w:val="2"/>
          <w:sz w:val="32"/>
          <w:szCs w:val="22"/>
          <w:highlight w:val="none"/>
          <w:lang w:val="en-US" w:eastAsia="zh-CN" w:bidi="ar-SA"/>
        </w:rPr>
      </w:pPr>
      <w:r>
        <w:rPr>
          <w:rFonts w:hint="eastAsia" w:ascii="仿宋_GB2312" w:hAnsi="仿宋_GB2312" w:eastAsia="仿宋_GB2312" w:cs="仿宋_GB2312"/>
          <w:spacing w:val="-5"/>
          <w:kern w:val="2"/>
          <w:sz w:val="32"/>
          <w:szCs w:val="22"/>
          <w:highlight w:val="none"/>
          <w:lang w:val="en-US" w:eastAsia="zh-CN" w:bidi="ar-SA"/>
        </w:rPr>
        <w:t>商品标示执行的标准或商品明示指标劣于相关强制性标准的，以相关强制性标准作为依据。</w:t>
      </w:r>
    </w:p>
    <w:p>
      <w:pPr>
        <w:widowControl/>
        <w:spacing w:line="600" w:lineRule="exact"/>
        <w:ind w:firstLine="640" w:firstLineChars="200"/>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经检验，检验项目全部合格，判定为被抽查产品所检项目未发现不合格；检验项目中任一项或一项以上不合格，判定为被抽查产品不合格。</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若被检产品明示的质量要求高于本细则中检验项目依据的标准要求时，应按被检产品明示的质量要求判定。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若被检产品明示的质量要求低于或包含本细则中检验项目依据的推荐性标准要求时，应以被检产品明示的质量要求判定。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若被检产品明示的质量要求缺少本细则中检验项目依据的推荐性标准要求时，该项目不参与判定。</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7"/>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B3E3D"/>
    <w:rsid w:val="7B3B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Table Paragraph"/>
    <w:basedOn w:val="1"/>
    <w:qFormat/>
    <w:uiPriority w:val="99"/>
    <w:rPr>
      <w:rFonts w:eastAsia="仿宋_GB2312"/>
      <w:sz w:val="32"/>
    </w:rPr>
  </w:style>
  <w:style w:type="paragraph" w:customStyle="1" w:styleId="6">
    <w:name w:val="List Paragraph"/>
    <w:basedOn w:val="1"/>
    <w:qFormat/>
    <w:uiPriority w:val="1"/>
    <w:pPr>
      <w:ind w:left="426" w:firstLine="633"/>
    </w:pPr>
    <w:rPr>
      <w:rFonts w:ascii="仿宋_GB2312" w:hAnsi="仿宋_GB2312" w:eastAsia="仿宋_GB2312" w:cs="仿宋_GB2312"/>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2021-12-09T01:35:00Z</dcterms:created>
  <dc:creator>林熙镇</dc:creator>
  <cp:lastModifiedBy>林熙镇</cp:lastModifiedBy>
  <dcterms:modified xsi:type="dcterms:W3CDTF">2021-12-09T01:35:07Z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