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left="0" w:leftChars="0" w:firstLine="0" w:firstLineChars="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附件2</w:t>
      </w:r>
    </w:p>
    <w:p>
      <w:pPr>
        <w:widowControl/>
        <w:spacing w:line="600" w:lineRule="exact"/>
        <w:ind w:left="0" w:leftChars="0" w:firstLine="0" w:firstLineChars="0"/>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2021年汕尾市电力器具专用配件产品</w:t>
      </w:r>
    </w:p>
    <w:p>
      <w:pPr>
        <w:widowControl/>
        <w:spacing w:line="600" w:lineRule="exact"/>
        <w:ind w:left="0" w:leftChars="0" w:firstLine="0" w:firstLineChars="0"/>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质量监督抽查实施细则</w:t>
      </w:r>
    </w:p>
    <w:p>
      <w:pPr>
        <w:widowControl/>
        <w:spacing w:line="600" w:lineRule="exact"/>
        <w:ind w:left="0" w:leftChars="0" w:firstLine="0" w:firstLineChars="0"/>
        <w:jc w:val="left"/>
        <w:rPr>
          <w:rFonts w:hint="eastAsia" w:ascii="仿宋_GB2312" w:hAnsi="仿宋_GB2312" w:eastAsia="仿宋_GB2312" w:cs="仿宋_GB2312"/>
          <w:kern w:val="0"/>
          <w:sz w:val="32"/>
          <w:szCs w:val="32"/>
          <w:lang w:val="en-US" w:eastAsia="zh-CN"/>
        </w:rPr>
      </w:pPr>
    </w:p>
    <w:p>
      <w:pPr>
        <w:spacing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一、抽样方法</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以随机抽样的方式在被</w:t>
      </w:r>
      <w:r>
        <w:rPr>
          <w:rFonts w:hint="eastAsia" w:ascii="仿宋_GB2312" w:hAnsi="仿宋_GB2312" w:eastAsia="仿宋_GB2312" w:cs="仿宋_GB2312"/>
          <w:kern w:val="0"/>
          <w:sz w:val="32"/>
          <w:szCs w:val="32"/>
          <w:lang w:eastAsia="zh-CN"/>
        </w:rPr>
        <w:t>抽查市场主体</w:t>
      </w:r>
      <w:r>
        <w:rPr>
          <w:rFonts w:hint="eastAsia" w:ascii="仿宋_GB2312" w:hAnsi="仿宋_GB2312" w:eastAsia="仿宋_GB2312" w:cs="仿宋_GB2312"/>
          <w:kern w:val="0"/>
          <w:sz w:val="32"/>
          <w:szCs w:val="32"/>
        </w:rPr>
        <w:t>的待销产品中抽取。</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随机数一般可使用随机数表等方法产生。</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抽查数量：每款产品抽取2组样本，第1组用于检验，第2组用于备样。具体抽样数量和方法如下：</w:t>
      </w:r>
    </w:p>
    <w:tbl>
      <w:tblPr>
        <w:tblStyle w:val="3"/>
        <w:tblW w:w="8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4118"/>
        <w:gridCol w:w="1823"/>
        <w:gridCol w:w="1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75" w:type="dxa"/>
            <w:noWrap w:val="0"/>
            <w:vAlign w:val="center"/>
          </w:tcPr>
          <w:p>
            <w:pPr>
              <w:pStyle w:val="5"/>
              <w:spacing w:before="61" w:line="240" w:lineRule="auto"/>
              <w:ind w:right="174"/>
              <w:jc w:val="center"/>
              <w:rPr>
                <w:rFonts w:hint="eastAsia" w:ascii="华文仿宋" w:hAnsi="华文仿宋" w:eastAsia="华文仿宋" w:cs="华文仿宋"/>
                <w:b/>
                <w:bCs/>
                <w:sz w:val="28"/>
                <w:szCs w:val="28"/>
                <w:highlight w:val="none"/>
              </w:rPr>
            </w:pPr>
            <w:r>
              <w:rPr>
                <w:rFonts w:hint="eastAsia" w:ascii="华文仿宋" w:hAnsi="华文仿宋" w:eastAsia="华文仿宋" w:cs="华文仿宋"/>
                <w:b/>
                <w:bCs/>
                <w:sz w:val="28"/>
                <w:szCs w:val="28"/>
                <w:highlight w:val="none"/>
              </w:rPr>
              <w:t>序号</w:t>
            </w:r>
          </w:p>
        </w:tc>
        <w:tc>
          <w:tcPr>
            <w:tcW w:w="4118" w:type="dxa"/>
            <w:noWrap w:val="0"/>
            <w:vAlign w:val="center"/>
          </w:tcPr>
          <w:p>
            <w:pPr>
              <w:pStyle w:val="5"/>
              <w:spacing w:before="61" w:line="240" w:lineRule="auto"/>
              <w:ind w:left="35" w:right="20"/>
              <w:jc w:val="center"/>
              <w:rPr>
                <w:rFonts w:hint="eastAsia" w:ascii="华文仿宋" w:hAnsi="华文仿宋" w:eastAsia="华文仿宋" w:cs="华文仿宋"/>
                <w:b/>
                <w:bCs/>
                <w:sz w:val="28"/>
                <w:szCs w:val="28"/>
                <w:highlight w:val="none"/>
              </w:rPr>
            </w:pPr>
            <w:r>
              <w:rPr>
                <w:rFonts w:hint="eastAsia" w:ascii="华文仿宋" w:hAnsi="华文仿宋" w:eastAsia="华文仿宋" w:cs="华文仿宋"/>
                <w:b/>
                <w:bCs/>
                <w:sz w:val="28"/>
                <w:szCs w:val="28"/>
                <w:highlight w:val="none"/>
              </w:rPr>
              <w:t>产品名称</w:t>
            </w:r>
          </w:p>
        </w:tc>
        <w:tc>
          <w:tcPr>
            <w:tcW w:w="1823" w:type="dxa"/>
            <w:noWrap w:val="0"/>
            <w:vAlign w:val="center"/>
          </w:tcPr>
          <w:p>
            <w:pPr>
              <w:pStyle w:val="5"/>
              <w:spacing w:before="61" w:line="240" w:lineRule="auto"/>
              <w:ind w:right="351"/>
              <w:jc w:val="center"/>
              <w:rPr>
                <w:rFonts w:hint="eastAsia" w:ascii="华文仿宋" w:hAnsi="华文仿宋" w:eastAsia="华文仿宋" w:cs="华文仿宋"/>
                <w:b/>
                <w:bCs/>
                <w:sz w:val="28"/>
                <w:szCs w:val="28"/>
                <w:highlight w:val="none"/>
              </w:rPr>
            </w:pPr>
            <w:r>
              <w:rPr>
                <w:rFonts w:hint="eastAsia" w:ascii="华文仿宋" w:hAnsi="华文仿宋" w:eastAsia="华文仿宋" w:cs="华文仿宋"/>
                <w:b/>
                <w:bCs/>
                <w:sz w:val="28"/>
                <w:szCs w:val="28"/>
                <w:highlight w:val="none"/>
              </w:rPr>
              <w:t>第1组数量</w:t>
            </w:r>
          </w:p>
        </w:tc>
        <w:tc>
          <w:tcPr>
            <w:tcW w:w="1741" w:type="dxa"/>
            <w:noWrap w:val="0"/>
            <w:vAlign w:val="center"/>
          </w:tcPr>
          <w:p>
            <w:pPr>
              <w:pStyle w:val="5"/>
              <w:spacing w:before="49" w:line="240" w:lineRule="auto"/>
              <w:ind w:right="473"/>
              <w:jc w:val="center"/>
              <w:rPr>
                <w:rFonts w:hint="eastAsia" w:ascii="华文仿宋" w:hAnsi="华文仿宋" w:eastAsia="华文仿宋" w:cs="华文仿宋"/>
                <w:b/>
                <w:bCs/>
                <w:sz w:val="28"/>
                <w:szCs w:val="28"/>
                <w:highlight w:val="none"/>
              </w:rPr>
            </w:pPr>
            <w:r>
              <w:rPr>
                <w:rFonts w:hint="eastAsia" w:ascii="华文仿宋" w:hAnsi="华文仿宋" w:eastAsia="华文仿宋" w:cs="华文仿宋"/>
                <w:b/>
                <w:bCs/>
                <w:sz w:val="28"/>
                <w:szCs w:val="28"/>
                <w:highlight w:val="none"/>
              </w:rPr>
              <w:t>第2组数量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775" w:type="dxa"/>
            <w:noWrap w:val="0"/>
            <w:vAlign w:val="center"/>
          </w:tcPr>
          <w:p>
            <w:pPr>
              <w:pStyle w:val="5"/>
              <w:spacing w:before="74" w:line="240" w:lineRule="auto"/>
              <w:ind w:left="13"/>
              <w:jc w:val="center"/>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w:t>
            </w:r>
          </w:p>
        </w:tc>
        <w:tc>
          <w:tcPr>
            <w:tcW w:w="4118" w:type="dxa"/>
            <w:noWrap w:val="0"/>
            <w:vAlign w:val="center"/>
          </w:tcPr>
          <w:p>
            <w:pPr>
              <w:pStyle w:val="5"/>
              <w:spacing w:before="63" w:line="240" w:lineRule="auto"/>
              <w:ind w:left="40" w:right="18"/>
              <w:jc w:val="center"/>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固定式插座、转换器</w:t>
            </w:r>
          </w:p>
        </w:tc>
        <w:tc>
          <w:tcPr>
            <w:tcW w:w="1823" w:type="dxa"/>
            <w:noWrap w:val="0"/>
            <w:vAlign w:val="center"/>
          </w:tcPr>
          <w:p>
            <w:pPr>
              <w:pStyle w:val="5"/>
              <w:spacing w:before="63" w:line="240" w:lineRule="auto"/>
              <w:ind w:left="363" w:right="351"/>
              <w:jc w:val="center"/>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3 只</w:t>
            </w:r>
          </w:p>
        </w:tc>
        <w:tc>
          <w:tcPr>
            <w:tcW w:w="1741" w:type="dxa"/>
            <w:noWrap w:val="0"/>
            <w:vAlign w:val="center"/>
          </w:tcPr>
          <w:p>
            <w:pPr>
              <w:pStyle w:val="5"/>
              <w:spacing w:before="63" w:line="240" w:lineRule="auto"/>
              <w:ind w:left="486" w:right="473"/>
              <w:jc w:val="center"/>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 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775" w:type="dxa"/>
            <w:noWrap w:val="0"/>
            <w:vAlign w:val="center"/>
          </w:tcPr>
          <w:p>
            <w:pPr>
              <w:pStyle w:val="5"/>
              <w:spacing w:before="73" w:line="240" w:lineRule="auto"/>
              <w:ind w:left="13"/>
              <w:jc w:val="center"/>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w:t>
            </w:r>
          </w:p>
        </w:tc>
        <w:tc>
          <w:tcPr>
            <w:tcW w:w="4118" w:type="dxa"/>
            <w:noWrap w:val="0"/>
            <w:vAlign w:val="center"/>
          </w:tcPr>
          <w:p>
            <w:pPr>
              <w:pStyle w:val="5"/>
              <w:spacing w:before="62" w:line="240" w:lineRule="auto"/>
              <w:ind w:left="40" w:right="20"/>
              <w:jc w:val="center"/>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延长线插座、移动式插座</w:t>
            </w:r>
          </w:p>
        </w:tc>
        <w:tc>
          <w:tcPr>
            <w:tcW w:w="1823" w:type="dxa"/>
            <w:noWrap w:val="0"/>
            <w:vAlign w:val="center"/>
          </w:tcPr>
          <w:p>
            <w:pPr>
              <w:pStyle w:val="5"/>
              <w:spacing w:before="62" w:line="240" w:lineRule="auto"/>
              <w:ind w:left="363" w:right="351"/>
              <w:jc w:val="center"/>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3 只</w:t>
            </w:r>
          </w:p>
        </w:tc>
        <w:tc>
          <w:tcPr>
            <w:tcW w:w="1741" w:type="dxa"/>
            <w:noWrap w:val="0"/>
            <w:vAlign w:val="center"/>
          </w:tcPr>
          <w:p>
            <w:pPr>
              <w:pStyle w:val="5"/>
              <w:spacing w:before="62" w:line="240" w:lineRule="auto"/>
              <w:ind w:left="486" w:right="473"/>
              <w:jc w:val="center"/>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 只</w:t>
            </w:r>
          </w:p>
        </w:tc>
      </w:tr>
    </w:tbl>
    <w:p>
      <w:pPr>
        <w:pStyle w:val="6"/>
        <w:numPr>
          <w:ilvl w:val="0"/>
          <w:numId w:val="0"/>
        </w:numPr>
        <w:tabs>
          <w:tab w:val="left" w:pos="1867"/>
        </w:tabs>
        <w:spacing w:before="180" w:after="0" w:line="343" w:lineRule="auto"/>
        <w:ind w:leftChars="210" w:right="106" w:rightChars="0"/>
        <w:jc w:val="left"/>
        <w:rPr>
          <w:rFonts w:hint="eastAsia" w:eastAsia="黑体" w:cs="黑体"/>
          <w:color w:val="000000"/>
          <w:sz w:val="32"/>
          <w:szCs w:val="32"/>
        </w:rPr>
      </w:pPr>
      <w:r>
        <w:rPr>
          <w:rFonts w:hint="eastAsia" w:eastAsia="黑体" w:cs="黑体"/>
          <w:color w:val="000000"/>
          <w:sz w:val="32"/>
          <w:szCs w:val="32"/>
          <w:lang w:eastAsia="zh-CN"/>
        </w:rPr>
        <w:t>二、主</w:t>
      </w:r>
      <w:r>
        <w:rPr>
          <w:rFonts w:hint="eastAsia" w:eastAsia="黑体" w:cs="黑体"/>
          <w:color w:val="000000"/>
          <w:sz w:val="32"/>
          <w:szCs w:val="32"/>
        </w:rPr>
        <w:t>要检验项目及检验项目属性划分</w:t>
      </w:r>
    </w:p>
    <w:p>
      <w:pPr>
        <w:pStyle w:val="6"/>
        <w:numPr>
          <w:ilvl w:val="0"/>
          <w:numId w:val="0"/>
        </w:numPr>
        <w:tabs>
          <w:tab w:val="left" w:pos="746"/>
        </w:tabs>
        <w:spacing w:before="180" w:after="27" w:line="240" w:lineRule="auto"/>
        <w:ind w:left="425" w:leftChars="0" w:right="0" w:rightChars="0"/>
        <w:jc w:val="left"/>
        <w:rPr>
          <w:rFonts w:hint="eastAsia" w:ascii="仿宋_GB2312" w:hAnsi="仿宋_GB2312" w:eastAsia="仿宋_GB2312" w:cs="仿宋_GB2312"/>
          <w:sz w:val="32"/>
          <w:highlight w:val="none"/>
        </w:rPr>
      </w:pPr>
      <w:r>
        <w:rPr>
          <w:rFonts w:hint="eastAsia" w:ascii="仿宋_GB2312" w:hAnsi="仿宋_GB2312" w:eastAsia="仿宋_GB2312" w:cs="仿宋_GB2312"/>
          <w:spacing w:val="-5"/>
          <w:sz w:val="32"/>
          <w:highlight w:val="none"/>
          <w:lang w:val="en-US" w:eastAsia="zh-CN"/>
        </w:rPr>
        <w:t>1.</w:t>
      </w:r>
      <w:r>
        <w:rPr>
          <w:rFonts w:hint="eastAsia" w:ascii="仿宋_GB2312" w:hAnsi="仿宋_GB2312" w:eastAsia="仿宋_GB2312" w:cs="仿宋_GB2312"/>
          <w:spacing w:val="-5"/>
          <w:sz w:val="32"/>
          <w:highlight w:val="none"/>
        </w:rPr>
        <w:t>固定式插座、转换器</w:t>
      </w:r>
    </w:p>
    <w:tbl>
      <w:tblPr>
        <w:tblStyle w:val="3"/>
        <w:tblW w:w="9210" w:type="dxa"/>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1602"/>
        <w:gridCol w:w="2453"/>
        <w:gridCol w:w="812"/>
        <w:gridCol w:w="879"/>
        <w:gridCol w:w="890"/>
        <w:gridCol w:w="879"/>
        <w:gridCol w:w="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27" w:type="dxa"/>
            <w:shd w:val="clear" w:color="auto" w:fill="EDEBE0"/>
            <w:noWrap w:val="0"/>
            <w:vAlign w:val="top"/>
          </w:tcPr>
          <w:p>
            <w:pPr>
              <w:pStyle w:val="5"/>
              <w:spacing w:before="1"/>
              <w:ind w:left="113" w:right="101"/>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1602" w:type="dxa"/>
            <w:shd w:val="clear" w:color="auto" w:fill="EDEBE0"/>
            <w:noWrap w:val="0"/>
            <w:vAlign w:val="top"/>
          </w:tcPr>
          <w:p>
            <w:pPr>
              <w:pStyle w:val="5"/>
              <w:spacing w:before="1"/>
              <w:ind w:left="104" w:right="8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检验项目</w:t>
            </w:r>
          </w:p>
        </w:tc>
        <w:tc>
          <w:tcPr>
            <w:tcW w:w="2453" w:type="dxa"/>
            <w:shd w:val="clear" w:color="auto" w:fill="EDEBE0"/>
            <w:noWrap w:val="0"/>
            <w:vAlign w:val="center"/>
          </w:tcPr>
          <w:p>
            <w:pPr>
              <w:pStyle w:val="5"/>
              <w:spacing w:line="360" w:lineRule="exact"/>
              <w:ind w:left="726" w:right="68" w:hanging="588"/>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依据法律法规或标准</w:t>
            </w:r>
          </w:p>
        </w:tc>
        <w:tc>
          <w:tcPr>
            <w:tcW w:w="812" w:type="dxa"/>
            <w:shd w:val="clear" w:color="auto" w:fill="EDEBE0"/>
            <w:noWrap w:val="0"/>
            <w:vAlign w:val="top"/>
          </w:tcPr>
          <w:p>
            <w:pPr>
              <w:pStyle w:val="5"/>
              <w:spacing w:line="360" w:lineRule="exact"/>
              <w:ind w:left="286" w:right="112" w:hanging="116"/>
              <w:rPr>
                <w:rFonts w:hint="eastAsia" w:ascii="仿宋" w:hAnsi="仿宋" w:eastAsia="仿宋" w:cs="仿宋"/>
                <w:sz w:val="21"/>
                <w:szCs w:val="21"/>
                <w:highlight w:val="none"/>
              </w:rPr>
            </w:pPr>
            <w:r>
              <w:rPr>
                <w:rFonts w:hint="eastAsia" w:ascii="仿宋" w:hAnsi="仿宋" w:eastAsia="仿宋" w:cs="仿宋"/>
                <w:sz w:val="21"/>
                <w:szCs w:val="21"/>
                <w:highlight w:val="none"/>
              </w:rPr>
              <w:t>强制性</w:t>
            </w:r>
          </w:p>
        </w:tc>
        <w:tc>
          <w:tcPr>
            <w:tcW w:w="879" w:type="dxa"/>
            <w:shd w:val="clear" w:color="auto" w:fill="EDEBE0"/>
            <w:noWrap w:val="0"/>
            <w:vAlign w:val="top"/>
          </w:tcPr>
          <w:p>
            <w:pPr>
              <w:pStyle w:val="5"/>
              <w:spacing w:line="360" w:lineRule="exact"/>
              <w:ind w:left="204" w:right="146"/>
              <w:rPr>
                <w:rFonts w:hint="eastAsia" w:ascii="仿宋" w:hAnsi="仿宋" w:eastAsia="仿宋" w:cs="仿宋"/>
                <w:sz w:val="21"/>
                <w:szCs w:val="21"/>
                <w:highlight w:val="none"/>
              </w:rPr>
            </w:pPr>
            <w:r>
              <w:rPr>
                <w:rFonts w:hint="eastAsia" w:ascii="仿宋" w:hAnsi="仿宋" w:eastAsia="仿宋" w:cs="仿宋"/>
                <w:sz w:val="21"/>
                <w:szCs w:val="21"/>
                <w:highlight w:val="none"/>
              </w:rPr>
              <w:t>非强制性</w:t>
            </w:r>
          </w:p>
        </w:tc>
        <w:tc>
          <w:tcPr>
            <w:tcW w:w="890" w:type="dxa"/>
            <w:shd w:val="clear" w:color="auto" w:fill="EDEBE0"/>
            <w:noWrap w:val="0"/>
            <w:vAlign w:val="top"/>
          </w:tcPr>
          <w:p>
            <w:pPr>
              <w:pStyle w:val="5"/>
              <w:spacing w:line="360" w:lineRule="exact"/>
              <w:ind w:left="325" w:right="151" w:hanging="116"/>
              <w:rPr>
                <w:rFonts w:hint="eastAsia" w:ascii="仿宋" w:hAnsi="仿宋" w:eastAsia="仿宋" w:cs="仿宋"/>
                <w:sz w:val="21"/>
                <w:szCs w:val="21"/>
                <w:highlight w:val="none"/>
              </w:rPr>
            </w:pPr>
            <w:r>
              <w:rPr>
                <w:rFonts w:hint="eastAsia" w:ascii="仿宋" w:hAnsi="仿宋" w:eastAsia="仿宋" w:cs="仿宋"/>
                <w:sz w:val="21"/>
                <w:szCs w:val="21"/>
                <w:highlight w:val="none"/>
              </w:rPr>
              <w:t>重要项</w:t>
            </w:r>
          </w:p>
        </w:tc>
        <w:tc>
          <w:tcPr>
            <w:tcW w:w="879" w:type="dxa"/>
            <w:shd w:val="clear" w:color="auto" w:fill="EDEBE0"/>
            <w:noWrap w:val="0"/>
            <w:vAlign w:val="top"/>
          </w:tcPr>
          <w:p>
            <w:pPr>
              <w:pStyle w:val="5"/>
              <w:spacing w:line="360" w:lineRule="exact"/>
              <w:ind w:left="203" w:right="146"/>
              <w:rPr>
                <w:rFonts w:hint="eastAsia" w:ascii="仿宋" w:hAnsi="仿宋" w:eastAsia="仿宋" w:cs="仿宋"/>
                <w:sz w:val="21"/>
                <w:szCs w:val="21"/>
                <w:highlight w:val="none"/>
              </w:rPr>
            </w:pPr>
            <w:r>
              <w:rPr>
                <w:rFonts w:hint="eastAsia" w:ascii="仿宋" w:hAnsi="仿宋" w:eastAsia="仿宋" w:cs="仿宋"/>
                <w:sz w:val="21"/>
                <w:szCs w:val="21"/>
                <w:highlight w:val="none"/>
              </w:rPr>
              <w:t>较重要项</w:t>
            </w:r>
          </w:p>
        </w:tc>
        <w:tc>
          <w:tcPr>
            <w:tcW w:w="868" w:type="dxa"/>
            <w:shd w:val="clear" w:color="auto" w:fill="EDEBE0"/>
            <w:noWrap w:val="0"/>
            <w:vAlign w:val="top"/>
          </w:tcPr>
          <w:p>
            <w:pPr>
              <w:pStyle w:val="5"/>
              <w:spacing w:line="360" w:lineRule="exact"/>
              <w:ind w:left="316" w:right="141" w:hanging="118"/>
              <w:rPr>
                <w:rFonts w:hint="eastAsia" w:ascii="仿宋" w:hAnsi="仿宋" w:eastAsia="仿宋" w:cs="仿宋"/>
                <w:sz w:val="21"/>
                <w:szCs w:val="21"/>
                <w:highlight w:val="none"/>
              </w:rPr>
            </w:pPr>
            <w:r>
              <w:rPr>
                <w:rFonts w:hint="eastAsia" w:ascii="仿宋" w:hAnsi="仿宋" w:eastAsia="仿宋" w:cs="仿宋"/>
                <w:sz w:val="21"/>
                <w:szCs w:val="21"/>
                <w:highlight w:val="none"/>
              </w:rPr>
              <w:t>次要项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827" w:type="dxa"/>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602" w:type="dxa"/>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标志</w:t>
            </w:r>
          </w:p>
        </w:tc>
        <w:tc>
          <w:tcPr>
            <w:tcW w:w="2453" w:type="dxa"/>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2099.1-2008、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2099.3-2015</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条款 8</w:t>
            </w:r>
          </w:p>
        </w:tc>
        <w:tc>
          <w:tcPr>
            <w:tcW w:w="812" w:type="dxa"/>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879" w:type="dxa"/>
            <w:noWrap w:val="0"/>
            <w:vAlign w:val="center"/>
          </w:tcPr>
          <w:p>
            <w:pPr>
              <w:pStyle w:val="5"/>
              <w:spacing w:before="165"/>
              <w:ind w:right="354"/>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90" w:type="dxa"/>
            <w:noWrap w:val="0"/>
            <w:vAlign w:val="center"/>
          </w:tcPr>
          <w:p>
            <w:pPr>
              <w:pStyle w:val="5"/>
              <w:jc w:val="center"/>
              <w:rPr>
                <w:rFonts w:hint="eastAsia" w:ascii="仿宋" w:hAnsi="仿宋" w:eastAsia="仿宋" w:cs="仿宋"/>
                <w:sz w:val="21"/>
                <w:szCs w:val="21"/>
                <w:highlight w:val="none"/>
              </w:rPr>
            </w:pPr>
          </w:p>
        </w:tc>
        <w:tc>
          <w:tcPr>
            <w:tcW w:w="879" w:type="dxa"/>
            <w:noWrap w:val="0"/>
            <w:vAlign w:val="center"/>
          </w:tcPr>
          <w:p>
            <w:pPr>
              <w:pStyle w:val="5"/>
              <w:spacing w:before="165"/>
              <w:ind w:left="1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68" w:type="dxa"/>
            <w:noWrap w:val="0"/>
            <w:vAlign w:val="center"/>
          </w:tcPr>
          <w:p>
            <w:pPr>
              <w:pStyle w:val="5"/>
              <w:jc w:val="center"/>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827" w:type="dxa"/>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602" w:type="dxa"/>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防触电保护</w:t>
            </w:r>
          </w:p>
        </w:tc>
        <w:tc>
          <w:tcPr>
            <w:tcW w:w="2453" w:type="dxa"/>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2099.1-2008、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2099.3-2015</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条款 10</w:t>
            </w:r>
          </w:p>
        </w:tc>
        <w:tc>
          <w:tcPr>
            <w:tcW w:w="812" w:type="dxa"/>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879" w:type="dxa"/>
            <w:noWrap w:val="0"/>
            <w:vAlign w:val="center"/>
          </w:tcPr>
          <w:p>
            <w:pPr>
              <w:pStyle w:val="5"/>
              <w:spacing w:before="164"/>
              <w:ind w:right="354"/>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90" w:type="dxa"/>
            <w:noWrap w:val="0"/>
            <w:vAlign w:val="center"/>
          </w:tcPr>
          <w:p>
            <w:pPr>
              <w:pStyle w:val="5"/>
              <w:spacing w:before="164"/>
              <w:ind w:left="1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79" w:type="dxa"/>
            <w:noWrap w:val="0"/>
            <w:vAlign w:val="center"/>
          </w:tcPr>
          <w:p>
            <w:pPr>
              <w:pStyle w:val="5"/>
              <w:jc w:val="center"/>
              <w:rPr>
                <w:rFonts w:hint="eastAsia" w:ascii="仿宋" w:hAnsi="仿宋" w:eastAsia="仿宋" w:cs="仿宋"/>
                <w:sz w:val="21"/>
                <w:szCs w:val="21"/>
                <w:highlight w:val="none"/>
              </w:rPr>
            </w:pPr>
          </w:p>
        </w:tc>
        <w:tc>
          <w:tcPr>
            <w:tcW w:w="868" w:type="dxa"/>
            <w:noWrap w:val="0"/>
            <w:vAlign w:val="center"/>
          </w:tcPr>
          <w:p>
            <w:pPr>
              <w:pStyle w:val="5"/>
              <w:jc w:val="center"/>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27" w:type="dxa"/>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602" w:type="dxa"/>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接地措施</w:t>
            </w:r>
          </w:p>
        </w:tc>
        <w:tc>
          <w:tcPr>
            <w:tcW w:w="2453" w:type="dxa"/>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2099.1-2008、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2099.3-2015</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条款 11</w:t>
            </w:r>
          </w:p>
        </w:tc>
        <w:tc>
          <w:tcPr>
            <w:tcW w:w="812" w:type="dxa"/>
            <w:noWrap w:val="0"/>
            <w:vAlign w:val="center"/>
          </w:tcPr>
          <w:p>
            <w:pPr>
              <w:pStyle w:val="5"/>
              <w:jc w:val="center"/>
              <w:rPr>
                <w:rFonts w:hint="eastAsia" w:ascii="仿宋" w:hAnsi="仿宋" w:eastAsia="仿宋" w:cs="仿宋"/>
                <w:sz w:val="21"/>
                <w:szCs w:val="21"/>
                <w:highlight w:val="none"/>
              </w:rPr>
            </w:pPr>
          </w:p>
        </w:tc>
        <w:tc>
          <w:tcPr>
            <w:tcW w:w="879" w:type="dxa"/>
            <w:noWrap w:val="0"/>
            <w:vAlign w:val="center"/>
          </w:tcPr>
          <w:p>
            <w:pPr>
              <w:pStyle w:val="5"/>
              <w:spacing w:before="164"/>
              <w:ind w:right="354"/>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90" w:type="dxa"/>
            <w:noWrap w:val="0"/>
            <w:vAlign w:val="center"/>
          </w:tcPr>
          <w:p>
            <w:pPr>
              <w:pStyle w:val="5"/>
              <w:spacing w:before="164"/>
              <w:ind w:right="35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79" w:type="dxa"/>
            <w:noWrap w:val="0"/>
            <w:vAlign w:val="center"/>
          </w:tcPr>
          <w:p>
            <w:pPr>
              <w:pStyle w:val="5"/>
              <w:jc w:val="center"/>
              <w:rPr>
                <w:rFonts w:hint="eastAsia" w:ascii="仿宋" w:hAnsi="仿宋" w:eastAsia="仿宋" w:cs="仿宋"/>
                <w:sz w:val="21"/>
                <w:szCs w:val="21"/>
                <w:highlight w:val="none"/>
              </w:rPr>
            </w:pPr>
          </w:p>
        </w:tc>
        <w:tc>
          <w:tcPr>
            <w:tcW w:w="868" w:type="dxa"/>
            <w:noWrap w:val="0"/>
            <w:vAlign w:val="top"/>
          </w:tcPr>
          <w:p>
            <w:pPr>
              <w:pStyle w:val="5"/>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27" w:type="dxa"/>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602" w:type="dxa"/>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绝缘电阻和电气强度</w:t>
            </w:r>
          </w:p>
        </w:tc>
        <w:tc>
          <w:tcPr>
            <w:tcW w:w="2453" w:type="dxa"/>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2099.1-2008、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2099.3-2015</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条款 17</w:t>
            </w:r>
          </w:p>
        </w:tc>
        <w:tc>
          <w:tcPr>
            <w:tcW w:w="812" w:type="dxa"/>
            <w:noWrap w:val="0"/>
            <w:vAlign w:val="center"/>
          </w:tcPr>
          <w:p>
            <w:pPr>
              <w:pStyle w:val="5"/>
              <w:jc w:val="center"/>
              <w:rPr>
                <w:rFonts w:hint="eastAsia" w:ascii="仿宋" w:hAnsi="仿宋" w:eastAsia="仿宋" w:cs="仿宋"/>
                <w:sz w:val="21"/>
                <w:szCs w:val="21"/>
                <w:highlight w:val="none"/>
              </w:rPr>
            </w:pPr>
          </w:p>
        </w:tc>
        <w:tc>
          <w:tcPr>
            <w:tcW w:w="879" w:type="dxa"/>
            <w:noWrap w:val="0"/>
            <w:vAlign w:val="center"/>
          </w:tcPr>
          <w:p>
            <w:pPr>
              <w:pStyle w:val="5"/>
              <w:spacing w:before="166"/>
              <w:ind w:right="354"/>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90" w:type="dxa"/>
            <w:noWrap w:val="0"/>
            <w:vAlign w:val="center"/>
          </w:tcPr>
          <w:p>
            <w:pPr>
              <w:pStyle w:val="5"/>
              <w:spacing w:before="166"/>
              <w:ind w:right="35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79" w:type="dxa"/>
            <w:noWrap w:val="0"/>
            <w:vAlign w:val="center"/>
          </w:tcPr>
          <w:p>
            <w:pPr>
              <w:pStyle w:val="5"/>
              <w:jc w:val="center"/>
              <w:rPr>
                <w:rFonts w:hint="eastAsia" w:ascii="仿宋" w:hAnsi="仿宋" w:eastAsia="仿宋" w:cs="仿宋"/>
                <w:sz w:val="21"/>
                <w:szCs w:val="21"/>
                <w:highlight w:val="none"/>
              </w:rPr>
            </w:pPr>
          </w:p>
        </w:tc>
        <w:tc>
          <w:tcPr>
            <w:tcW w:w="868" w:type="dxa"/>
            <w:noWrap w:val="0"/>
            <w:vAlign w:val="top"/>
          </w:tcPr>
          <w:p>
            <w:pPr>
              <w:pStyle w:val="5"/>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827" w:type="dxa"/>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1602" w:type="dxa"/>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耐热</w:t>
            </w:r>
          </w:p>
        </w:tc>
        <w:tc>
          <w:tcPr>
            <w:tcW w:w="2453" w:type="dxa"/>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2099.1-2008、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2099.3-2015</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条款 25</w:t>
            </w:r>
          </w:p>
        </w:tc>
        <w:tc>
          <w:tcPr>
            <w:tcW w:w="812" w:type="dxa"/>
            <w:noWrap w:val="0"/>
            <w:vAlign w:val="center"/>
          </w:tcPr>
          <w:p>
            <w:pPr>
              <w:pStyle w:val="5"/>
              <w:jc w:val="center"/>
              <w:rPr>
                <w:rFonts w:hint="eastAsia" w:ascii="仿宋" w:hAnsi="仿宋" w:eastAsia="仿宋" w:cs="仿宋"/>
                <w:sz w:val="21"/>
                <w:szCs w:val="21"/>
                <w:highlight w:val="none"/>
              </w:rPr>
            </w:pPr>
          </w:p>
        </w:tc>
        <w:tc>
          <w:tcPr>
            <w:tcW w:w="879" w:type="dxa"/>
            <w:noWrap w:val="0"/>
            <w:vAlign w:val="center"/>
          </w:tcPr>
          <w:p>
            <w:pPr>
              <w:pStyle w:val="5"/>
              <w:spacing w:before="166"/>
              <w:ind w:right="354"/>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90" w:type="dxa"/>
            <w:noWrap w:val="0"/>
            <w:vAlign w:val="center"/>
          </w:tcPr>
          <w:p>
            <w:pPr>
              <w:pStyle w:val="5"/>
              <w:spacing w:before="166"/>
              <w:ind w:right="35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79" w:type="dxa"/>
            <w:noWrap w:val="0"/>
            <w:vAlign w:val="center"/>
          </w:tcPr>
          <w:p>
            <w:pPr>
              <w:pStyle w:val="5"/>
              <w:jc w:val="center"/>
              <w:rPr>
                <w:rFonts w:hint="eastAsia" w:ascii="仿宋" w:hAnsi="仿宋" w:eastAsia="仿宋" w:cs="仿宋"/>
                <w:sz w:val="21"/>
                <w:szCs w:val="21"/>
                <w:highlight w:val="none"/>
              </w:rPr>
            </w:pPr>
          </w:p>
        </w:tc>
        <w:tc>
          <w:tcPr>
            <w:tcW w:w="868" w:type="dxa"/>
            <w:noWrap w:val="0"/>
            <w:vAlign w:val="top"/>
          </w:tcPr>
          <w:p>
            <w:pPr>
              <w:pStyle w:val="5"/>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3" w:hRule="atLeast"/>
        </w:trPr>
        <w:tc>
          <w:tcPr>
            <w:tcW w:w="827" w:type="dxa"/>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1602" w:type="dxa"/>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爬电距离、电气间隙和通过密封胶的距离</w:t>
            </w:r>
          </w:p>
        </w:tc>
        <w:tc>
          <w:tcPr>
            <w:tcW w:w="2453" w:type="dxa"/>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2099.1-2008、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GB/T2099.3-2015</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条款 27</w:t>
            </w:r>
          </w:p>
        </w:tc>
        <w:tc>
          <w:tcPr>
            <w:tcW w:w="812" w:type="dxa"/>
            <w:noWrap w:val="0"/>
            <w:vAlign w:val="center"/>
          </w:tcPr>
          <w:p>
            <w:pPr>
              <w:pStyle w:val="5"/>
              <w:jc w:val="center"/>
              <w:rPr>
                <w:rFonts w:hint="eastAsia" w:ascii="仿宋" w:hAnsi="仿宋" w:eastAsia="仿宋" w:cs="仿宋"/>
                <w:sz w:val="21"/>
                <w:szCs w:val="21"/>
                <w:highlight w:val="none"/>
              </w:rPr>
            </w:pPr>
          </w:p>
        </w:tc>
        <w:tc>
          <w:tcPr>
            <w:tcW w:w="879" w:type="dxa"/>
            <w:noWrap w:val="0"/>
            <w:vAlign w:val="center"/>
          </w:tcPr>
          <w:p>
            <w:pPr>
              <w:pStyle w:val="5"/>
              <w:spacing w:before="165"/>
              <w:ind w:right="354"/>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90" w:type="dxa"/>
            <w:noWrap w:val="0"/>
            <w:vAlign w:val="center"/>
          </w:tcPr>
          <w:p>
            <w:pPr>
              <w:pStyle w:val="5"/>
              <w:jc w:val="center"/>
              <w:rPr>
                <w:rFonts w:hint="eastAsia" w:ascii="仿宋" w:hAnsi="仿宋" w:eastAsia="仿宋" w:cs="仿宋"/>
                <w:sz w:val="21"/>
                <w:szCs w:val="21"/>
                <w:highlight w:val="none"/>
              </w:rPr>
            </w:pPr>
          </w:p>
        </w:tc>
        <w:tc>
          <w:tcPr>
            <w:tcW w:w="879" w:type="dxa"/>
            <w:noWrap w:val="0"/>
            <w:vAlign w:val="center"/>
          </w:tcPr>
          <w:p>
            <w:pPr>
              <w:pStyle w:val="5"/>
              <w:spacing w:before="165"/>
              <w:ind w:left="1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68" w:type="dxa"/>
            <w:noWrap w:val="0"/>
            <w:vAlign w:val="top"/>
          </w:tcPr>
          <w:p>
            <w:pPr>
              <w:pStyle w:val="5"/>
              <w:rPr>
                <w:rFonts w:hint="eastAsia" w:ascii="仿宋" w:hAnsi="仿宋" w:eastAsia="仿宋" w:cs="仿宋"/>
                <w:sz w:val="21"/>
                <w:szCs w:val="21"/>
                <w:highlight w:val="none"/>
              </w:rPr>
            </w:pPr>
          </w:p>
        </w:tc>
      </w:tr>
    </w:tbl>
    <w:p>
      <w:pPr>
        <w:pStyle w:val="6"/>
        <w:numPr>
          <w:ilvl w:val="0"/>
          <w:numId w:val="0"/>
        </w:numPr>
        <w:tabs>
          <w:tab w:val="left" w:pos="746"/>
        </w:tabs>
        <w:spacing w:before="55" w:after="27" w:line="240" w:lineRule="auto"/>
        <w:ind w:left="425" w:leftChars="0" w:right="0" w:rightChars="0"/>
        <w:jc w:val="left"/>
        <w:rPr>
          <w:rFonts w:hint="eastAsia" w:ascii="仿宋_GB2312" w:hAnsi="仿宋_GB2312" w:eastAsia="仿宋_GB2312" w:cs="仿宋_GB2312"/>
          <w:sz w:val="32"/>
          <w:highlight w:val="none"/>
        </w:rPr>
      </w:pPr>
      <w:r>
        <w:rPr>
          <w:rFonts w:hint="eastAsia" w:ascii="仿宋_GB2312" w:hAnsi="仿宋_GB2312" w:eastAsia="仿宋_GB2312" w:cs="仿宋_GB2312"/>
          <w:spacing w:val="-5"/>
          <w:sz w:val="32"/>
          <w:highlight w:val="none"/>
          <w:lang w:val="en-US" w:eastAsia="zh-CN"/>
        </w:rPr>
        <w:t>2.</w:t>
      </w:r>
      <w:r>
        <w:rPr>
          <w:rFonts w:hint="eastAsia" w:ascii="仿宋_GB2312" w:hAnsi="仿宋_GB2312" w:eastAsia="仿宋_GB2312" w:cs="仿宋_GB2312"/>
          <w:spacing w:val="-5"/>
          <w:sz w:val="32"/>
          <w:highlight w:val="none"/>
        </w:rPr>
        <w:t>延长线插座、移动式插座</w:t>
      </w:r>
    </w:p>
    <w:tbl>
      <w:tblPr>
        <w:tblStyle w:val="3"/>
        <w:tblW w:w="9266" w:type="dxa"/>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3"/>
        <w:gridCol w:w="1614"/>
        <w:gridCol w:w="2440"/>
        <w:gridCol w:w="813"/>
        <w:gridCol w:w="907"/>
        <w:gridCol w:w="866"/>
        <w:gridCol w:w="894"/>
        <w:gridCol w:w="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13" w:type="dxa"/>
            <w:shd w:val="clear" w:color="auto" w:fill="EDEBE0"/>
            <w:noWrap w:val="0"/>
            <w:vAlign w:val="center"/>
          </w:tcPr>
          <w:p>
            <w:pPr>
              <w:pStyle w:val="5"/>
              <w:spacing w:before="1"/>
              <w:ind w:left="126" w:right="111"/>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1614" w:type="dxa"/>
            <w:shd w:val="clear" w:color="auto" w:fill="EDEBE0"/>
            <w:noWrap w:val="0"/>
            <w:vAlign w:val="center"/>
          </w:tcPr>
          <w:p>
            <w:pPr>
              <w:pStyle w:val="5"/>
              <w:spacing w:before="1"/>
              <w:ind w:left="108" w:right="9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检验项目</w:t>
            </w:r>
          </w:p>
        </w:tc>
        <w:tc>
          <w:tcPr>
            <w:tcW w:w="2440" w:type="dxa"/>
            <w:shd w:val="clear" w:color="auto" w:fill="EDEBE0"/>
            <w:noWrap w:val="0"/>
            <w:vAlign w:val="center"/>
          </w:tcPr>
          <w:p>
            <w:pPr>
              <w:pStyle w:val="5"/>
              <w:spacing w:line="360" w:lineRule="exact"/>
              <w:ind w:left="874" w:right="216" w:hanging="588"/>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依据法律法规或标准</w:t>
            </w:r>
          </w:p>
        </w:tc>
        <w:tc>
          <w:tcPr>
            <w:tcW w:w="813" w:type="dxa"/>
            <w:shd w:val="clear" w:color="auto" w:fill="EDEBE0"/>
            <w:noWrap w:val="0"/>
            <w:vAlign w:val="center"/>
          </w:tcPr>
          <w:p>
            <w:pPr>
              <w:pStyle w:val="5"/>
              <w:spacing w:line="360" w:lineRule="exact"/>
              <w:ind w:right="16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强制性</w:t>
            </w:r>
          </w:p>
        </w:tc>
        <w:tc>
          <w:tcPr>
            <w:tcW w:w="907" w:type="dxa"/>
            <w:shd w:val="clear" w:color="auto" w:fill="EDEBE0"/>
            <w:noWrap w:val="0"/>
            <w:vAlign w:val="center"/>
          </w:tcPr>
          <w:p>
            <w:pPr>
              <w:pStyle w:val="5"/>
              <w:spacing w:line="360" w:lineRule="exact"/>
              <w:ind w:left="194" w:right="14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非强制性</w:t>
            </w:r>
          </w:p>
        </w:tc>
        <w:tc>
          <w:tcPr>
            <w:tcW w:w="866" w:type="dxa"/>
            <w:shd w:val="clear" w:color="auto" w:fill="EDEBE0"/>
            <w:noWrap w:val="0"/>
            <w:vAlign w:val="center"/>
          </w:tcPr>
          <w:p>
            <w:pPr>
              <w:pStyle w:val="5"/>
              <w:spacing w:line="360" w:lineRule="exact"/>
              <w:ind w:left="265" w:right="91" w:hanging="118"/>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重要项</w:t>
            </w:r>
          </w:p>
        </w:tc>
        <w:tc>
          <w:tcPr>
            <w:tcW w:w="894" w:type="dxa"/>
            <w:shd w:val="clear" w:color="auto" w:fill="EDEBE0"/>
            <w:noWrap w:val="0"/>
            <w:vAlign w:val="center"/>
          </w:tcPr>
          <w:p>
            <w:pPr>
              <w:pStyle w:val="5"/>
              <w:spacing w:line="360" w:lineRule="exact"/>
              <w:ind w:left="189" w:right="13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较重要项</w:t>
            </w:r>
          </w:p>
        </w:tc>
        <w:tc>
          <w:tcPr>
            <w:tcW w:w="919" w:type="dxa"/>
            <w:shd w:val="clear" w:color="auto" w:fill="EDEBE0"/>
            <w:noWrap w:val="0"/>
            <w:vAlign w:val="center"/>
          </w:tcPr>
          <w:p>
            <w:pPr>
              <w:pStyle w:val="5"/>
              <w:spacing w:line="360" w:lineRule="exact"/>
              <w:ind w:left="227" w:right="53" w:hanging="12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次要项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813" w:type="dxa"/>
            <w:noWrap w:val="0"/>
            <w:vAlign w:val="center"/>
          </w:tcPr>
          <w:p>
            <w:pPr>
              <w:pStyle w:val="5"/>
              <w:spacing w:before="1"/>
              <w:ind w:left="1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614" w:type="dxa"/>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标志</w:t>
            </w:r>
          </w:p>
        </w:tc>
        <w:tc>
          <w:tcPr>
            <w:tcW w:w="2440" w:type="dxa"/>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2099.1-2008、GB/T 2099.7-2015</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条款 8</w:t>
            </w:r>
          </w:p>
        </w:tc>
        <w:tc>
          <w:tcPr>
            <w:tcW w:w="813" w:type="dxa"/>
            <w:noWrap w:val="0"/>
            <w:vAlign w:val="center"/>
          </w:tcPr>
          <w:p>
            <w:pPr>
              <w:pStyle w:val="5"/>
              <w:jc w:val="center"/>
              <w:rPr>
                <w:rFonts w:hint="eastAsia" w:ascii="仿宋" w:hAnsi="仿宋" w:eastAsia="仿宋" w:cs="仿宋"/>
                <w:sz w:val="21"/>
                <w:szCs w:val="21"/>
                <w:highlight w:val="none"/>
              </w:rPr>
            </w:pPr>
          </w:p>
        </w:tc>
        <w:tc>
          <w:tcPr>
            <w:tcW w:w="907" w:type="dxa"/>
            <w:noWrap w:val="0"/>
            <w:vAlign w:val="center"/>
          </w:tcPr>
          <w:p>
            <w:pPr>
              <w:pStyle w:val="5"/>
              <w:spacing w:before="1"/>
              <w:ind w:right="34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66" w:type="dxa"/>
            <w:noWrap w:val="0"/>
            <w:vAlign w:val="center"/>
          </w:tcPr>
          <w:p>
            <w:pPr>
              <w:pStyle w:val="5"/>
              <w:jc w:val="center"/>
              <w:rPr>
                <w:rFonts w:hint="eastAsia" w:ascii="仿宋" w:hAnsi="仿宋" w:eastAsia="仿宋" w:cs="仿宋"/>
                <w:sz w:val="21"/>
                <w:szCs w:val="21"/>
                <w:highlight w:val="none"/>
              </w:rPr>
            </w:pPr>
          </w:p>
        </w:tc>
        <w:tc>
          <w:tcPr>
            <w:tcW w:w="894" w:type="dxa"/>
            <w:noWrap w:val="0"/>
            <w:vAlign w:val="center"/>
          </w:tcPr>
          <w:p>
            <w:pPr>
              <w:pStyle w:val="5"/>
              <w:spacing w:before="1"/>
              <w:ind w:left="1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19" w:type="dxa"/>
            <w:noWrap w:val="0"/>
            <w:vAlign w:val="center"/>
          </w:tcPr>
          <w:p>
            <w:pPr>
              <w:pStyle w:val="5"/>
              <w:jc w:val="center"/>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813" w:type="dxa"/>
            <w:noWrap w:val="0"/>
            <w:vAlign w:val="center"/>
          </w:tcPr>
          <w:p>
            <w:pPr>
              <w:pStyle w:val="5"/>
              <w:ind w:left="1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614" w:type="dxa"/>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防触电保护</w:t>
            </w:r>
          </w:p>
        </w:tc>
        <w:tc>
          <w:tcPr>
            <w:tcW w:w="2440" w:type="dxa"/>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2099.1-2008、GB/T 2099.7-2015</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条款 10</w:t>
            </w:r>
          </w:p>
        </w:tc>
        <w:tc>
          <w:tcPr>
            <w:tcW w:w="813" w:type="dxa"/>
            <w:noWrap w:val="0"/>
            <w:vAlign w:val="center"/>
          </w:tcPr>
          <w:p>
            <w:pPr>
              <w:pStyle w:val="5"/>
              <w:jc w:val="center"/>
              <w:rPr>
                <w:rFonts w:hint="eastAsia" w:ascii="仿宋" w:hAnsi="仿宋" w:eastAsia="仿宋" w:cs="仿宋"/>
                <w:sz w:val="21"/>
                <w:szCs w:val="21"/>
                <w:highlight w:val="none"/>
              </w:rPr>
            </w:pPr>
          </w:p>
        </w:tc>
        <w:tc>
          <w:tcPr>
            <w:tcW w:w="907" w:type="dxa"/>
            <w:noWrap w:val="0"/>
            <w:vAlign w:val="center"/>
          </w:tcPr>
          <w:p>
            <w:pPr>
              <w:pStyle w:val="5"/>
              <w:ind w:right="34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66" w:type="dxa"/>
            <w:noWrap w:val="0"/>
            <w:vAlign w:val="center"/>
          </w:tcPr>
          <w:p>
            <w:pPr>
              <w:pStyle w:val="5"/>
              <w:ind w:left="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94" w:type="dxa"/>
            <w:noWrap w:val="0"/>
            <w:vAlign w:val="center"/>
          </w:tcPr>
          <w:p>
            <w:pPr>
              <w:pStyle w:val="5"/>
              <w:jc w:val="center"/>
              <w:rPr>
                <w:rFonts w:hint="eastAsia" w:ascii="仿宋" w:hAnsi="仿宋" w:eastAsia="仿宋" w:cs="仿宋"/>
                <w:sz w:val="21"/>
                <w:szCs w:val="21"/>
                <w:highlight w:val="none"/>
              </w:rPr>
            </w:pPr>
          </w:p>
        </w:tc>
        <w:tc>
          <w:tcPr>
            <w:tcW w:w="919" w:type="dxa"/>
            <w:noWrap w:val="0"/>
            <w:vAlign w:val="center"/>
          </w:tcPr>
          <w:p>
            <w:pPr>
              <w:pStyle w:val="5"/>
              <w:jc w:val="center"/>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813" w:type="dxa"/>
            <w:noWrap w:val="0"/>
            <w:vAlign w:val="center"/>
          </w:tcPr>
          <w:p>
            <w:pPr>
              <w:pStyle w:val="5"/>
              <w:ind w:left="1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614" w:type="dxa"/>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接地措施</w:t>
            </w:r>
          </w:p>
        </w:tc>
        <w:tc>
          <w:tcPr>
            <w:tcW w:w="2440" w:type="dxa"/>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2099.1-2008、GB/T 2099.7-2015</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条款 11</w:t>
            </w:r>
          </w:p>
        </w:tc>
        <w:tc>
          <w:tcPr>
            <w:tcW w:w="813" w:type="dxa"/>
            <w:noWrap w:val="0"/>
            <w:vAlign w:val="center"/>
          </w:tcPr>
          <w:p>
            <w:pPr>
              <w:pStyle w:val="5"/>
              <w:jc w:val="center"/>
              <w:rPr>
                <w:rFonts w:hint="eastAsia" w:ascii="仿宋" w:hAnsi="仿宋" w:eastAsia="仿宋" w:cs="仿宋"/>
                <w:sz w:val="21"/>
                <w:szCs w:val="21"/>
                <w:highlight w:val="none"/>
              </w:rPr>
            </w:pPr>
          </w:p>
        </w:tc>
        <w:tc>
          <w:tcPr>
            <w:tcW w:w="907" w:type="dxa"/>
            <w:noWrap w:val="0"/>
            <w:vAlign w:val="center"/>
          </w:tcPr>
          <w:p>
            <w:pPr>
              <w:pStyle w:val="5"/>
              <w:ind w:right="34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66" w:type="dxa"/>
            <w:noWrap w:val="0"/>
            <w:vAlign w:val="center"/>
          </w:tcPr>
          <w:p>
            <w:pPr>
              <w:pStyle w:val="5"/>
              <w:ind w:left="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94" w:type="dxa"/>
            <w:noWrap w:val="0"/>
            <w:vAlign w:val="center"/>
          </w:tcPr>
          <w:p>
            <w:pPr>
              <w:pStyle w:val="5"/>
              <w:jc w:val="center"/>
              <w:rPr>
                <w:rFonts w:hint="eastAsia" w:ascii="仿宋" w:hAnsi="仿宋" w:eastAsia="仿宋" w:cs="仿宋"/>
                <w:sz w:val="21"/>
                <w:szCs w:val="21"/>
                <w:highlight w:val="none"/>
              </w:rPr>
            </w:pPr>
          </w:p>
        </w:tc>
        <w:tc>
          <w:tcPr>
            <w:tcW w:w="919" w:type="dxa"/>
            <w:noWrap w:val="0"/>
            <w:vAlign w:val="center"/>
          </w:tcPr>
          <w:p>
            <w:pPr>
              <w:pStyle w:val="5"/>
              <w:jc w:val="center"/>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813" w:type="dxa"/>
            <w:noWrap w:val="0"/>
            <w:vAlign w:val="center"/>
          </w:tcPr>
          <w:p>
            <w:pPr>
              <w:pStyle w:val="5"/>
              <w:ind w:left="1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614" w:type="dxa"/>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绝缘电阻和电气强度</w:t>
            </w:r>
          </w:p>
        </w:tc>
        <w:tc>
          <w:tcPr>
            <w:tcW w:w="2440" w:type="dxa"/>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2099.1-2008、GB/T 2099.7-2015</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条款 17</w:t>
            </w:r>
          </w:p>
        </w:tc>
        <w:tc>
          <w:tcPr>
            <w:tcW w:w="813" w:type="dxa"/>
            <w:noWrap w:val="0"/>
            <w:vAlign w:val="center"/>
          </w:tcPr>
          <w:p>
            <w:pPr>
              <w:pStyle w:val="5"/>
              <w:jc w:val="center"/>
              <w:rPr>
                <w:rFonts w:hint="eastAsia" w:ascii="仿宋" w:hAnsi="仿宋" w:eastAsia="仿宋" w:cs="仿宋"/>
                <w:sz w:val="21"/>
                <w:szCs w:val="21"/>
                <w:highlight w:val="none"/>
              </w:rPr>
            </w:pPr>
          </w:p>
        </w:tc>
        <w:tc>
          <w:tcPr>
            <w:tcW w:w="907" w:type="dxa"/>
            <w:noWrap w:val="0"/>
            <w:vAlign w:val="center"/>
          </w:tcPr>
          <w:p>
            <w:pPr>
              <w:pStyle w:val="5"/>
              <w:spacing w:before="9"/>
              <w:jc w:val="center"/>
              <w:rPr>
                <w:rFonts w:hint="eastAsia" w:ascii="仿宋" w:hAnsi="仿宋" w:eastAsia="仿宋" w:cs="仿宋"/>
                <w:sz w:val="21"/>
                <w:szCs w:val="21"/>
                <w:highlight w:val="none"/>
              </w:rPr>
            </w:pPr>
          </w:p>
          <w:p>
            <w:pPr>
              <w:pStyle w:val="5"/>
              <w:ind w:right="34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66" w:type="dxa"/>
            <w:noWrap w:val="0"/>
            <w:vAlign w:val="center"/>
          </w:tcPr>
          <w:p>
            <w:pPr>
              <w:pStyle w:val="5"/>
              <w:spacing w:before="9"/>
              <w:jc w:val="center"/>
              <w:rPr>
                <w:rFonts w:hint="eastAsia" w:ascii="仿宋" w:hAnsi="仿宋" w:eastAsia="仿宋" w:cs="仿宋"/>
                <w:sz w:val="21"/>
                <w:szCs w:val="21"/>
                <w:highlight w:val="none"/>
              </w:rPr>
            </w:pPr>
          </w:p>
          <w:p>
            <w:pPr>
              <w:pStyle w:val="5"/>
              <w:ind w:left="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94" w:type="dxa"/>
            <w:noWrap w:val="0"/>
            <w:vAlign w:val="center"/>
          </w:tcPr>
          <w:p>
            <w:pPr>
              <w:pStyle w:val="5"/>
              <w:jc w:val="center"/>
              <w:rPr>
                <w:rFonts w:hint="eastAsia" w:ascii="仿宋" w:hAnsi="仿宋" w:eastAsia="仿宋" w:cs="仿宋"/>
                <w:sz w:val="21"/>
                <w:szCs w:val="21"/>
                <w:highlight w:val="none"/>
              </w:rPr>
            </w:pPr>
          </w:p>
        </w:tc>
        <w:tc>
          <w:tcPr>
            <w:tcW w:w="919" w:type="dxa"/>
            <w:noWrap w:val="0"/>
            <w:vAlign w:val="center"/>
          </w:tcPr>
          <w:p>
            <w:pPr>
              <w:pStyle w:val="5"/>
              <w:jc w:val="center"/>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813" w:type="dxa"/>
            <w:noWrap w:val="0"/>
            <w:vAlign w:val="center"/>
          </w:tcPr>
          <w:p>
            <w:pPr>
              <w:pStyle w:val="5"/>
              <w:ind w:left="1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1614" w:type="dxa"/>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耐热</w:t>
            </w:r>
          </w:p>
        </w:tc>
        <w:tc>
          <w:tcPr>
            <w:tcW w:w="2440" w:type="dxa"/>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2099.1-2008、GB/T 2099.7-2015</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条款 25</w:t>
            </w:r>
          </w:p>
        </w:tc>
        <w:tc>
          <w:tcPr>
            <w:tcW w:w="813" w:type="dxa"/>
            <w:noWrap w:val="0"/>
            <w:vAlign w:val="center"/>
          </w:tcPr>
          <w:p>
            <w:pPr>
              <w:pStyle w:val="5"/>
              <w:jc w:val="center"/>
              <w:rPr>
                <w:rFonts w:hint="eastAsia" w:ascii="仿宋" w:hAnsi="仿宋" w:eastAsia="仿宋" w:cs="仿宋"/>
                <w:sz w:val="21"/>
                <w:szCs w:val="21"/>
                <w:highlight w:val="none"/>
              </w:rPr>
            </w:pPr>
          </w:p>
        </w:tc>
        <w:tc>
          <w:tcPr>
            <w:tcW w:w="907" w:type="dxa"/>
            <w:noWrap w:val="0"/>
            <w:vAlign w:val="center"/>
          </w:tcPr>
          <w:p>
            <w:pPr>
              <w:pStyle w:val="5"/>
              <w:ind w:right="34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66" w:type="dxa"/>
            <w:noWrap w:val="0"/>
            <w:vAlign w:val="center"/>
          </w:tcPr>
          <w:p>
            <w:pPr>
              <w:pStyle w:val="5"/>
              <w:ind w:left="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94" w:type="dxa"/>
            <w:noWrap w:val="0"/>
            <w:vAlign w:val="center"/>
          </w:tcPr>
          <w:p>
            <w:pPr>
              <w:pStyle w:val="5"/>
              <w:jc w:val="center"/>
              <w:rPr>
                <w:rFonts w:hint="eastAsia" w:ascii="仿宋" w:hAnsi="仿宋" w:eastAsia="仿宋" w:cs="仿宋"/>
                <w:sz w:val="21"/>
                <w:szCs w:val="21"/>
                <w:highlight w:val="none"/>
              </w:rPr>
            </w:pPr>
          </w:p>
        </w:tc>
        <w:tc>
          <w:tcPr>
            <w:tcW w:w="919" w:type="dxa"/>
            <w:noWrap w:val="0"/>
            <w:vAlign w:val="center"/>
          </w:tcPr>
          <w:p>
            <w:pPr>
              <w:pStyle w:val="5"/>
              <w:jc w:val="center"/>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813" w:type="dxa"/>
            <w:noWrap w:val="0"/>
            <w:vAlign w:val="center"/>
          </w:tcPr>
          <w:p>
            <w:pPr>
              <w:pStyle w:val="5"/>
              <w:ind w:left="1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1614" w:type="dxa"/>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爬电距离、电气间隙和通过密封胶的距离</w:t>
            </w:r>
          </w:p>
        </w:tc>
        <w:tc>
          <w:tcPr>
            <w:tcW w:w="2440" w:type="dxa"/>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2099.1-2008、GB/T 2099.7-2015</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条款 27</w:t>
            </w:r>
          </w:p>
        </w:tc>
        <w:tc>
          <w:tcPr>
            <w:tcW w:w="813" w:type="dxa"/>
            <w:noWrap w:val="0"/>
            <w:vAlign w:val="center"/>
          </w:tcPr>
          <w:p>
            <w:pPr>
              <w:pStyle w:val="5"/>
              <w:jc w:val="center"/>
              <w:rPr>
                <w:rFonts w:hint="eastAsia" w:ascii="仿宋" w:hAnsi="仿宋" w:eastAsia="仿宋" w:cs="仿宋"/>
                <w:sz w:val="21"/>
                <w:szCs w:val="21"/>
                <w:highlight w:val="none"/>
              </w:rPr>
            </w:pPr>
          </w:p>
        </w:tc>
        <w:tc>
          <w:tcPr>
            <w:tcW w:w="907" w:type="dxa"/>
            <w:noWrap w:val="0"/>
            <w:vAlign w:val="center"/>
          </w:tcPr>
          <w:p>
            <w:pPr>
              <w:pStyle w:val="5"/>
              <w:ind w:right="34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66" w:type="dxa"/>
            <w:noWrap w:val="0"/>
            <w:vAlign w:val="center"/>
          </w:tcPr>
          <w:p>
            <w:pPr>
              <w:pStyle w:val="5"/>
              <w:jc w:val="center"/>
              <w:rPr>
                <w:rFonts w:hint="eastAsia" w:ascii="仿宋" w:hAnsi="仿宋" w:eastAsia="仿宋" w:cs="仿宋"/>
                <w:sz w:val="21"/>
                <w:szCs w:val="21"/>
                <w:highlight w:val="none"/>
              </w:rPr>
            </w:pPr>
          </w:p>
        </w:tc>
        <w:tc>
          <w:tcPr>
            <w:tcW w:w="894" w:type="dxa"/>
            <w:noWrap w:val="0"/>
            <w:vAlign w:val="center"/>
          </w:tcPr>
          <w:p>
            <w:pPr>
              <w:pStyle w:val="5"/>
              <w:ind w:left="1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19" w:type="dxa"/>
            <w:noWrap w:val="0"/>
            <w:vAlign w:val="center"/>
          </w:tcPr>
          <w:p>
            <w:pPr>
              <w:pStyle w:val="5"/>
              <w:jc w:val="center"/>
              <w:rPr>
                <w:rFonts w:hint="eastAsia" w:ascii="仿宋" w:hAnsi="仿宋" w:eastAsia="仿宋" w:cs="仿宋"/>
                <w:sz w:val="21"/>
                <w:szCs w:val="21"/>
                <w:highlight w:val="none"/>
              </w:rPr>
            </w:pPr>
          </w:p>
        </w:tc>
      </w:tr>
    </w:tbl>
    <w:p>
      <w:pPr>
        <w:spacing w:line="600" w:lineRule="exact"/>
        <w:ind w:firstLine="640" w:firstLineChars="200"/>
        <w:rPr>
          <w:rFonts w:eastAsia="黑体" w:cs="黑体"/>
          <w:sz w:val="32"/>
          <w:szCs w:val="32"/>
        </w:rPr>
      </w:pPr>
      <w:r>
        <w:rPr>
          <w:rFonts w:hint="eastAsia" w:eastAsia="黑体" w:cs="黑体"/>
          <w:sz w:val="32"/>
          <w:szCs w:val="32"/>
        </w:rPr>
        <w:t>三、判定规则</w:t>
      </w:r>
    </w:p>
    <w:p>
      <w:pPr>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kern w:val="0"/>
          <w:sz w:val="32"/>
          <w:szCs w:val="32"/>
        </w:rPr>
        <w:t>依据标准</w:t>
      </w:r>
    </w:p>
    <w:p>
      <w:pPr>
        <w:pStyle w:val="6"/>
        <w:numPr>
          <w:ilvl w:val="0"/>
          <w:numId w:val="0"/>
        </w:numPr>
        <w:tabs>
          <w:tab w:val="left" w:pos="1387"/>
        </w:tabs>
        <w:spacing w:before="0" w:after="0" w:line="240" w:lineRule="auto"/>
        <w:ind w:right="0" w:rightChars="0" w:firstLine="643"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A）强制性标准：</w:t>
      </w:r>
      <w:r>
        <w:rPr>
          <w:rFonts w:hint="eastAsia" w:ascii="仿宋_GB2312" w:hAnsi="仿宋_GB2312" w:eastAsia="仿宋_GB2312" w:cs="仿宋_GB2312"/>
          <w:spacing w:val="-5"/>
          <w:kern w:val="2"/>
          <w:sz w:val="32"/>
          <w:szCs w:val="22"/>
          <w:highlight w:val="none"/>
          <w:lang w:val="en-US" w:eastAsia="zh-CN" w:bidi="ar-SA"/>
        </w:rPr>
        <w:t>无</w:t>
      </w:r>
    </w:p>
    <w:p>
      <w:pPr>
        <w:pStyle w:val="6"/>
        <w:numPr>
          <w:ilvl w:val="0"/>
          <w:numId w:val="0"/>
        </w:numPr>
        <w:tabs>
          <w:tab w:val="left" w:pos="1387"/>
        </w:tabs>
        <w:spacing w:before="0" w:after="0" w:line="240" w:lineRule="auto"/>
        <w:ind w:right="0" w:rightChars="0" w:firstLine="643"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B）推荐性标准：</w:t>
      </w:r>
    </w:p>
    <w:p>
      <w:pPr>
        <w:spacing w:line="240" w:lineRule="auto"/>
        <w:ind w:firstLine="620" w:firstLineChars="200"/>
        <w:rPr>
          <w:rFonts w:hint="eastAsia" w:ascii="仿宋_GB2312" w:hAnsi="仿宋_GB2312" w:eastAsia="仿宋_GB2312" w:cs="仿宋_GB2312"/>
          <w:spacing w:val="-5"/>
          <w:kern w:val="2"/>
          <w:sz w:val="32"/>
          <w:szCs w:val="22"/>
          <w:highlight w:val="none"/>
          <w:lang w:val="en-US" w:eastAsia="zh-CN" w:bidi="ar-SA"/>
        </w:rPr>
      </w:pPr>
      <w:r>
        <w:rPr>
          <w:rFonts w:hint="eastAsia" w:ascii="仿宋_GB2312" w:hAnsi="仿宋_GB2312" w:eastAsia="仿宋_GB2312" w:cs="仿宋_GB2312"/>
          <w:spacing w:val="-5"/>
          <w:kern w:val="2"/>
          <w:sz w:val="32"/>
          <w:szCs w:val="22"/>
          <w:highlight w:val="none"/>
          <w:lang w:val="en-US" w:eastAsia="zh-CN" w:bidi="ar-SA"/>
        </w:rPr>
        <w:t>GB/T 2099.1-2008 《家用和类似用途插头插座第1部分：通用要求》</w:t>
      </w:r>
    </w:p>
    <w:p>
      <w:pPr>
        <w:spacing w:line="240" w:lineRule="auto"/>
        <w:ind w:firstLine="620" w:firstLineChars="200"/>
        <w:rPr>
          <w:rFonts w:hint="eastAsia" w:ascii="仿宋_GB2312" w:hAnsi="仿宋_GB2312" w:eastAsia="仿宋_GB2312" w:cs="仿宋_GB2312"/>
          <w:spacing w:val="-5"/>
          <w:kern w:val="2"/>
          <w:sz w:val="32"/>
          <w:szCs w:val="22"/>
          <w:highlight w:val="none"/>
          <w:lang w:val="en-US" w:eastAsia="zh-CN" w:bidi="ar-SA"/>
        </w:rPr>
      </w:pPr>
      <w:r>
        <w:rPr>
          <w:rFonts w:hint="eastAsia" w:ascii="仿宋_GB2312" w:hAnsi="仿宋_GB2312" w:eastAsia="仿宋_GB2312" w:cs="仿宋_GB2312"/>
          <w:spacing w:val="-5"/>
          <w:kern w:val="2"/>
          <w:sz w:val="32"/>
          <w:szCs w:val="22"/>
          <w:highlight w:val="none"/>
          <w:lang w:val="en-US" w:eastAsia="zh-CN" w:bidi="ar-SA"/>
        </w:rPr>
        <w:t>GB/T 2099.3-2015《家用和类似用途插头插座第2-5部分：转换器的特殊要求》</w:t>
      </w:r>
    </w:p>
    <w:p>
      <w:pPr>
        <w:spacing w:line="240" w:lineRule="auto"/>
        <w:ind w:firstLine="620" w:firstLineChars="200"/>
        <w:rPr>
          <w:rFonts w:hint="eastAsia" w:ascii="仿宋_GB2312" w:hAnsi="仿宋_GB2312" w:eastAsia="仿宋_GB2312" w:cs="仿宋_GB2312"/>
          <w:spacing w:val="-5"/>
          <w:kern w:val="2"/>
          <w:sz w:val="32"/>
          <w:szCs w:val="22"/>
          <w:highlight w:val="none"/>
          <w:lang w:val="en-US" w:eastAsia="zh-CN" w:bidi="ar-SA"/>
        </w:rPr>
      </w:pPr>
      <w:r>
        <w:rPr>
          <w:rFonts w:hint="eastAsia" w:ascii="仿宋_GB2312" w:hAnsi="仿宋_GB2312" w:eastAsia="仿宋_GB2312" w:cs="仿宋_GB2312"/>
          <w:spacing w:val="-5"/>
          <w:kern w:val="2"/>
          <w:sz w:val="32"/>
          <w:szCs w:val="22"/>
          <w:highlight w:val="none"/>
          <w:lang w:val="en-US" w:eastAsia="zh-CN" w:bidi="ar-SA"/>
        </w:rPr>
        <w:t>GB/T 2099.7-2015《家用和类似用途插头插座第2-7部分：延长线插座的特殊要求》</w:t>
      </w:r>
    </w:p>
    <w:p>
      <w:pPr>
        <w:spacing w:line="240" w:lineRule="auto"/>
        <w:ind w:firstLine="620" w:firstLineChars="200"/>
        <w:rPr>
          <w:rFonts w:hint="eastAsia" w:ascii="仿宋_GB2312" w:hAnsi="仿宋_GB2312" w:eastAsia="仿宋_GB2312" w:cs="仿宋_GB2312"/>
          <w:spacing w:val="-5"/>
          <w:kern w:val="2"/>
          <w:sz w:val="32"/>
          <w:szCs w:val="22"/>
          <w:highlight w:val="none"/>
          <w:lang w:val="en-US" w:eastAsia="zh-CN" w:bidi="ar-SA"/>
        </w:rPr>
      </w:pPr>
      <w:r>
        <w:rPr>
          <w:rFonts w:hint="eastAsia" w:ascii="仿宋_GB2312" w:hAnsi="仿宋_GB2312" w:eastAsia="仿宋_GB2312" w:cs="仿宋_GB2312"/>
          <w:spacing w:val="-5"/>
          <w:kern w:val="2"/>
          <w:sz w:val="32"/>
          <w:szCs w:val="22"/>
          <w:highlight w:val="none"/>
          <w:lang w:val="en-US" w:eastAsia="zh-CN" w:bidi="ar-SA"/>
        </w:rPr>
        <w:t>GB/T 1002-2008 《家用和类似用途单相插头插座型式、基本参数和尺寸》</w:t>
      </w:r>
    </w:p>
    <w:p>
      <w:pPr>
        <w:spacing w:line="240" w:lineRule="auto"/>
        <w:ind w:firstLine="623" w:firstLineChars="200"/>
        <w:rPr>
          <w:rFonts w:hint="eastAsia" w:ascii="仿宋_GB2312" w:hAnsi="仿宋_GB2312" w:eastAsia="仿宋_GB2312" w:cs="仿宋_GB2312"/>
          <w:b/>
          <w:bCs/>
          <w:spacing w:val="-5"/>
          <w:kern w:val="2"/>
          <w:sz w:val="32"/>
          <w:szCs w:val="22"/>
          <w:highlight w:val="none"/>
          <w:lang w:val="en-US" w:eastAsia="zh-CN" w:bidi="ar-SA"/>
        </w:rPr>
      </w:pPr>
      <w:r>
        <w:rPr>
          <w:rFonts w:hint="eastAsia" w:ascii="仿宋_GB2312" w:hAnsi="仿宋_GB2312" w:eastAsia="仿宋_GB2312" w:cs="仿宋_GB2312"/>
          <w:b/>
          <w:bCs/>
          <w:spacing w:val="-5"/>
          <w:kern w:val="2"/>
          <w:sz w:val="32"/>
          <w:szCs w:val="22"/>
          <w:highlight w:val="none"/>
          <w:lang w:val="en-US" w:eastAsia="zh-CN" w:bidi="ar-SA"/>
        </w:rPr>
        <w:t>C）商品标示执行的标准或商品明示指标。</w:t>
      </w:r>
    </w:p>
    <w:p>
      <w:pPr>
        <w:ind w:firstLine="620" w:firstLineChars="200"/>
        <w:rPr>
          <w:rFonts w:hint="eastAsia" w:ascii="仿宋_GB2312" w:hAnsi="仿宋_GB2312" w:eastAsia="仿宋_GB2312" w:cs="仿宋_GB2312"/>
          <w:spacing w:val="-5"/>
          <w:kern w:val="2"/>
          <w:sz w:val="32"/>
          <w:szCs w:val="22"/>
          <w:highlight w:val="none"/>
          <w:lang w:val="en-US" w:eastAsia="zh-CN" w:bidi="ar-SA"/>
        </w:rPr>
      </w:pPr>
      <w:r>
        <w:rPr>
          <w:rFonts w:hint="eastAsia" w:ascii="仿宋_GB2312" w:hAnsi="仿宋_GB2312" w:eastAsia="仿宋_GB2312" w:cs="仿宋_GB2312"/>
          <w:spacing w:val="-5"/>
          <w:kern w:val="2"/>
          <w:sz w:val="32"/>
          <w:szCs w:val="22"/>
          <w:highlight w:val="none"/>
          <w:lang w:val="en-US" w:eastAsia="zh-CN" w:bidi="ar-SA"/>
        </w:rPr>
        <w:t>商品标示执行的标准或商品明示指标劣于相关强制性标准的，以相关强制性标准作为依据。</w:t>
      </w:r>
    </w:p>
    <w:p>
      <w:pPr>
        <w:widowControl/>
        <w:spacing w:line="60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（二）判定原则</w:t>
      </w:r>
    </w:p>
    <w:p>
      <w:pPr>
        <w:spacing w:line="240" w:lineRule="auto"/>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经检验，检验项目全部合格，判定为被抽查产品所检项目未发现不合格；检验项目中任一项或一项以上不合格，判定为被抽查产品不合格。</w:t>
      </w:r>
    </w:p>
    <w:p>
      <w:pPr>
        <w:spacing w:line="240" w:lineRule="auto"/>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若被检产品明示的质量要求高于本细则中检验项目依据的标准要求时，应按被检产品明示的质量要求判定。</w:t>
      </w:r>
    </w:p>
    <w:p>
      <w:pPr>
        <w:spacing w:line="240" w:lineRule="auto"/>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若被检产品明示的质量要求低于本细则中检验项目依据的强制性标准要求时，应按照强制性标准要求判定。</w:t>
      </w:r>
    </w:p>
    <w:p>
      <w:pPr>
        <w:spacing w:line="240" w:lineRule="auto"/>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若被检产品明示的质量要求低于或包含本细则中检验项目依据的推荐性标准要求时，应以被检产品明示的质量要求判定。</w:t>
      </w:r>
    </w:p>
    <w:p>
      <w:pPr>
        <w:spacing w:line="240" w:lineRule="auto"/>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若被检产品明示的质量要求缺少本细则中检验项目依据的强制性标准要求时，应按照强制性标准要求判定。</w:t>
      </w:r>
    </w:p>
    <w:p>
      <w:pPr>
        <w:spacing w:line="240" w:lineRule="auto"/>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Cs/>
          <w:sz w:val="32"/>
          <w:szCs w:val="32"/>
          <w:highlight w:val="none"/>
        </w:rPr>
        <w:t>若被检产品明示的质量要求缺少本细则中检验项目依据的推荐性标准要求时，该项目不参与判定。</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按照产品质量相关法律法规的规定判定。</w:t>
      </w:r>
    </w:p>
    <w:p>
      <w:pPr>
        <w:pStyle w:val="7"/>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检验中发现因样品失效或者其他原因致使检验无法进行的，检验人员应如实记录，并提供相关证明材料，报送组织监督抽查的市场监管部门。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B3E3D"/>
    <w:rsid w:val="7B3B3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Table Paragraph"/>
    <w:basedOn w:val="1"/>
    <w:qFormat/>
    <w:uiPriority w:val="99"/>
    <w:rPr>
      <w:rFonts w:eastAsia="仿宋_GB2312"/>
      <w:sz w:val="32"/>
    </w:rPr>
  </w:style>
  <w:style w:type="paragraph" w:customStyle="1" w:styleId="6">
    <w:name w:val="List Paragraph"/>
    <w:basedOn w:val="1"/>
    <w:qFormat/>
    <w:uiPriority w:val="1"/>
    <w:pPr>
      <w:ind w:left="426" w:firstLine="633"/>
    </w:pPr>
    <w:rPr>
      <w:rFonts w:ascii="仿宋_GB2312" w:hAnsi="仿宋_GB2312" w:eastAsia="仿宋_GB2312" w:cs="仿宋_GB2312"/>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2021-12-09T01:35:00Z</dcterms:created>
  <dc:creator>林熙镇</dc:creator>
  <cp:lastModifiedBy>林熙镇</cp:lastModifiedBy>
  <dcterms:modified xsi:type="dcterms:W3CDTF">2021-12-09T01:35:07Z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