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小标宋简体" w:hAnsi="方正小标宋简体" w:eastAsia="方正小标宋简体" w:cs="方正小标宋简体"/>
          <w:sz w:val="40"/>
          <w:szCs w:val="36"/>
        </w:rPr>
      </w:pPr>
      <w:bookmarkStart w:id="256" w:name="_GoBack"/>
      <w:bookmarkEnd w:id="256"/>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汕尾市金融改革发展“十四五”</w:t>
      </w:r>
    </w:p>
    <w:p>
      <w:pPr>
        <w:ind w:firstLine="0" w:firstLineChars="0"/>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规划（</w:t>
      </w:r>
      <w:r>
        <w:rPr>
          <w:rFonts w:hint="eastAsia" w:ascii="方正小标宋简体" w:hAnsi="方正小标宋简体" w:eastAsia="方正小标宋简体" w:cs="方正小标宋简体"/>
          <w:sz w:val="56"/>
          <w:szCs w:val="56"/>
          <w:lang w:eastAsia="zh-CN"/>
        </w:rPr>
        <w:t>征求意见稿</w:t>
      </w:r>
      <w:r>
        <w:rPr>
          <w:rFonts w:hint="eastAsia" w:ascii="方正小标宋简体" w:hAnsi="方正小标宋简体" w:eastAsia="方正小标宋简体" w:cs="方正小标宋简体"/>
          <w:sz w:val="56"/>
          <w:szCs w:val="56"/>
        </w:rPr>
        <w:t>）</w:t>
      </w:r>
    </w:p>
    <w:p>
      <w:pPr>
        <w:rPr>
          <w:rFonts w:hint="eastAsia"/>
        </w:rPr>
      </w:pPr>
      <w:r>
        <w:rPr>
          <w:rFonts w:ascii="宋体" w:hAnsi="宋体" w:eastAsia="宋体"/>
          <w:sz w:val="21"/>
        </w:rPr>
        <w:br w:type="page"/>
      </w:r>
    </w:p>
    <w:p>
      <w:pPr>
        <w:rPr>
          <w:rFonts w:hint="eastAsia"/>
        </w:rPr>
      </w:pPr>
      <w:bookmarkStart w:id="0" w:name="_Toc593"/>
      <w:bookmarkStart w:id="1" w:name="_Toc14004"/>
      <w:r>
        <w:rPr>
          <w:rFonts w:hint="eastAsia"/>
        </w:rPr>
        <w:t>本规划根据《中华人民共和国国民经济和社会发展第十四个五年规划和2035年远景目标纲要》《广东省国民经济和社会发展第十四个五年规划和2035年远景目标纲要》《广东省金融改革发展“十四五”规划》《</w:t>
      </w:r>
      <w:r>
        <w:rPr>
          <w:rFonts w:hint="eastAsia"/>
          <w:lang w:val="en-US" w:eastAsia="zh-CN"/>
        </w:rPr>
        <w:t>汕尾</w:t>
      </w:r>
      <w:r>
        <w:rPr>
          <w:rFonts w:hint="eastAsia"/>
        </w:rPr>
        <w:t>市国民经济和社会发展第十四个五年规划和2035年远景目标纲要》编制，主要规划未来五年</w:t>
      </w:r>
      <w:r>
        <w:rPr>
          <w:rFonts w:hint="eastAsia"/>
          <w:lang w:val="en-US" w:eastAsia="zh-CN"/>
        </w:rPr>
        <w:t>汕尾</w:t>
      </w:r>
      <w:r>
        <w:rPr>
          <w:rFonts w:hint="eastAsia"/>
        </w:rPr>
        <w:t>市推动金融</w:t>
      </w:r>
      <w:r>
        <w:rPr>
          <w:rFonts w:hint="eastAsia"/>
          <w:lang w:val="en-US" w:eastAsia="zh-CN"/>
        </w:rPr>
        <w:t>改革</w:t>
      </w:r>
      <w:r>
        <w:rPr>
          <w:rFonts w:hint="eastAsia"/>
        </w:rPr>
        <w:t>发展的战略方向、</w:t>
      </w:r>
      <w:r>
        <w:rPr>
          <w:rFonts w:hint="eastAsia"/>
          <w:lang w:val="en-US" w:eastAsia="zh-CN"/>
        </w:rPr>
        <w:t>发展</w:t>
      </w:r>
      <w:r>
        <w:rPr>
          <w:rFonts w:hint="eastAsia"/>
        </w:rPr>
        <w:t>目标、主要任务</w:t>
      </w:r>
      <w:r>
        <w:rPr>
          <w:rFonts w:hint="eastAsia"/>
          <w:lang w:val="en-US" w:eastAsia="zh-CN"/>
        </w:rPr>
        <w:t>和保障措施</w:t>
      </w:r>
      <w:r>
        <w:rPr>
          <w:rFonts w:hint="eastAsia"/>
        </w:rPr>
        <w:t>，是推动</w:t>
      </w:r>
      <w:r>
        <w:rPr>
          <w:rFonts w:hint="eastAsia"/>
          <w:lang w:val="en-US" w:eastAsia="zh-CN"/>
        </w:rPr>
        <w:t>汕尾</w:t>
      </w:r>
      <w:r>
        <w:rPr>
          <w:rFonts w:hint="eastAsia"/>
        </w:rPr>
        <w:t>金融业高质量发展的纲领性文件。</w:t>
      </w:r>
    </w:p>
    <w:p>
      <w:pPr>
        <w:spacing w:beforeLines="0" w:afterLines="0" w:line="240" w:lineRule="auto"/>
        <w:ind w:firstLine="0" w:firstLineChars="0"/>
        <w:jc w:val="center"/>
        <w:rPr>
          <w:rFonts w:hint="eastAsia" w:ascii="黑体" w:hAnsi="黑体" w:eastAsia="黑体" w:cs="黑体"/>
          <w:b/>
          <w:bCs/>
          <w:color w:val="auto"/>
          <w:sz w:val="44"/>
          <w:szCs w:val="44"/>
        </w:rPr>
      </w:pPr>
      <w:r>
        <w:rPr>
          <w:rFonts w:ascii="宋体" w:hAnsi="宋体" w:eastAsia="宋体"/>
          <w:b/>
          <w:bCs/>
          <w:color w:val="auto"/>
          <w:sz w:val="40"/>
          <w:szCs w:val="40"/>
        </w:rPr>
        <w:br w:type="page"/>
      </w:r>
      <w:r>
        <w:rPr>
          <w:rFonts w:hint="eastAsia" w:ascii="黑体" w:hAnsi="黑体" w:eastAsia="黑体" w:cs="黑体"/>
          <w:b/>
          <w:bCs/>
          <w:color w:val="auto"/>
          <w:sz w:val="44"/>
          <w:szCs w:val="44"/>
        </w:rPr>
        <w:t>目录</w:t>
      </w:r>
    </w:p>
    <w:p>
      <w:pPr>
        <w:pStyle w:val="2"/>
      </w:pP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_Toc6495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第一章 发展基础</w:t>
      </w:r>
      <w:r>
        <w:rPr>
          <w:rFonts w:hint="eastAsia" w:ascii="宋体" w:hAnsi="宋体" w:eastAsia="宋体" w:cs="宋体"/>
          <w:b/>
          <w:color w:val="auto"/>
          <w:sz w:val="28"/>
          <w:szCs w:val="28"/>
          <w:lang w:val="en-US" w:eastAsia="zh-CN"/>
        </w:rPr>
        <w:t>和环境</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_Toc6495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6</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_Toc9385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第一节 发展基础</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_Toc4902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第二节 发展</w:t>
      </w:r>
      <w:r>
        <w:rPr>
          <w:rFonts w:hint="eastAsia" w:ascii="宋体" w:hAnsi="宋体" w:eastAsia="宋体" w:cs="宋体"/>
          <w:color w:val="auto"/>
          <w:sz w:val="28"/>
          <w:szCs w:val="28"/>
          <w:lang w:val="en-US" w:eastAsia="zh-CN"/>
        </w:rPr>
        <w:t>环境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_Toc4902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_Toc7148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总体要求</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_Toc7148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16</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_Toc21096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第一节 指导思想</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_Toc21096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_Toc3115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第二节 基本原则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_Toc3115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_Toc1324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第三节 发展目标</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_Toc1324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_Toc8697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章 做大做强金融体系，提升金融发展水平</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_Toc8697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20</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_Toc6245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优化</w:t>
      </w:r>
      <w:r>
        <w:rPr>
          <w:rFonts w:hint="eastAsia" w:ascii="宋体" w:hAnsi="宋体" w:eastAsia="宋体" w:cs="宋体"/>
          <w:color w:val="auto"/>
          <w:sz w:val="28"/>
          <w:szCs w:val="28"/>
        </w:rPr>
        <w:t>金融</w:t>
      </w:r>
      <w:r>
        <w:rPr>
          <w:rFonts w:hint="eastAsia" w:ascii="宋体" w:hAnsi="宋体" w:eastAsia="宋体" w:cs="宋体"/>
          <w:color w:val="auto"/>
          <w:sz w:val="28"/>
          <w:szCs w:val="28"/>
          <w:lang w:val="en-US" w:eastAsia="zh-CN"/>
        </w:rPr>
        <w:t>招商体系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_Toc6245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_Toc9464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完善</w:t>
      </w:r>
      <w:r>
        <w:rPr>
          <w:rFonts w:hint="eastAsia" w:ascii="宋体" w:hAnsi="宋体" w:eastAsia="宋体" w:cs="宋体"/>
          <w:color w:val="auto"/>
          <w:sz w:val="28"/>
          <w:szCs w:val="28"/>
        </w:rPr>
        <w:t>金融机构体系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_Toc9464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_Toc12712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加快发展</w:t>
      </w:r>
      <w:r>
        <w:rPr>
          <w:rFonts w:hint="eastAsia" w:ascii="宋体" w:hAnsi="宋体" w:eastAsia="宋体" w:cs="宋体"/>
          <w:color w:val="auto"/>
          <w:sz w:val="28"/>
          <w:szCs w:val="28"/>
        </w:rPr>
        <w:t>多层次资本市场</w:t>
      </w:r>
      <w:r>
        <w:rPr>
          <w:rFonts w:hint="eastAsia" w:ascii="宋体" w:hAnsi="宋体" w:eastAsia="宋体" w:cs="宋体"/>
          <w:color w:val="auto"/>
          <w:sz w:val="28"/>
          <w:szCs w:val="28"/>
          <w:lang w:val="en-US" w:eastAsia="zh-CN"/>
        </w:rPr>
        <w:t>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_Toc12712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_Toc11918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第四节 </w:t>
      </w:r>
      <w:r>
        <w:rPr>
          <w:rFonts w:hint="eastAsia" w:ascii="宋体" w:hAnsi="宋体" w:eastAsia="宋体" w:cs="宋体"/>
          <w:color w:val="auto"/>
          <w:sz w:val="28"/>
          <w:szCs w:val="28"/>
        </w:rPr>
        <w:t>打造政策性金融工具体系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_Toc11918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_Toc24682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第五节 </w:t>
      </w:r>
      <w:r>
        <w:rPr>
          <w:rFonts w:hint="eastAsia" w:ascii="宋体" w:hAnsi="宋体" w:eastAsia="宋体" w:cs="宋体"/>
          <w:color w:val="auto"/>
          <w:sz w:val="28"/>
          <w:szCs w:val="28"/>
        </w:rPr>
        <w:t>健全地方金融监管体系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_Toc24682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_Toc23770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全</w:t>
      </w:r>
      <w:r>
        <w:rPr>
          <w:rFonts w:hint="eastAsia" w:ascii="宋体" w:hAnsi="宋体" w:eastAsia="宋体" w:cs="宋体"/>
          <w:b/>
          <w:color w:val="auto"/>
          <w:sz w:val="28"/>
          <w:szCs w:val="28"/>
        </w:rPr>
        <w:t>力发展普惠金融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增强实体经济服务质效</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_Toc23770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28</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_Toc11812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第一节 加大对小微企业的金融支持力度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_Toc11812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_Toc30233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w:t>
      </w:r>
      <w:r>
        <w:rPr>
          <w:rFonts w:hint="eastAsia" w:ascii="宋体" w:hAnsi="宋体" w:eastAsia="宋体" w:cs="宋体"/>
          <w:bCs w:val="0"/>
          <w:color w:val="auto"/>
          <w:sz w:val="28"/>
          <w:szCs w:val="28"/>
          <w:lang w:val="en-US" w:eastAsia="zh-CN"/>
        </w:rPr>
        <w:t>二</w:t>
      </w:r>
      <w:r>
        <w:rPr>
          <w:rFonts w:hint="eastAsia" w:ascii="宋体" w:hAnsi="宋体" w:eastAsia="宋体" w:cs="宋体"/>
          <w:bCs w:val="0"/>
          <w:color w:val="auto"/>
          <w:sz w:val="28"/>
          <w:szCs w:val="28"/>
        </w:rPr>
        <w:t xml:space="preserve">节 </w:t>
      </w:r>
      <w:r>
        <w:rPr>
          <w:rFonts w:hint="eastAsia" w:ascii="宋体" w:hAnsi="宋体" w:eastAsia="宋体" w:cs="宋体"/>
          <w:bCs w:val="0"/>
          <w:color w:val="auto"/>
          <w:sz w:val="28"/>
          <w:szCs w:val="28"/>
          <w:lang w:val="en-US" w:eastAsia="zh-CN"/>
        </w:rPr>
        <w:t>构建普惠金融服务网络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_Toc30233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_Toc7107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节 推动金融支持民生事业建设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_Toc7107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_Toc23064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深化</w:t>
      </w:r>
      <w:r>
        <w:rPr>
          <w:rFonts w:hint="eastAsia" w:ascii="宋体" w:hAnsi="宋体" w:eastAsia="宋体" w:cs="宋体"/>
          <w:b/>
          <w:color w:val="auto"/>
          <w:sz w:val="28"/>
          <w:szCs w:val="28"/>
        </w:rPr>
        <w:t>农村金融</w:t>
      </w:r>
      <w:r>
        <w:rPr>
          <w:rFonts w:hint="eastAsia" w:ascii="宋体" w:hAnsi="宋体" w:eastAsia="宋体" w:cs="宋体"/>
          <w:b/>
          <w:color w:val="auto"/>
          <w:sz w:val="28"/>
          <w:szCs w:val="28"/>
          <w:lang w:val="en-US" w:eastAsia="zh-CN"/>
        </w:rPr>
        <w:t>改革</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精准助推乡村振兴</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_Toc23064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32</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_Toc22859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en-US" w:eastAsia="zh-CN"/>
        </w:rPr>
        <w:t>第一节 构建农村金融发展新格局</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_Toc22859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_Toc5257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建立健全农村金融服务体系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_Toc5257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_Toc16892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推动</w:t>
      </w:r>
      <w:r>
        <w:rPr>
          <w:rFonts w:hint="eastAsia" w:ascii="宋体" w:hAnsi="宋体" w:eastAsia="宋体" w:cs="宋体"/>
          <w:color w:val="auto"/>
          <w:sz w:val="28"/>
          <w:szCs w:val="28"/>
          <w:lang w:val="en-US" w:eastAsia="zh-Hans"/>
        </w:rPr>
        <w:t>金融</w:t>
      </w:r>
      <w:r>
        <w:rPr>
          <w:rFonts w:hint="eastAsia" w:ascii="宋体" w:hAnsi="宋体" w:eastAsia="宋体" w:cs="宋体"/>
          <w:color w:val="auto"/>
          <w:sz w:val="28"/>
          <w:szCs w:val="28"/>
          <w:lang w:val="en-US" w:eastAsia="zh-CN"/>
        </w:rPr>
        <w:t>支持</w:t>
      </w:r>
      <w:r>
        <w:rPr>
          <w:rFonts w:hint="eastAsia" w:ascii="宋体" w:hAnsi="宋体" w:eastAsia="宋体" w:cs="宋体"/>
          <w:color w:val="auto"/>
          <w:sz w:val="28"/>
          <w:szCs w:val="28"/>
          <w:lang w:val="en-US" w:eastAsia="zh-Hans"/>
        </w:rPr>
        <w:t>农业</w:t>
      </w:r>
      <w:r>
        <w:rPr>
          <w:rFonts w:hint="eastAsia" w:ascii="宋体" w:hAnsi="宋体" w:eastAsia="宋体" w:cs="宋体"/>
          <w:color w:val="auto"/>
          <w:sz w:val="28"/>
          <w:szCs w:val="28"/>
          <w:lang w:val="en-US" w:eastAsia="zh-CN"/>
        </w:rPr>
        <w:t>供给侧改革</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_Toc16892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_Toc16142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第四节 加强</w:t>
      </w:r>
      <w:r>
        <w:rPr>
          <w:rFonts w:hint="eastAsia" w:ascii="宋体" w:hAnsi="宋体" w:eastAsia="宋体" w:cs="宋体"/>
          <w:color w:val="auto"/>
          <w:sz w:val="28"/>
          <w:szCs w:val="28"/>
          <w:lang w:val="en-US" w:eastAsia="zh-Hans"/>
        </w:rPr>
        <w:t>金融</w:t>
      </w:r>
      <w:r>
        <w:rPr>
          <w:rFonts w:hint="eastAsia" w:ascii="宋体" w:hAnsi="宋体" w:eastAsia="宋体" w:cs="宋体"/>
          <w:color w:val="auto"/>
          <w:sz w:val="28"/>
          <w:szCs w:val="28"/>
          <w:lang w:val="en-US" w:eastAsia="zh-CN"/>
        </w:rPr>
        <w:t>支持美丽乡村</w:t>
      </w:r>
      <w:r>
        <w:rPr>
          <w:rFonts w:hint="eastAsia" w:ascii="宋体" w:hAnsi="宋体" w:eastAsia="宋体" w:cs="宋体"/>
          <w:color w:val="auto"/>
          <w:sz w:val="28"/>
          <w:szCs w:val="28"/>
          <w:lang w:val="en-US" w:eastAsia="zh-Hans"/>
        </w:rPr>
        <w:t>建设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_Toc16142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_Toc3781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创新</w:t>
      </w:r>
      <w:r>
        <w:rPr>
          <w:rFonts w:hint="eastAsia" w:ascii="宋体" w:hAnsi="宋体" w:eastAsia="宋体" w:cs="宋体"/>
          <w:b/>
          <w:color w:val="auto"/>
          <w:sz w:val="28"/>
          <w:szCs w:val="28"/>
        </w:rPr>
        <w:t>发展绿色金融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促进</w:t>
      </w:r>
      <w:r>
        <w:rPr>
          <w:rFonts w:hint="eastAsia" w:ascii="宋体" w:hAnsi="宋体" w:eastAsia="宋体" w:cs="宋体"/>
          <w:b/>
          <w:color w:val="auto"/>
          <w:sz w:val="28"/>
          <w:szCs w:val="28"/>
          <w:lang w:eastAsia="zh-CN"/>
        </w:rPr>
        <w:t>绿色低碳发展</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_Toc3781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38</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_Toc1357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加大对绿色产业的金融支持</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_Toc1357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创新绿色金融产品服务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_Toc31768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完善绿色金融配套机制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_Toc31768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_Toc21839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加快</w:t>
      </w:r>
      <w:r>
        <w:rPr>
          <w:rFonts w:hint="eastAsia" w:ascii="宋体" w:hAnsi="宋体" w:eastAsia="宋体" w:cs="宋体"/>
          <w:b/>
          <w:color w:val="auto"/>
          <w:sz w:val="28"/>
          <w:szCs w:val="28"/>
        </w:rPr>
        <w:t>发展科技金融</w:t>
      </w:r>
      <w:r>
        <w:rPr>
          <w:rFonts w:hint="eastAsia" w:ascii="宋体" w:hAnsi="宋体" w:eastAsia="宋体" w:cs="宋体"/>
          <w:b/>
          <w:color w:val="auto"/>
          <w:sz w:val="28"/>
          <w:szCs w:val="28"/>
          <w:lang w:eastAsia="zh-CN"/>
        </w:rPr>
        <w:t>，助推科技创新</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_Toc21839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40</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_Toc27382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lang w:val="en-US" w:eastAsia="zh-CN" w:bidi="ar-SA"/>
        </w:rPr>
        <w:t>第一节 促进科技创新和资本市场深度融合</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_Toc27382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_Toc3527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lang w:val="en-US" w:eastAsia="zh-CN" w:bidi="ar-SA"/>
        </w:rPr>
        <w:t>第二节</w:t>
      </w:r>
      <w:r>
        <w:rPr>
          <w:rFonts w:hint="eastAsia" w:ascii="宋体" w:hAnsi="宋体" w:eastAsia="宋体" w:cs="宋体"/>
          <w:bCs w:val="0"/>
          <w:color w:val="auto"/>
          <w:kern w:val="2"/>
          <w:sz w:val="28"/>
          <w:szCs w:val="28"/>
          <w:lang w:eastAsia="zh-CN" w:bidi="ar-SA"/>
        </w:rPr>
        <w:t xml:space="preserve"> </w:t>
      </w:r>
      <w:r>
        <w:rPr>
          <w:rFonts w:hint="eastAsia" w:ascii="宋体" w:hAnsi="宋体" w:eastAsia="宋体" w:cs="宋体"/>
          <w:color w:val="auto"/>
          <w:sz w:val="28"/>
          <w:szCs w:val="28"/>
          <w:lang w:val="en-US" w:eastAsia="zh-CN"/>
        </w:rPr>
        <w:t>建立覆盖创新全过程的科技创新投融资机制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_Toc25332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w:t>
      </w:r>
      <w:r>
        <w:rPr>
          <w:rFonts w:hint="eastAsia" w:ascii="宋体" w:hAnsi="宋体" w:eastAsia="宋体" w:cs="宋体"/>
          <w:color w:val="auto"/>
          <w:sz w:val="28"/>
          <w:szCs w:val="28"/>
          <w:lang w:val="en-US" w:eastAsia="zh-Hans"/>
        </w:rPr>
        <w:t>三</w:t>
      </w:r>
      <w:r>
        <w:rPr>
          <w:rFonts w:hint="eastAsia" w:ascii="宋体" w:hAnsi="宋体" w:eastAsia="宋体" w:cs="宋体"/>
          <w:color w:val="auto"/>
          <w:sz w:val="28"/>
          <w:szCs w:val="28"/>
          <w:lang w:val="en-US" w:eastAsia="zh-CN"/>
        </w:rPr>
        <w:t>节 创新科技金融产品和服务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_Toc25332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_Toc12223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积极</w:t>
      </w:r>
      <w:r>
        <w:rPr>
          <w:rFonts w:hint="eastAsia" w:ascii="宋体" w:hAnsi="宋体" w:eastAsia="宋体" w:cs="宋体"/>
          <w:b/>
          <w:color w:val="auto"/>
          <w:sz w:val="28"/>
          <w:szCs w:val="28"/>
        </w:rPr>
        <w:t>发展保险金融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促进</w:t>
      </w:r>
      <w:r>
        <w:rPr>
          <w:rFonts w:hint="eastAsia" w:ascii="宋体" w:hAnsi="宋体" w:eastAsia="宋体" w:cs="宋体"/>
          <w:b/>
          <w:color w:val="auto"/>
          <w:sz w:val="28"/>
          <w:szCs w:val="28"/>
          <w:lang w:eastAsia="zh-CN"/>
        </w:rPr>
        <w:t>加强社会保障</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_Toc12223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42</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_Toc5338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lang w:val="en-US" w:eastAsia="zh-CN" w:bidi="ar-SA"/>
        </w:rPr>
        <w:t>第一节 做大做强保险业</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_Toc5338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_Toc12741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第二节 </w:t>
      </w:r>
      <w:r>
        <w:rPr>
          <w:rFonts w:hint="eastAsia" w:ascii="宋体" w:hAnsi="宋体" w:eastAsia="宋体" w:cs="宋体"/>
          <w:color w:val="auto"/>
          <w:sz w:val="28"/>
          <w:szCs w:val="28"/>
          <w:lang w:val="en-US" w:eastAsia="zh-Hans"/>
        </w:rPr>
        <w:t>扩大保险保障范围</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_Toc12741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_Toc10815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第三节 </w:t>
      </w:r>
      <w:r>
        <w:rPr>
          <w:rFonts w:hint="eastAsia" w:ascii="宋体" w:hAnsi="宋体" w:eastAsia="宋体" w:cs="宋体"/>
          <w:color w:val="auto"/>
          <w:sz w:val="28"/>
          <w:szCs w:val="28"/>
          <w:lang w:val="en-US" w:eastAsia="zh-Hans"/>
        </w:rPr>
        <w:t>完善产业链保险服务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_Toc10815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_Toc30543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着力</w:t>
      </w:r>
      <w:r>
        <w:rPr>
          <w:rFonts w:hint="eastAsia" w:ascii="宋体" w:hAnsi="宋体" w:eastAsia="宋体" w:cs="宋体"/>
          <w:b/>
          <w:color w:val="auto"/>
          <w:sz w:val="28"/>
          <w:szCs w:val="28"/>
        </w:rPr>
        <w:t>发展贸易金融</w:t>
      </w:r>
      <w:r>
        <w:rPr>
          <w:rFonts w:hint="eastAsia" w:ascii="宋体" w:hAnsi="宋体" w:eastAsia="宋体" w:cs="宋体"/>
          <w:b/>
          <w:color w:val="auto"/>
          <w:sz w:val="28"/>
          <w:szCs w:val="28"/>
          <w:lang w:eastAsia="zh-CN"/>
        </w:rPr>
        <w:t>，培育贸易新业态新模式</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_Toc30543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44</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_Toc16404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推动金融支持物流业态发展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_Toc16404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_Toc7061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2"/>
          <w:sz w:val="28"/>
          <w:szCs w:val="28"/>
          <w:lang w:val="en-US" w:eastAsia="zh-CN" w:bidi="ar-SA"/>
        </w:rPr>
        <w:t>第二节 打造供应链金融生态圈</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_Toc7061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_Toc22166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十</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大力发展</w:t>
      </w:r>
      <w:r>
        <w:rPr>
          <w:rFonts w:hint="eastAsia" w:ascii="宋体" w:hAnsi="宋体" w:eastAsia="宋体" w:cs="宋体"/>
          <w:b/>
          <w:color w:val="auto"/>
          <w:sz w:val="28"/>
          <w:szCs w:val="28"/>
        </w:rPr>
        <w:t>国企金融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深化国有企业改革</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_Toc22166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46</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_Toc12345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推动国企控股上市公司</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_Toc12345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_Toc27084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第二节 </w:t>
      </w:r>
      <w:r>
        <w:rPr>
          <w:rFonts w:hint="eastAsia" w:ascii="宋体" w:hAnsi="宋体" w:eastAsia="宋体" w:cs="宋体"/>
          <w:bCs w:val="0"/>
          <w:color w:val="auto"/>
          <w:sz w:val="28"/>
          <w:szCs w:val="28"/>
          <w:lang w:val="en-US" w:eastAsia="zh-CN"/>
        </w:rPr>
        <w:t>打造国有资本运营平台</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_Toc27084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_Toc30288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强化国企金融服务功能</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_Toc30288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_Toc16124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第十</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探索</w:t>
      </w:r>
      <w:r>
        <w:rPr>
          <w:rFonts w:hint="eastAsia" w:ascii="宋体" w:hAnsi="宋体" w:eastAsia="宋体" w:cs="宋体"/>
          <w:b/>
          <w:color w:val="auto"/>
          <w:sz w:val="28"/>
          <w:szCs w:val="28"/>
        </w:rPr>
        <w:t>发展海洋金融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增强海洋经济活力</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_Toc16124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47</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_Toc3204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完善海洋金融组织体系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_Toc3204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_Toc5817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拓宽海洋产业融资渠道</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_Toc5817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_Toc9058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highlight w:val="none"/>
          <w:lang w:val="en-US" w:eastAsia="zh-CN" w:bidi="ar-SA"/>
        </w:rPr>
        <w:t>第三节 加强海洋金融对外合作交流</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_Toc9058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_Toc12411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第十</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防范</w:t>
      </w:r>
      <w:r>
        <w:rPr>
          <w:rFonts w:hint="eastAsia" w:ascii="宋体" w:hAnsi="宋体" w:eastAsia="宋体" w:cs="宋体"/>
          <w:b/>
          <w:color w:val="auto"/>
          <w:sz w:val="28"/>
          <w:szCs w:val="28"/>
        </w:rPr>
        <w:t>化解金融风险</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优化金融生态环境</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_Toc12411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50</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_Toc4381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第一节 切实防范化解重点领域金融风险</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_Toc4381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_Toc13283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第二节 持续打击非法金融活动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_Toc13283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_Toc10303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w:t>
      </w:r>
      <w:r>
        <w:rPr>
          <w:rFonts w:hint="eastAsia" w:ascii="宋体" w:hAnsi="宋体" w:eastAsia="宋体" w:cs="宋体"/>
          <w:bCs w:val="0"/>
          <w:color w:val="auto"/>
          <w:sz w:val="28"/>
          <w:szCs w:val="28"/>
          <w:lang w:val="en-US" w:eastAsia="zh-CN"/>
        </w:rPr>
        <w:t>三</w:t>
      </w:r>
      <w:r>
        <w:rPr>
          <w:rFonts w:hint="eastAsia" w:ascii="宋体" w:hAnsi="宋体" w:eastAsia="宋体" w:cs="宋体"/>
          <w:bCs w:val="0"/>
          <w:color w:val="auto"/>
          <w:sz w:val="28"/>
          <w:szCs w:val="28"/>
        </w:rPr>
        <w:t>节 优化金融生态环境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_Toc10303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_Toc29966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第十</w:t>
      </w: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加强规划实施保障</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_Toc29966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54</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_Toc29870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第一节 加强组织保障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_Toc29870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_Toc9298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第二节 加强政策保障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_Toc9298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_Toc16831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第三节 加强人才保障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_Toc16831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_Toc29594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第四节 加强督导</w:t>
      </w:r>
      <w:r>
        <w:rPr>
          <w:rFonts w:hint="eastAsia" w:ascii="宋体" w:hAnsi="宋体" w:eastAsia="宋体" w:cs="宋体"/>
          <w:bCs w:val="0"/>
          <w:color w:val="auto"/>
          <w:sz w:val="28"/>
          <w:szCs w:val="28"/>
          <w:lang w:val="en-US" w:eastAsia="zh-CN"/>
        </w:rPr>
        <w:t>评估</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_Toc29594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
        <w:spacing w:before="0" w:after="0"/>
        <w:jc w:val="center"/>
        <w:rPr>
          <w:rFonts w:hint="default" w:eastAsia="仿宋_GB2312"/>
          <w:lang w:val="en-US" w:eastAsia="zh-CN"/>
        </w:rPr>
      </w:pPr>
      <w:r>
        <w:rPr>
          <w:rFonts w:hint="eastAsia" w:ascii="宋体" w:hAnsi="宋体" w:eastAsia="宋体" w:cs="宋体"/>
          <w:b/>
          <w:color w:val="auto"/>
          <w:sz w:val="24"/>
          <w:szCs w:val="24"/>
        </w:rPr>
        <w:fldChar w:fldCharType="end"/>
      </w:r>
      <w:r>
        <w:rPr>
          <w:rFonts w:hint="eastAsia"/>
        </w:rPr>
        <w:br w:type="page"/>
      </w:r>
      <w:bookmarkStart w:id="2" w:name="_Toc6495"/>
      <w:r>
        <w:rPr>
          <w:rFonts w:hint="eastAsia" w:ascii="Times New Roman" w:hAnsi="Times New Roman" w:eastAsia="方正小标宋简体" w:cs="Times New Roman"/>
          <w:b/>
          <w:kern w:val="44"/>
          <w:sz w:val="36"/>
          <w:szCs w:val="24"/>
          <w:lang w:val="en-US" w:eastAsia="zh-CN" w:bidi="ar-SA"/>
        </w:rPr>
        <w:t>第一章 发展基础</w:t>
      </w:r>
      <w:bookmarkEnd w:id="0"/>
      <w:bookmarkEnd w:id="1"/>
      <w:r>
        <w:rPr>
          <w:rFonts w:hint="eastAsia" w:ascii="Times New Roman" w:hAnsi="Times New Roman" w:eastAsia="方正小标宋简体" w:cs="Times New Roman"/>
          <w:b/>
          <w:kern w:val="44"/>
          <w:sz w:val="36"/>
          <w:szCs w:val="24"/>
          <w:lang w:val="en-US" w:eastAsia="zh-CN" w:bidi="ar-SA"/>
        </w:rPr>
        <w:t>和环境</w:t>
      </w:r>
      <w:bookmarkEnd w:id="2"/>
    </w:p>
    <w:p>
      <w:pPr>
        <w:pStyle w:val="4"/>
        <w:spacing w:before="93" w:after="93"/>
      </w:pPr>
      <w:bookmarkStart w:id="3" w:name="_Toc27152"/>
      <w:bookmarkStart w:id="4" w:name="_Toc17132"/>
      <w:bookmarkStart w:id="5" w:name="_Toc16531"/>
      <w:bookmarkStart w:id="6" w:name="_Toc9385"/>
      <w:r>
        <w:rPr>
          <w:rFonts w:hint="eastAsia"/>
        </w:rPr>
        <w:t>第一节 发展基础</w:t>
      </w:r>
      <w:bookmarkEnd w:id="3"/>
      <w:bookmarkEnd w:id="4"/>
      <w:bookmarkEnd w:id="5"/>
      <w:bookmarkEnd w:id="6"/>
    </w:p>
    <w:p>
      <w:pPr>
        <w:pageBreakBefore w:val="0"/>
        <w:widowControl w:val="0"/>
        <w:kinsoku/>
        <w:wordWrap/>
        <w:overflowPunct/>
        <w:topLinePunct w:val="0"/>
        <w:autoSpaceDE/>
        <w:autoSpaceDN/>
        <w:bidi w:val="0"/>
        <w:adjustRightInd/>
        <w:snapToGrid/>
        <w:ind w:firstLine="640" w:firstLineChars="200"/>
        <w:textAlignment w:val="auto"/>
      </w:pPr>
      <w:bookmarkStart w:id="7" w:name="_Toc10736"/>
      <w:bookmarkStart w:id="8" w:name="_Toc9142"/>
      <w:r>
        <w:rPr>
          <w:rFonts w:hint="eastAsia"/>
        </w:rPr>
        <w:t>金融综合实力逐步提升</w:t>
      </w:r>
      <w:bookmarkEnd w:id="7"/>
      <w:bookmarkEnd w:id="8"/>
      <w:r>
        <w:rPr>
          <w:rFonts w:hint="eastAsia"/>
          <w:lang w:eastAsia="zh-CN"/>
        </w:rPr>
        <w:t>。</w:t>
      </w:r>
      <w:r>
        <w:rPr>
          <w:rFonts w:hint="eastAsia"/>
        </w:rPr>
        <w:t>“十三五”以来，汕尾市金融业运行呈现稳健发展的态势，主要金融指标增速较快，金融机构整体实力增强，行业发展规模不断扩大，金融总量稳步增长。截至2020年末，全市实现金融业增加值50.34亿元，较“十二五”末期增长122.15%，年均增速17.31%；金融业增加值占GDP的比重为4.48%，较“十二五”末期增长1.5个百分点，金融业对地区经济发展贡献进一步提高。</w:t>
      </w:r>
    </w:p>
    <w:p>
      <w:pPr>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kern w:val="0"/>
          <w:szCs w:val="22"/>
          <w:lang w:bidi="zh-CN"/>
        </w:rPr>
      </w:pPr>
      <w:r>
        <w:rPr>
          <w:rFonts w:hint="eastAsia" w:ascii="Times New Roman" w:hAnsi="Times New Roman"/>
          <w:kern w:val="0"/>
          <w:szCs w:val="22"/>
          <w:lang w:bidi="zh-CN"/>
        </w:rPr>
        <w:t>金融机构方面，全市有银行业机构11家，保险机构15家，证券业机构4家，地方金融机构（组织）11家，较“十二五”末明显增加。存贷款方面，截至2020年末，全市本外币存贷款余额分别为1073.29亿元、680.91亿元，“十三五”期间年均增速分别为11.21%、17.34%。</w:t>
      </w:r>
    </w:p>
    <w:p>
      <w:pPr>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kern w:val="0"/>
          <w:szCs w:val="22"/>
          <w:lang w:bidi="zh-CN"/>
        </w:rPr>
      </w:pPr>
      <w:r>
        <w:rPr>
          <w:rFonts w:hint="eastAsia" w:ascii="Times New Roman" w:hAnsi="Times New Roman"/>
          <w:kern w:val="0"/>
          <w:szCs w:val="22"/>
          <w:lang w:bidi="zh-CN"/>
        </w:rPr>
        <w:t>多层次资本市场</w:t>
      </w:r>
      <w:r>
        <w:rPr>
          <w:rFonts w:hint="eastAsia" w:ascii="Times New Roman" w:hAnsi="Times New Roman"/>
          <w:kern w:val="0"/>
          <w:szCs w:val="22"/>
          <w:lang w:val="en-US" w:bidi="zh-CN"/>
        </w:rPr>
        <w:t>发展</w:t>
      </w:r>
      <w:r>
        <w:rPr>
          <w:rFonts w:hint="eastAsia" w:ascii="Times New Roman" w:hAnsi="Times New Roman"/>
          <w:kern w:val="0"/>
          <w:szCs w:val="22"/>
          <w:lang w:bidi="zh-CN"/>
        </w:rPr>
        <w:t>方面。截至2020年末，全市尚未有上市公司、新三板挂牌公司（2018年主动摘牌1家），区域性股交中心挂牌企业2家，本地企业发行企业债券、公司债券14亿元。</w:t>
      </w:r>
    </w:p>
    <w:p>
      <w:pPr>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在保费收入方面，2020年全市实现保费收入27.87亿元，较“十二五”末期增长121.72%，年均增长17.26%；保险密度和深度分别为782.54元、2.48%，较“十二五”末期增加432.36元、0.83个百分点。</w:t>
      </w:r>
    </w:p>
    <w:p>
      <w:pPr>
        <w:ind w:firstLine="640"/>
        <w:jc w:val="center"/>
        <w:rPr>
          <w:rFonts w:ascii="Times New Roman" w:hAnsi="Times New Roman" w:eastAsia="黑体"/>
          <w:kern w:val="0"/>
          <w:sz w:val="28"/>
          <w:szCs w:val="21"/>
          <w:lang w:bidi="zh-CN"/>
        </w:rPr>
      </w:pPr>
      <w:r>
        <w:rPr>
          <w:rFonts w:hint="eastAsia" w:ascii="Times New Roman" w:hAnsi="Times New Roman" w:eastAsia="黑体"/>
          <w:kern w:val="0"/>
          <w:sz w:val="28"/>
          <w:szCs w:val="21"/>
          <w:lang w:bidi="zh-CN"/>
        </w:rPr>
        <w:t>表1</w:t>
      </w:r>
      <w:r>
        <w:rPr>
          <w:rFonts w:ascii="Times New Roman" w:hAnsi="Times New Roman" w:eastAsia="黑体"/>
          <w:kern w:val="0"/>
          <w:sz w:val="28"/>
          <w:szCs w:val="21"/>
          <w:lang w:bidi="zh-CN"/>
        </w:rPr>
        <w:t>：</w:t>
      </w:r>
      <w:r>
        <w:rPr>
          <w:rFonts w:hint="eastAsia" w:ascii="Times New Roman" w:hAnsi="Times New Roman" w:eastAsia="黑体"/>
          <w:kern w:val="0"/>
          <w:sz w:val="28"/>
          <w:szCs w:val="21"/>
          <w:lang w:bidi="zh-CN"/>
        </w:rPr>
        <w:t>“十三五”期间汕尾金融</w:t>
      </w:r>
      <w:r>
        <w:rPr>
          <w:rFonts w:ascii="Times New Roman" w:hAnsi="Times New Roman" w:eastAsia="黑体"/>
          <w:kern w:val="0"/>
          <w:sz w:val="28"/>
          <w:szCs w:val="21"/>
          <w:lang w:bidi="zh-CN"/>
        </w:rPr>
        <w:t>业</w:t>
      </w:r>
      <w:r>
        <w:rPr>
          <w:rFonts w:hint="eastAsia" w:ascii="Times New Roman" w:hAnsi="Times New Roman" w:eastAsia="黑体"/>
          <w:kern w:val="0"/>
          <w:sz w:val="28"/>
          <w:szCs w:val="21"/>
          <w:lang w:bidi="zh-CN"/>
        </w:rPr>
        <w:t>发展指标一览表</w:t>
      </w:r>
    </w:p>
    <w:tbl>
      <w:tblPr>
        <w:tblStyle w:val="27"/>
        <w:tblW w:w="9222" w:type="dxa"/>
        <w:jc w:val="center"/>
        <w:tblLayout w:type="fixed"/>
        <w:tblCellMar>
          <w:top w:w="0" w:type="dxa"/>
          <w:left w:w="108" w:type="dxa"/>
          <w:bottom w:w="0" w:type="dxa"/>
          <w:right w:w="108" w:type="dxa"/>
        </w:tblCellMar>
      </w:tblPr>
      <w:tblGrid>
        <w:gridCol w:w="1895"/>
        <w:gridCol w:w="1020"/>
        <w:gridCol w:w="1020"/>
        <w:gridCol w:w="1020"/>
        <w:gridCol w:w="1020"/>
        <w:gridCol w:w="1020"/>
        <w:gridCol w:w="1020"/>
        <w:gridCol w:w="1207"/>
      </w:tblGrid>
      <w:tr>
        <w:tblPrEx>
          <w:tblCellMar>
            <w:top w:w="0" w:type="dxa"/>
            <w:left w:w="108" w:type="dxa"/>
            <w:bottom w:w="0" w:type="dxa"/>
            <w:right w:w="108" w:type="dxa"/>
          </w:tblCellMar>
        </w:tblPrEx>
        <w:trPr>
          <w:trHeight w:val="493" w:hRule="atLeast"/>
          <w:tblHeader/>
          <w:jc w:val="center"/>
        </w:trPr>
        <w:tc>
          <w:tcPr>
            <w:tcW w:w="18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9"/>
              <w:jc w:val="center"/>
              <w:rPr>
                <w:sz w:val="24"/>
              </w:rPr>
            </w:pPr>
            <w:r>
              <w:rPr>
                <w:sz w:val="24"/>
              </w:rPr>
              <w:t>指标</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rFonts w:hint="eastAsia"/>
                <w:sz w:val="24"/>
              </w:rPr>
              <w:t>2015年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6</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7</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8</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9</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w:t>
            </w:r>
            <w:r>
              <w:rPr>
                <w:rFonts w:hint="eastAsia"/>
                <w:sz w:val="24"/>
              </w:rPr>
              <w:t>20</w:t>
            </w:r>
            <w:r>
              <w:rPr>
                <w:sz w:val="24"/>
              </w:rPr>
              <w:t>年</w:t>
            </w:r>
          </w:p>
        </w:tc>
        <w:tc>
          <w:tcPr>
            <w:tcW w:w="1207"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年均增速</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金融业增加值（亿元）</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22.66</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25.30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35.30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38.97</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41.80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50.34</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17.31%</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sz w:val="24"/>
              </w:rPr>
              <w:t>金融业增加值占GDP</w:t>
            </w:r>
            <w:r>
              <w:rPr>
                <w:rFonts w:hint="eastAsia"/>
                <w:sz w:val="24"/>
              </w:rPr>
              <w:t>比重</w:t>
            </w:r>
            <w:r>
              <w:rPr>
                <w:sz w:val="24"/>
              </w:rPr>
              <w:t>（%）</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2.98</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3.06</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4.15</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4.23</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3.87</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4.48</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sz w:val="24"/>
              </w:rPr>
              <w:t>本外币存款余额（亿元）</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631.03</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744.28</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836.84</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940.46</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1002.60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1073.29</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11.21%</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sz w:val="24"/>
              </w:rPr>
              <w:t>本外币贷款余额（亿元）</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306.14</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352.70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407.80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425.40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521.64</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680.92</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17.34%</w:t>
            </w:r>
          </w:p>
        </w:tc>
      </w:tr>
      <w:tr>
        <w:tblPrEx>
          <w:tblCellMar>
            <w:top w:w="0" w:type="dxa"/>
            <w:left w:w="108" w:type="dxa"/>
            <w:bottom w:w="0" w:type="dxa"/>
            <w:right w:w="108" w:type="dxa"/>
          </w:tblCellMar>
        </w:tblPrEx>
        <w:trPr>
          <w:trHeight w:val="227"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sz w:val="24"/>
              </w:rPr>
              <w:t>保费收入</w:t>
            </w:r>
            <w:r>
              <w:rPr>
                <w:rFonts w:hint="eastAsia"/>
                <w:sz w:val="24"/>
              </w:rPr>
              <w:t xml:space="preserve">   </w:t>
            </w:r>
            <w:r>
              <w:rPr>
                <w:sz w:val="24"/>
              </w:rPr>
              <w:t>（亿元）</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12.57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15.56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19.77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24.28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25.17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27.87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17.26%</w:t>
            </w:r>
          </w:p>
        </w:tc>
      </w:tr>
    </w:tbl>
    <w:p>
      <w:pPr>
        <w:ind w:firstLine="0" w:firstLineChars="0"/>
        <w:rPr>
          <w:rFonts w:ascii="楷体" w:hAnsi="楷体" w:eastAsia="楷体" w:cs="楷体"/>
          <w:sz w:val="28"/>
          <w:szCs w:val="22"/>
        </w:rPr>
      </w:pPr>
      <w:r>
        <w:rPr>
          <w:rFonts w:hint="eastAsia" w:ascii="楷体" w:hAnsi="楷体" w:eastAsia="楷体" w:cs="楷体"/>
          <w:sz w:val="28"/>
          <w:szCs w:val="22"/>
        </w:rPr>
        <w:t>数据来源：2015-2020年汕尾市国民经济和社会发展统计公报</w:t>
      </w:r>
    </w:p>
    <w:p>
      <w:pPr>
        <w:pageBreakBefore w:val="0"/>
        <w:widowControl/>
        <w:kinsoku/>
        <w:wordWrap/>
        <w:overflowPunct/>
        <w:topLinePunct w:val="0"/>
        <w:autoSpaceDE/>
        <w:autoSpaceDN/>
        <w:bidi w:val="0"/>
        <w:adjustRightInd/>
        <w:snapToGrid/>
        <w:spacing w:line="240" w:lineRule="auto"/>
        <w:ind w:left="0" w:leftChars="0" w:firstLine="640" w:firstLineChars="200"/>
        <w:textAlignment w:val="auto"/>
        <w:rPr>
          <w:color w:val="auto"/>
        </w:rPr>
      </w:pPr>
      <w:bookmarkStart w:id="9" w:name="_Toc5832"/>
      <w:bookmarkStart w:id="10" w:name="_Toc30758"/>
      <w:r>
        <w:rPr>
          <w:rFonts w:hint="eastAsia"/>
          <w:color w:val="auto"/>
        </w:rPr>
        <w:t>金融服务实体经济能力不断增强</w:t>
      </w:r>
      <w:bookmarkEnd w:id="9"/>
      <w:bookmarkEnd w:id="10"/>
      <w:r>
        <w:rPr>
          <w:rFonts w:hint="eastAsia"/>
          <w:color w:val="auto"/>
          <w:lang w:eastAsia="zh-CN"/>
        </w:rPr>
        <w:t>。</w:t>
      </w:r>
      <w:bookmarkStart w:id="11" w:name="_Toc20721"/>
      <w:bookmarkStart w:id="12" w:name="_Toc17816"/>
      <w:r>
        <w:rPr>
          <w:rFonts w:hint="eastAsia"/>
          <w:b/>
          <w:bCs/>
          <w:color w:val="auto"/>
          <w:lang w:val="en-US" w:eastAsia="zh-CN"/>
        </w:rPr>
        <w:t>一是</w:t>
      </w:r>
      <w:r>
        <w:rPr>
          <w:rFonts w:hint="eastAsia"/>
          <w:color w:val="auto"/>
        </w:rPr>
        <w:t>完善金融支持实体经济扶持政策</w:t>
      </w:r>
      <w:bookmarkEnd w:id="11"/>
      <w:bookmarkEnd w:id="12"/>
      <w:r>
        <w:rPr>
          <w:rFonts w:hint="eastAsia"/>
          <w:color w:val="auto"/>
          <w:lang w:eastAsia="zh-CN"/>
        </w:rPr>
        <w:t>。</w:t>
      </w:r>
      <w:r>
        <w:rPr>
          <w:rFonts w:hint="eastAsia"/>
          <w:color w:val="auto"/>
        </w:rPr>
        <w:t>“十三五”末，在市委市政府重视下，出台了《2020-2022年汕尾市深化金融改革推动经济社会高质量发展工作方案》等综合性金融改革方案，提出了</w:t>
      </w:r>
      <w:r>
        <w:rPr>
          <w:rFonts w:hint="eastAsia"/>
          <w:color w:val="auto"/>
          <w:lang w:eastAsia="zh-CN"/>
        </w:rPr>
        <w:t>“</w:t>
      </w:r>
      <w:r>
        <w:rPr>
          <w:rFonts w:hint="eastAsia"/>
          <w:color w:val="auto"/>
          <w:lang w:val="en-US" w:eastAsia="zh-CN"/>
        </w:rPr>
        <w:t>保障有力、渠道畅通、结构优化、成本降低</w:t>
      </w:r>
      <w:r>
        <w:rPr>
          <w:rFonts w:hint="eastAsia"/>
          <w:color w:val="auto"/>
          <w:lang w:eastAsia="zh-CN"/>
        </w:rPr>
        <w:t>”</w:t>
      </w:r>
      <w:r>
        <w:rPr>
          <w:rFonts w:hint="eastAsia"/>
          <w:color w:val="auto"/>
          <w:lang w:val="en-US" w:eastAsia="zh-CN"/>
        </w:rPr>
        <w:t>的金融工作思路，</w:t>
      </w:r>
      <w:r>
        <w:rPr>
          <w:rFonts w:hint="eastAsia"/>
          <w:color w:val="auto"/>
        </w:rPr>
        <w:t>进一步完善地方金融工作体制机制，优化金融发展环境，加快金融改革步伐，以及提升金融服务效能等方面有力举措。此外，结合实际制定了《汕尾市创建农村金融改革示范区工作方案》《关于进一步加强汕尾市政府性融资担保体系建设的工作意见》《汕尾市推动中小微企业金融服务改革创新工作方案》《关于建设广东省中小企业融资平台汕尾专区的实施方案》《汕尾市加快推进企业上市工作方案》《汕尾市小微企业信用保证基金实施方案》《汕尾市支持中小微企业融资专项资金管理办法》《汕尾市推进资本要素市场化配置改革实施方案》等政策措施，有效打出全方位、保重点、提质效、抓落实的金融组合拳。</w:t>
      </w:r>
      <w:bookmarkStart w:id="13" w:name="_Toc30075"/>
      <w:bookmarkStart w:id="14" w:name="_Toc18629"/>
      <w:r>
        <w:rPr>
          <w:rFonts w:hint="eastAsia"/>
          <w:b/>
          <w:bCs/>
          <w:color w:val="auto"/>
          <w:lang w:val="en-US" w:eastAsia="zh-CN"/>
        </w:rPr>
        <w:t>二是</w:t>
      </w:r>
      <w:r>
        <w:rPr>
          <w:rFonts w:hint="eastAsia"/>
          <w:color w:val="auto"/>
        </w:rPr>
        <w:t>特色金融发展成效显著</w:t>
      </w:r>
      <w:bookmarkEnd w:id="13"/>
      <w:bookmarkEnd w:id="14"/>
      <w:r>
        <w:rPr>
          <w:rFonts w:hint="eastAsia"/>
          <w:color w:val="auto"/>
          <w:lang w:eastAsia="zh-CN"/>
        </w:rPr>
        <w:t>。</w:t>
      </w:r>
      <w:r>
        <w:rPr>
          <w:rFonts w:hint="eastAsia"/>
          <w:color w:val="auto"/>
        </w:rPr>
        <w:t>“十三五”期间，汕尾全面铺开普惠金融服务，持续加大实体企业信贷投放，助力实体经济高质量发展。截至2020年末，小微企业贷款余额82.80亿元，较2015年末下降1.04%，低于各项贷款平均增速31.6个百分点；全市制造业贷款余额为45.22亿元，较2015年末增长46.87%；全市绿色信贷余额为43.42亿元，较2018年末增长411.03%。</w:t>
      </w:r>
      <w:bookmarkStart w:id="15" w:name="_Toc20365"/>
      <w:bookmarkStart w:id="16" w:name="_Toc22868"/>
      <w:r>
        <w:rPr>
          <w:rFonts w:hint="eastAsia"/>
          <w:b/>
          <w:bCs/>
          <w:color w:val="auto"/>
          <w:lang w:val="en-US" w:eastAsia="zh-CN"/>
        </w:rPr>
        <w:t>三是</w:t>
      </w:r>
      <w:r>
        <w:rPr>
          <w:rFonts w:hint="eastAsia"/>
          <w:color w:val="auto"/>
        </w:rPr>
        <w:t>加大财政资金支持金融拓宽融资渠道的力度</w:t>
      </w:r>
      <w:bookmarkEnd w:id="15"/>
      <w:bookmarkEnd w:id="16"/>
      <w:r>
        <w:rPr>
          <w:rFonts w:hint="eastAsia"/>
          <w:color w:val="auto"/>
          <w:lang w:eastAsia="zh-CN"/>
        </w:rPr>
        <w:t>。</w:t>
      </w:r>
      <w:r>
        <w:rPr>
          <w:rFonts w:hint="eastAsia"/>
          <w:color w:val="auto"/>
        </w:rPr>
        <w:t>“十三五”期间，有效</w:t>
      </w:r>
      <w:r>
        <w:rPr>
          <w:rFonts w:hint="eastAsia" w:ascii="仿宋_GB2312" w:hAnsi="仿宋_GB2312" w:cs="仿宋_GB2312"/>
          <w:color w:val="auto"/>
          <w:szCs w:val="32"/>
        </w:rPr>
        <w:t>整合全市各类企业贷款风险补偿资金</w:t>
      </w:r>
      <w:r>
        <w:rPr>
          <w:rFonts w:hint="eastAsia"/>
          <w:color w:val="auto"/>
        </w:rPr>
        <w:t>，设立规模人民币5亿元的市</w:t>
      </w:r>
      <w:r>
        <w:rPr>
          <w:rFonts w:hint="eastAsia" w:ascii="仿宋_GB2312" w:hAnsi="仿宋_GB2312" w:cs="仿宋_GB2312"/>
          <w:color w:val="auto"/>
          <w:szCs w:val="32"/>
        </w:rPr>
        <w:t>小微企业信用保证基金</w:t>
      </w:r>
      <w:r>
        <w:rPr>
          <w:rFonts w:hint="eastAsia"/>
          <w:color w:val="auto"/>
        </w:rPr>
        <w:t>和8000万元的中小微企业融资专项资金，</w:t>
      </w:r>
      <w:r>
        <w:rPr>
          <w:rFonts w:hint="eastAsia" w:ascii="仿宋_GB2312" w:hAnsi="仿宋_GB2312" w:cs="仿宋_GB2312"/>
          <w:color w:val="auto"/>
          <w:szCs w:val="32"/>
        </w:rPr>
        <w:t>引导银行信贷资金积极支持全市中小微企业和“三农”发展，做大融资担保规模，</w:t>
      </w:r>
      <w:r>
        <w:rPr>
          <w:rFonts w:hint="eastAsia"/>
          <w:color w:val="auto"/>
        </w:rPr>
        <w:t>着力破解小微企业融资瓶颈</w:t>
      </w:r>
      <w:r>
        <w:rPr>
          <w:rFonts w:hint="eastAsia" w:ascii="仿宋_GB2312" w:hAnsi="仿宋_GB2312" w:cs="仿宋_GB2312"/>
          <w:color w:val="auto"/>
          <w:szCs w:val="32"/>
        </w:rPr>
        <w:t>，为汕尾实体经济发展提供有力的金融支持</w:t>
      </w:r>
      <w:r>
        <w:rPr>
          <w:rFonts w:hint="eastAsia"/>
          <w:color w:val="auto"/>
        </w:rPr>
        <w:t>。加快国有企业改革，成立汕尾金融控股公司，设立目标规模20亿元的产业投资引导基金，优化资本要素市场化配置，推动汕尾产业发展。</w:t>
      </w:r>
      <w:r>
        <w:rPr>
          <w:rFonts w:hint="eastAsia" w:ascii="仿宋_GB2312" w:hAnsi="宋体"/>
          <w:color w:val="auto"/>
          <w:szCs w:val="32"/>
        </w:rPr>
        <w:t>设立市中小微企业融资风险补偿平台，完善平台各项规章制度，与相关银行对接，要求各家合作银行进一步研究出台适合农渔产品加工企业在内的各类企业的贷款服务，适当降低贷款条件，积极为入池中小微企业办理融资业务，全力发挥平台补偿增信作用，扶持“三农”发展。</w:t>
      </w:r>
      <w:bookmarkStart w:id="17" w:name="_Toc16017"/>
      <w:bookmarkStart w:id="18" w:name="_Toc11510"/>
      <w:r>
        <w:rPr>
          <w:rFonts w:hint="eastAsia"/>
          <w:b/>
          <w:bCs/>
          <w:color w:val="auto"/>
          <w:lang w:val="en-US" w:eastAsia="zh-CN"/>
        </w:rPr>
        <w:t>四是</w:t>
      </w:r>
      <w:r>
        <w:rPr>
          <w:rFonts w:hint="eastAsia"/>
          <w:color w:val="auto"/>
        </w:rPr>
        <w:t>大力推动融资服务平台建设</w:t>
      </w:r>
      <w:bookmarkEnd w:id="17"/>
      <w:bookmarkEnd w:id="18"/>
      <w:r>
        <w:rPr>
          <w:rFonts w:hint="eastAsia"/>
          <w:color w:val="auto"/>
          <w:lang w:eastAsia="zh-CN"/>
        </w:rPr>
        <w:t>。</w:t>
      </w:r>
      <w:r>
        <w:rPr>
          <w:rFonts w:hint="eastAsia"/>
          <w:color w:val="auto"/>
        </w:rPr>
        <w:t>在广东省“中小融”平台基础上，建立广东省中小企业融资平台汕尾专区，</w:t>
      </w:r>
      <w:r>
        <w:rPr>
          <w:rFonts w:hint="eastAsia" w:ascii="仿宋_GB2312"/>
          <w:color w:val="auto"/>
          <w:szCs w:val="32"/>
        </w:rPr>
        <w:t>根据汕尾实际设置“农村金融”和“海洋金融”版块，</w:t>
      </w:r>
      <w:r>
        <w:rPr>
          <w:rFonts w:hint="eastAsia" w:ascii="仿宋_GB2312" w:hAnsi="黑体"/>
          <w:color w:val="auto"/>
          <w:szCs w:val="32"/>
        </w:rPr>
        <w:t>借鉴</w:t>
      </w:r>
      <w:r>
        <w:rPr>
          <w:rFonts w:hint="eastAsia" w:ascii="仿宋_GB2312" w:hAnsi="黑体"/>
          <w:color w:val="auto"/>
          <w:szCs w:val="32"/>
          <w:lang w:val="en-US" w:eastAsia="zh-CN"/>
        </w:rPr>
        <w:t>浙江</w:t>
      </w:r>
      <w:r>
        <w:rPr>
          <w:rFonts w:hint="eastAsia" w:ascii="仿宋_GB2312" w:hAnsi="黑体"/>
          <w:color w:val="auto"/>
          <w:szCs w:val="32"/>
        </w:rPr>
        <w:t>台州先进经验做法</w:t>
      </w:r>
      <w:r>
        <w:rPr>
          <w:rFonts w:hint="eastAsia" w:ascii="仿宋_GB2312"/>
          <w:color w:val="auto"/>
          <w:szCs w:val="32"/>
        </w:rPr>
        <w:t>对汕尾地区机构产品进行管理维护，已</w:t>
      </w:r>
      <w:r>
        <w:rPr>
          <w:rFonts w:hint="eastAsia"/>
          <w:color w:val="auto"/>
        </w:rPr>
        <w:t>引入11家金融机构上线发布75款信贷产品，推动企业7102家完成注册、申请贷款12.26亿元，成功发放贷款123笔共4.56亿元。同时，人民银行“粤信融”平台注册企业达1.3万余家，撮合融资554笔共20.81亿元，中征应收账款融资服务平台累计促成融资218笔共39.55亿元。此外，为拓宽企业直接融资渠道，汕尾积极对接广东股权交易中心，设立广东股权（汕尾）运营中心，谋划设立特色板块，为企业提供挂牌展示、路演培训、股份制改造等服务，推动84家企业挂牌展示，帮助企业拓宽融资渠道。</w:t>
      </w:r>
    </w:p>
    <w:p>
      <w:pPr>
        <w:widowControl/>
        <w:spacing w:line="240" w:lineRule="auto"/>
        <w:ind w:firstLine="640"/>
        <w:rPr>
          <w:rFonts w:hint="default"/>
          <w:color w:val="auto"/>
        </w:rPr>
      </w:pPr>
      <w:bookmarkStart w:id="19" w:name="_Toc18899"/>
      <w:bookmarkStart w:id="20" w:name="_Toc23180"/>
      <w:r>
        <w:rPr>
          <w:rStyle w:val="44"/>
          <w:rFonts w:hint="eastAsia"/>
          <w:color w:val="auto"/>
        </w:rPr>
        <w:t>农村金融改革初显成效</w:t>
      </w:r>
      <w:bookmarkEnd w:id="19"/>
      <w:bookmarkEnd w:id="20"/>
      <w:r>
        <w:rPr>
          <w:rStyle w:val="44"/>
          <w:rFonts w:hint="eastAsia"/>
          <w:color w:val="auto"/>
          <w:lang w:eastAsia="zh-CN"/>
        </w:rPr>
        <w:t>。</w:t>
      </w:r>
      <w:r>
        <w:rPr>
          <w:rFonts w:hint="eastAsia"/>
          <w:b/>
          <w:bCs/>
          <w:color w:val="auto"/>
          <w:lang w:val="en-US" w:eastAsia="zh-CN"/>
        </w:rPr>
        <w:t>一是</w:t>
      </w:r>
      <w:bookmarkStart w:id="21" w:name="_Toc11298"/>
      <w:bookmarkStart w:id="22" w:name="_Toc12848"/>
      <w:r>
        <w:rPr>
          <w:rFonts w:hint="eastAsia"/>
          <w:color w:val="auto"/>
        </w:rPr>
        <w:t>制定农村金融改革方案</w:t>
      </w:r>
      <w:bookmarkEnd w:id="21"/>
      <w:bookmarkEnd w:id="22"/>
      <w:r>
        <w:rPr>
          <w:rFonts w:hint="eastAsia"/>
          <w:color w:val="auto"/>
          <w:lang w:eastAsia="zh-CN"/>
        </w:rPr>
        <w:t>。</w:t>
      </w:r>
      <w:r>
        <w:rPr>
          <w:rFonts w:hint="eastAsia"/>
          <w:color w:val="auto"/>
          <w:lang w:val="en-US" w:eastAsia="zh-CN"/>
        </w:rPr>
        <w:t>出</w:t>
      </w:r>
      <w:r>
        <w:rPr>
          <w:rFonts w:hint="eastAsia"/>
          <w:color w:val="auto"/>
        </w:rPr>
        <w:t>台印发了《汕尾市创建农村金融改革示范区工作方案》，统筹推进农村金融改革创新，探索金融支持汕尾“三农”发展的有效途径和方式，加大金融支持农村工作力度，扩大全市农村金融服务覆盖面，助推乡村振兴，促进汕尾经济社会高质量发展。2020年末，全市涉农贷款余额193.88亿元，较“十二五”末期增长超过50%。</w:t>
      </w:r>
      <w:bookmarkStart w:id="23" w:name="_Toc15481"/>
      <w:bookmarkStart w:id="24" w:name="_Toc4592"/>
      <w:r>
        <w:rPr>
          <w:rFonts w:hint="eastAsia"/>
          <w:b/>
          <w:bCs/>
          <w:color w:val="auto"/>
          <w:lang w:val="en-US" w:eastAsia="zh-CN"/>
        </w:rPr>
        <w:t>二是</w:t>
      </w:r>
      <w:r>
        <w:rPr>
          <w:rFonts w:hint="eastAsia"/>
          <w:color w:val="auto"/>
        </w:rPr>
        <w:t>扎实推进金融网格化服务体系建设工作</w:t>
      </w:r>
      <w:bookmarkEnd w:id="23"/>
      <w:bookmarkEnd w:id="24"/>
      <w:r>
        <w:rPr>
          <w:rFonts w:hint="eastAsia"/>
          <w:color w:val="auto"/>
          <w:lang w:eastAsia="zh-CN"/>
        </w:rPr>
        <w:t>。</w:t>
      </w:r>
      <w:r>
        <w:rPr>
          <w:rFonts w:hint="eastAsia"/>
          <w:color w:val="auto"/>
        </w:rPr>
        <w:t>印发《派驻村（社区）金融助理工作方案》，开展“派驻金融助理”工作，建立“派驻金融助理联席会议”制度和金融助理“定点、定人、定时”驻村机制，逐步在全市建立起全方位、多层次、广覆盖的基层金融服务基础网络体系，构建本土金融服务生态圈，精准施策助力脱贫攻坚，深入普及金融知识，切实帮助乡村（社区）群众解决贷款难、融资难等问题，提升金融服务乡村振兴、助力实体经济发展水平和成效。</w:t>
      </w:r>
      <w:bookmarkStart w:id="25" w:name="_Toc28211"/>
      <w:bookmarkStart w:id="26" w:name="_Toc21509"/>
      <w:r>
        <w:rPr>
          <w:rFonts w:hint="eastAsia"/>
          <w:b/>
          <w:bCs/>
          <w:color w:val="auto"/>
          <w:lang w:val="en-US" w:eastAsia="zh-CN"/>
        </w:rPr>
        <w:t>三是</w:t>
      </w:r>
      <w:r>
        <w:rPr>
          <w:rFonts w:hint="eastAsia"/>
          <w:color w:val="auto"/>
        </w:rPr>
        <w:t>加强农村信用体系建设</w:t>
      </w:r>
      <w:bookmarkEnd w:id="25"/>
      <w:bookmarkEnd w:id="26"/>
      <w:r>
        <w:rPr>
          <w:rFonts w:hint="eastAsia"/>
          <w:color w:val="auto"/>
          <w:lang w:eastAsia="zh-CN"/>
        </w:rPr>
        <w:t>。</w:t>
      </w:r>
      <w:r>
        <w:rPr>
          <w:rFonts w:hint="eastAsia"/>
          <w:color w:val="auto"/>
        </w:rPr>
        <w:t>通过推动设立综合征信中心、金融服务站、评定信用村、信用户等一系列惠民便民措施，累计建立农户信用档案42.24万户，评定信用农户31.56万户、信用村405个。推动广东省农户信用信息系统对汕尾辖区建档立卡贫困户的全覆盖，引导金融机构对符合条件的贫困户发放扶贫小额信用贷款，实施信用扶贫工程。</w:t>
      </w:r>
      <w:bookmarkStart w:id="27" w:name="_Toc6836"/>
      <w:bookmarkStart w:id="28" w:name="_Toc9784"/>
      <w:r>
        <w:rPr>
          <w:rFonts w:hint="eastAsia"/>
          <w:b/>
          <w:bCs/>
          <w:color w:val="auto"/>
          <w:lang w:val="en-US" w:eastAsia="zh-CN"/>
        </w:rPr>
        <w:t>四是</w:t>
      </w:r>
      <w:r>
        <w:rPr>
          <w:rFonts w:hint="eastAsia"/>
          <w:color w:val="auto"/>
        </w:rPr>
        <w:t>完善涉农金融产品和服务体系</w:t>
      </w:r>
      <w:bookmarkEnd w:id="27"/>
      <w:bookmarkEnd w:id="28"/>
      <w:r>
        <w:rPr>
          <w:rFonts w:hint="eastAsia"/>
          <w:color w:val="auto"/>
          <w:lang w:eastAsia="zh-CN"/>
        </w:rPr>
        <w:t>。</w:t>
      </w:r>
      <w:r>
        <w:rPr>
          <w:rFonts w:hint="eastAsia"/>
          <w:color w:val="auto"/>
        </w:rPr>
        <w:t>加大对现代农业产业园、龙头农业企业信贷投入，持续优化小型农户、家庭农场、专业大户、农民专业合作社等新型农业经营主体的金融支持，创新推出了“县域振兴贷”“惠农贷”“农业龙头贷”等涉农产品，推动涉农信贷快速增长。农业保险覆盖面持续扩大，农业保险项目覆盖多个险种，其中还包括青梅、茶树种植等地方特色险种，研发耕地地力指数保险、饲料成本指数“保险+期货”等创新产品，有效保障农户收益。“两权”抵押试点稳步推进，推动海丰县、陆河县探索试行农村承包土地的经营权和农民住房财产权抵押贷款，拓宽“三农”融资渠道。</w:t>
      </w:r>
      <w:bookmarkStart w:id="29" w:name="_Toc19839"/>
      <w:bookmarkStart w:id="30" w:name="_Toc30166"/>
    </w:p>
    <w:p>
      <w:pPr>
        <w:pageBreakBefore w:val="0"/>
        <w:widowControl/>
        <w:kinsoku/>
        <w:wordWrap/>
        <w:overflowPunct/>
        <w:topLinePunct w:val="0"/>
        <w:autoSpaceDE/>
        <w:autoSpaceDN/>
        <w:bidi w:val="0"/>
        <w:adjustRightInd/>
        <w:snapToGrid/>
        <w:spacing w:line="240" w:lineRule="auto"/>
        <w:ind w:left="0" w:leftChars="0" w:firstLine="640" w:firstLineChars="200"/>
        <w:textAlignment w:val="auto"/>
        <w:rPr>
          <w:color w:val="auto"/>
        </w:rPr>
      </w:pPr>
      <w:r>
        <w:rPr>
          <w:rFonts w:hint="default"/>
          <w:color w:val="auto"/>
        </w:rPr>
        <w:t>防范化解金融风险成效显著</w:t>
      </w:r>
      <w:bookmarkEnd w:id="29"/>
      <w:bookmarkEnd w:id="30"/>
      <w:bookmarkStart w:id="31" w:name="_Toc4459"/>
      <w:bookmarkStart w:id="32" w:name="_Toc2170"/>
      <w:r>
        <w:rPr>
          <w:rFonts w:hint="eastAsia"/>
          <w:color w:val="auto"/>
          <w:lang w:eastAsia="zh-CN"/>
        </w:rPr>
        <w:t>。</w:t>
      </w:r>
      <w:r>
        <w:rPr>
          <w:rFonts w:hint="default"/>
          <w:b/>
          <w:bCs/>
          <w:color w:val="auto"/>
          <w:lang w:val="en-US" w:eastAsia="zh-CN"/>
        </w:rPr>
        <w:t>一是</w:t>
      </w:r>
      <w:r>
        <w:rPr>
          <w:rFonts w:hint="eastAsia"/>
          <w:color w:val="auto"/>
        </w:rPr>
        <w:t>积极推进全市供给侧结构性改革对辖内金融机构开展稳健性现场评估工作</w:t>
      </w:r>
      <w:bookmarkEnd w:id="31"/>
      <w:bookmarkEnd w:id="32"/>
      <w:r>
        <w:rPr>
          <w:rFonts w:hint="default"/>
          <w:color w:val="auto"/>
          <w:lang w:eastAsia="zh-CN"/>
        </w:rPr>
        <w:t>。</w:t>
      </w:r>
      <w:r>
        <w:rPr>
          <w:rFonts w:hint="eastAsia"/>
          <w:color w:val="auto"/>
        </w:rPr>
        <w:t>重点对隐性不良贷款进行调查，对可能出现的风险苗头发出预警，促进稳健经营，防范系统性区域性金融风险，坚决打好打赢防范化解重大风险攻坚战。通过建立重大事项报告制度，明确要求辖内金融机构及时报送突发事件、重大事件，以便妥善处置各类金融突发事件。</w:t>
      </w:r>
      <w:r>
        <w:rPr>
          <w:rFonts w:hint="eastAsia"/>
          <w:b/>
          <w:bCs/>
          <w:color w:val="auto"/>
          <w:lang w:val="en-US" w:eastAsia="zh-CN"/>
        </w:rPr>
        <w:t>二是</w:t>
      </w:r>
      <w:bookmarkStart w:id="33" w:name="_Toc2795"/>
      <w:bookmarkStart w:id="34" w:name="_Toc26056"/>
      <w:r>
        <w:rPr>
          <w:rFonts w:hint="eastAsia"/>
          <w:color w:val="auto"/>
        </w:rPr>
        <w:t>顺利完成互联网金融风险专项整治工作任务</w:t>
      </w:r>
      <w:bookmarkEnd w:id="33"/>
      <w:bookmarkEnd w:id="34"/>
      <w:r>
        <w:rPr>
          <w:rFonts w:hint="eastAsia"/>
          <w:color w:val="auto"/>
          <w:lang w:eastAsia="zh-CN"/>
        </w:rPr>
        <w:t>。</w:t>
      </w:r>
      <w:r>
        <w:rPr>
          <w:rFonts w:hint="eastAsia"/>
          <w:color w:val="auto"/>
        </w:rPr>
        <w:t>自2016年5月以来，全市持续开展互联网金融风险专项工作，在始终保持辖内零P2P网贷法人机构的情况下，一直保持高度警惕，严格市场准入，确保无新增登记注册P2P法人机构，顺利完成全市互联网金融专项整治工作任务要求。</w:t>
      </w:r>
      <w:bookmarkStart w:id="35" w:name="_Toc30"/>
      <w:bookmarkStart w:id="36" w:name="_Toc272"/>
      <w:r>
        <w:rPr>
          <w:rFonts w:hint="eastAsia"/>
          <w:b/>
          <w:bCs/>
          <w:color w:val="auto"/>
          <w:lang w:val="en-US" w:eastAsia="zh-CN"/>
        </w:rPr>
        <w:t>三是</w:t>
      </w:r>
      <w:r>
        <w:rPr>
          <w:rFonts w:hint="eastAsia"/>
          <w:color w:val="auto"/>
        </w:rPr>
        <w:t>严厉打击非法集资等涉金融犯罪</w:t>
      </w:r>
      <w:bookmarkEnd w:id="35"/>
      <w:bookmarkEnd w:id="36"/>
      <w:r>
        <w:rPr>
          <w:rFonts w:hint="eastAsia"/>
          <w:color w:val="auto"/>
          <w:lang w:eastAsia="zh-CN"/>
        </w:rPr>
        <w:t>。</w:t>
      </w:r>
      <w:r>
        <w:rPr>
          <w:rFonts w:hint="eastAsia"/>
          <w:color w:val="auto"/>
        </w:rPr>
        <w:t>全市防范和处置非法集资的工作形势总体向好，辖内未发生重大非法集资案件。积极开展处非宣传月及日常宣传活动，制定《汕尾市非法集资举报奖励办法》，推动宣传常态化，提高群众举报非法集资线索积极性，有效增强群众风险防范意识。充分利用“广东省地方金融风险监测防控平台”大数据分析优势，对相关企业进行全面监测，接入的重点关注企业已覆盖“7+4”行业，涉及1496家企业或机构，暂未发现有关互联网金融、非法集资等重大金融风险线索情况。</w:t>
      </w:r>
    </w:p>
    <w:p>
      <w:pPr>
        <w:pStyle w:val="4"/>
        <w:spacing w:before="93" w:after="93"/>
        <w:rPr>
          <w:color w:val="auto"/>
        </w:rPr>
      </w:pPr>
      <w:bookmarkStart w:id="37" w:name="_Toc31861"/>
      <w:bookmarkStart w:id="38" w:name="_Toc26651"/>
      <w:bookmarkStart w:id="39" w:name="_Toc15310"/>
      <w:r>
        <w:rPr>
          <w:rFonts w:hint="eastAsia"/>
          <w:color w:val="auto"/>
        </w:rPr>
        <w:br w:type="page"/>
      </w:r>
      <w:bookmarkStart w:id="40" w:name="_Toc4902"/>
      <w:r>
        <w:rPr>
          <w:rFonts w:hint="eastAsia"/>
          <w:color w:val="auto"/>
        </w:rPr>
        <w:t xml:space="preserve">第二节 </w:t>
      </w:r>
      <w:bookmarkEnd w:id="37"/>
      <w:bookmarkEnd w:id="38"/>
      <w:bookmarkEnd w:id="39"/>
      <w:bookmarkEnd w:id="40"/>
      <w:bookmarkStart w:id="41" w:name="_Toc28430"/>
      <w:bookmarkStart w:id="42" w:name="_Toc16360"/>
      <w:bookmarkStart w:id="43" w:name="_Toc11639"/>
      <w:bookmarkStart w:id="44" w:name="_Toc9165"/>
      <w:r>
        <w:rPr>
          <w:rFonts w:hint="eastAsia"/>
          <w:color w:val="auto"/>
        </w:rPr>
        <w:t>发展</w:t>
      </w:r>
      <w:r>
        <w:rPr>
          <w:rFonts w:hint="eastAsia"/>
          <w:color w:val="auto"/>
          <w:lang w:val="en-US" w:eastAsia="zh-CN"/>
        </w:rPr>
        <w:t>环境</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r>
        <w:rPr>
          <w:rFonts w:hint="eastAsia" w:ascii="楷体" w:hAnsi="楷体" w:eastAsia="楷体" w:cs="楷体"/>
          <w:b/>
          <w:bCs/>
          <w:color w:val="auto"/>
          <w:lang w:eastAsia="zh-CN"/>
        </w:rPr>
        <w:t>革命老区振兴发展</w:t>
      </w:r>
      <w:r>
        <w:rPr>
          <w:rFonts w:hint="eastAsia" w:ascii="楷体" w:hAnsi="楷体" w:eastAsia="楷体" w:cs="楷体"/>
          <w:b/>
          <w:bCs/>
          <w:color w:val="auto"/>
          <w:lang w:val="en-US" w:eastAsia="zh-CN"/>
        </w:rPr>
        <w:t>带来金融新机遇</w:t>
      </w:r>
      <w:r>
        <w:rPr>
          <w:rFonts w:hint="eastAsia" w:ascii="楷体" w:hAnsi="楷体" w:eastAsia="楷体" w:cs="楷体"/>
          <w:b/>
          <w:bCs/>
          <w:color w:val="auto"/>
          <w:lang w:eastAsia="zh-CN"/>
        </w:rPr>
        <w:t>。</w:t>
      </w:r>
      <w:r>
        <w:rPr>
          <w:rFonts w:hint="eastAsia"/>
          <w:color w:val="auto"/>
        </w:rPr>
        <w:t>2021年，为支持革命老区振兴发展</w:t>
      </w:r>
      <w:r>
        <w:rPr>
          <w:rFonts w:hint="eastAsia"/>
          <w:color w:val="auto"/>
          <w:lang w:eastAsia="zh-CN"/>
        </w:rPr>
        <w:t>，</w:t>
      </w:r>
      <w:r>
        <w:rPr>
          <w:rFonts w:hint="eastAsia"/>
          <w:color w:val="auto"/>
          <w:lang w:val="en-US" w:eastAsia="zh-CN"/>
        </w:rPr>
        <w:t>国务院</w:t>
      </w:r>
      <w:r>
        <w:rPr>
          <w:rFonts w:hint="eastAsia"/>
          <w:color w:val="auto"/>
        </w:rPr>
        <w:t>发布了《关于新时代支持革命老区振兴发展的意见》，提出革命老区振兴发展的发展目标、分区指引和主要任务，并要求各地区在财政、投资、产业、金融、土地、人才等方面给予政策倾斜。汕尾</w:t>
      </w:r>
      <w:r>
        <w:rPr>
          <w:rFonts w:hint="eastAsia"/>
          <w:color w:val="auto"/>
          <w:lang w:val="en-US" w:eastAsia="zh-CN"/>
        </w:rPr>
        <w:t>海陆丰地区是全国13块革命老区之一，利用</w:t>
      </w:r>
      <w:r>
        <w:rPr>
          <w:rFonts w:hint="eastAsia"/>
          <w:color w:val="auto"/>
        </w:rPr>
        <w:t>革命老区</w:t>
      </w:r>
      <w:r>
        <w:rPr>
          <w:rFonts w:hint="eastAsia"/>
          <w:color w:val="auto"/>
          <w:lang w:val="en-US" w:eastAsia="zh-CN"/>
        </w:rPr>
        <w:t>振兴发展契机</w:t>
      </w:r>
      <w:r>
        <w:rPr>
          <w:rFonts w:hint="eastAsia"/>
          <w:color w:val="auto"/>
        </w:rPr>
        <w:t>，结合汕尾市经济社会发展“十四五”规划要点，围绕重大战略、重大举措、重大产业、重大项目、重大改革，争取信贷投放和政府投资的政策倾斜，大力拓宽革命老区建设发展的融资渠道，编制谋划</w:t>
      </w:r>
      <w:r>
        <w:rPr>
          <w:rFonts w:hint="eastAsia"/>
          <w:color w:val="auto"/>
          <w:lang w:val="en-US" w:eastAsia="zh-CN"/>
        </w:rPr>
        <w:t>可行性</w:t>
      </w:r>
      <w:r>
        <w:rPr>
          <w:rFonts w:hint="eastAsia"/>
          <w:color w:val="auto"/>
        </w:rPr>
        <w:t>项目，向上级争取政府性债券支持，加大企业债券及公司债券发行积极性，深化与各级银行</w:t>
      </w:r>
      <w:r>
        <w:rPr>
          <w:rFonts w:hint="eastAsia"/>
          <w:color w:val="auto"/>
          <w:lang w:eastAsia="zh-CN"/>
        </w:rPr>
        <w:t>、</w:t>
      </w:r>
      <w:r>
        <w:rPr>
          <w:rFonts w:hint="eastAsia"/>
          <w:color w:val="auto"/>
          <w:lang w:val="en-US" w:eastAsia="zh-CN"/>
        </w:rPr>
        <w:t>投资银行、债券发行承销机构</w:t>
      </w:r>
      <w:r>
        <w:rPr>
          <w:rFonts w:hint="eastAsia"/>
          <w:color w:val="auto"/>
        </w:rPr>
        <w:t>的合作，引导更多的金融资源投入普惠金融及乡村振兴，强化金融对地方经济的支撑作用。此外，国家针对“十四五”金融发展提出了加快完善中小银行和农村信用社治理结构，增强金融普惠性，</w:t>
      </w:r>
      <w:r>
        <w:rPr>
          <w:rFonts w:hint="eastAsia" w:ascii="Times New Roman" w:hAnsi="Times New Roman"/>
          <w:color w:val="auto"/>
          <w:kern w:val="0"/>
          <w:szCs w:val="22"/>
          <w:lang w:val="zh-CN" w:bidi="zh-CN"/>
        </w:rPr>
        <w:t>完善资本市场基础制度，健全多层次资本市场体系，鼓励金融机构发展知识产权质押融资、科技保险等科技金融产品</w:t>
      </w:r>
      <w:r>
        <w:rPr>
          <w:rFonts w:hint="eastAsia" w:ascii="Times New Roman" w:hAnsi="Times New Roman"/>
          <w:color w:val="auto"/>
          <w:kern w:val="0"/>
          <w:szCs w:val="22"/>
          <w:lang w:bidi="zh-CN"/>
        </w:rPr>
        <w:t>等一系列与地方金融发展密切相关的举措，并发布了《防范和处置非法集资条例》。随着国家金融发展顶层设计逐步完善，将促进地方金融改革更加深化、运行更加安全。</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r>
        <w:rPr>
          <w:rFonts w:hint="eastAsia" w:ascii="楷体" w:hAnsi="楷体" w:eastAsia="楷体" w:cs="楷体"/>
          <w:b/>
          <w:bCs/>
          <w:color w:val="auto"/>
          <w:kern w:val="0"/>
          <w:szCs w:val="22"/>
          <w:lang w:val="en-US" w:bidi="zh-CN"/>
        </w:rPr>
        <w:t>“粤东西北金融倍增工程”为汕尾提供新发展机遇</w:t>
      </w:r>
      <w:r>
        <w:rPr>
          <w:rFonts w:hint="eastAsia" w:ascii="楷体" w:hAnsi="楷体" w:eastAsia="楷体" w:cs="楷体"/>
          <w:b/>
          <w:bCs/>
          <w:color w:val="auto"/>
          <w:kern w:val="0"/>
          <w:szCs w:val="22"/>
          <w:lang w:bidi="zh-CN"/>
        </w:rPr>
        <w:t>。</w:t>
      </w:r>
      <w:r>
        <w:rPr>
          <w:rFonts w:hint="eastAsia" w:ascii="Times New Roman" w:hAnsi="Times New Roman"/>
          <w:color w:val="auto"/>
          <w:kern w:val="0"/>
          <w:szCs w:val="22"/>
          <w:lang w:bidi="zh-CN"/>
        </w:rPr>
        <w:t>《广东</w:t>
      </w:r>
      <w:r>
        <w:rPr>
          <w:rFonts w:hint="eastAsia" w:ascii="Times New Roman" w:hAnsi="Times New Roman"/>
          <w:color w:val="auto"/>
          <w:kern w:val="0"/>
          <w:szCs w:val="22"/>
          <w:lang w:val="en-US" w:bidi="zh-CN"/>
        </w:rPr>
        <w:t>省</w:t>
      </w:r>
      <w:r>
        <w:rPr>
          <w:rFonts w:hint="eastAsia" w:ascii="Times New Roman" w:hAnsi="Times New Roman"/>
          <w:color w:val="auto"/>
          <w:kern w:val="0"/>
          <w:szCs w:val="22"/>
          <w:lang w:bidi="zh-CN"/>
        </w:rPr>
        <w:t>金融</w:t>
      </w:r>
      <w:r>
        <w:rPr>
          <w:rFonts w:hint="eastAsia" w:ascii="Times New Roman" w:hAnsi="Times New Roman"/>
          <w:color w:val="auto"/>
          <w:kern w:val="0"/>
          <w:szCs w:val="22"/>
          <w:lang w:val="en-US" w:bidi="zh-CN"/>
        </w:rPr>
        <w:t>改革发展“</w:t>
      </w:r>
      <w:r>
        <w:rPr>
          <w:rFonts w:hint="eastAsia" w:ascii="Times New Roman" w:hAnsi="Times New Roman"/>
          <w:color w:val="auto"/>
          <w:kern w:val="0"/>
          <w:szCs w:val="22"/>
          <w:lang w:bidi="zh-CN"/>
        </w:rPr>
        <w:t>十四五</w:t>
      </w:r>
      <w:r>
        <w:rPr>
          <w:rFonts w:hint="eastAsia" w:ascii="Times New Roman" w:hAnsi="Times New Roman"/>
          <w:color w:val="auto"/>
          <w:kern w:val="0"/>
          <w:szCs w:val="22"/>
          <w:lang w:val="en-US" w:bidi="zh-CN"/>
        </w:rPr>
        <w:t>”</w:t>
      </w:r>
      <w:r>
        <w:rPr>
          <w:rFonts w:hint="eastAsia" w:ascii="Times New Roman" w:hAnsi="Times New Roman"/>
          <w:color w:val="auto"/>
          <w:kern w:val="0"/>
          <w:szCs w:val="22"/>
          <w:lang w:bidi="zh-CN"/>
        </w:rPr>
        <w:t>规划》中提出实施“粤东西北金融倍增工程”。支持国有和股份制银行在粤东西北增设分支机构以及设立数据中心、呼叫中心等后台基地。同时，利用汕尾作为</w:t>
      </w:r>
      <w:r>
        <w:rPr>
          <w:rFonts w:hint="eastAsia"/>
          <w:color w:val="auto"/>
        </w:rPr>
        <w:t>省级要素市场化配置综合改革试点城市之一，将有利于深化资本要素市场化配置改革，做大做活汕尾资本市场。此外，</w:t>
      </w:r>
      <w:r>
        <w:rPr>
          <w:rFonts w:hint="eastAsia" w:ascii="Times New Roman" w:hAnsi="Times New Roman"/>
          <w:color w:val="auto"/>
          <w:kern w:val="0"/>
          <w:szCs w:val="22"/>
          <w:lang w:bidi="zh-CN"/>
        </w:rPr>
        <w:t>汕尾作为粤东地区具有农业特色的城市之一，“十三五”期间</w:t>
      </w:r>
      <w:r>
        <w:rPr>
          <w:rFonts w:hint="eastAsia"/>
          <w:color w:val="auto"/>
        </w:rPr>
        <w:t>深入</w:t>
      </w:r>
      <w:r>
        <w:rPr>
          <w:color w:val="auto"/>
        </w:rPr>
        <w:t>推进</w:t>
      </w:r>
      <w:r>
        <w:rPr>
          <w:rFonts w:hint="eastAsia"/>
          <w:color w:val="auto"/>
        </w:rPr>
        <w:t>“</w:t>
      </w:r>
      <w:r>
        <w:rPr>
          <w:color w:val="auto"/>
        </w:rPr>
        <w:t>5+2</w:t>
      </w:r>
      <w:r>
        <w:rPr>
          <w:rFonts w:hint="eastAsia"/>
          <w:color w:val="auto"/>
        </w:rPr>
        <w:t>”</w:t>
      </w:r>
      <w:r>
        <w:rPr>
          <w:color w:val="auto"/>
        </w:rPr>
        <w:t>农村综合改革</w:t>
      </w:r>
      <w:r>
        <w:rPr>
          <w:rFonts w:hint="eastAsia"/>
          <w:color w:val="auto"/>
        </w:rPr>
        <w:t>工作</w:t>
      </w:r>
      <w:r>
        <w:rPr>
          <w:color w:val="auto"/>
        </w:rPr>
        <w:t> </w:t>
      </w:r>
      <w:r>
        <w:rPr>
          <w:rFonts w:hint="eastAsia"/>
          <w:color w:val="auto"/>
        </w:rPr>
        <w:t>，激活各类农村生产要素。在此基础上，汕尾积极探索金融支持“三农”发展的有效途径和方式，提升金融服务“三农”能力和水平，有利于汕尾下一步争取获得</w:t>
      </w:r>
      <w:r>
        <w:rPr>
          <w:rFonts w:hint="eastAsia"/>
          <w:color w:val="auto"/>
          <w:lang w:val="en-US" w:eastAsia="zh-CN"/>
        </w:rPr>
        <w:t>更多</w:t>
      </w:r>
      <w:r>
        <w:rPr>
          <w:rFonts w:hint="eastAsia"/>
          <w:color w:val="auto"/>
        </w:rPr>
        <w:t>省级金融政策的支持。</w:t>
      </w:r>
    </w:p>
    <w:p>
      <w:pPr>
        <w:keepNext w:val="0"/>
        <w:keepLines w:val="0"/>
        <w:ind w:firstLine="643"/>
        <w:outlineLvl w:val="9"/>
        <w:rPr>
          <w:rFonts w:hint="eastAsia"/>
          <w:color w:val="auto"/>
          <w:sz w:val="32"/>
          <w:szCs w:val="32"/>
        </w:rPr>
      </w:pPr>
      <w:r>
        <w:rPr>
          <w:rFonts w:hint="eastAsia" w:ascii="楷体" w:hAnsi="楷体" w:eastAsia="楷体" w:cs="楷体"/>
          <w:b/>
          <w:bCs/>
          <w:color w:val="auto"/>
          <w:lang w:val="en-US" w:eastAsia="zh-CN"/>
        </w:rPr>
        <w:t>汕尾开放合作为金融发展提供良好环境</w:t>
      </w:r>
      <w:r>
        <w:rPr>
          <w:rFonts w:hint="eastAsia" w:ascii="楷体" w:hAnsi="楷体" w:eastAsia="楷体" w:cs="楷体"/>
          <w:b/>
          <w:bCs/>
          <w:color w:val="auto"/>
          <w:lang w:eastAsia="zh-CN"/>
        </w:rPr>
        <w:t>。</w:t>
      </w:r>
      <w:r>
        <w:rPr>
          <w:rFonts w:hint="eastAsia"/>
          <w:color w:val="auto"/>
        </w:rPr>
        <w:t>随着“双区”</w:t>
      </w:r>
      <w:r>
        <w:rPr>
          <w:rFonts w:hint="eastAsia"/>
          <w:color w:val="auto"/>
          <w:lang w:val="en-US" w:eastAsia="zh-CN"/>
        </w:rPr>
        <w:t>和“两个合作区”建设</w:t>
      </w:r>
      <w:r>
        <w:rPr>
          <w:rFonts w:hint="eastAsia"/>
          <w:color w:val="auto"/>
        </w:rPr>
        <w:t>全面展开，汕尾</w:t>
      </w:r>
      <w:r>
        <w:rPr>
          <w:rFonts w:hint="eastAsia"/>
          <w:color w:val="auto"/>
          <w:lang w:val="en-US" w:eastAsia="zh-CN"/>
        </w:rPr>
        <w:t>作为</w:t>
      </w:r>
      <w:r>
        <w:rPr>
          <w:rFonts w:hint="eastAsia"/>
          <w:color w:val="auto"/>
        </w:rPr>
        <w:t>广东省东翼沿海经济带重要战略支点，东承西接的区位优势日益凸显，革命老区扶持政策、深圳全面对口帮扶汕尾等多重政策利好叠加，为汕尾高质量发展注入了强大动力。</w:t>
      </w:r>
      <w:r>
        <w:rPr>
          <w:rFonts w:hint="eastAsia"/>
          <w:color w:val="auto"/>
          <w:lang w:val="en-US" w:eastAsia="zh-CN"/>
        </w:rPr>
        <w:t>以</w:t>
      </w:r>
      <w:r>
        <w:rPr>
          <w:rFonts w:hint="eastAsia"/>
          <w:color w:val="auto"/>
        </w:rPr>
        <w:t>深汕合作区</w:t>
      </w:r>
      <w:r>
        <w:rPr>
          <w:rFonts w:hint="eastAsia"/>
          <w:color w:val="auto"/>
          <w:lang w:val="en-US" w:eastAsia="zh-CN"/>
        </w:rPr>
        <w:t>为纽带，</w:t>
      </w:r>
      <w:r>
        <w:rPr>
          <w:rFonts w:hint="eastAsia"/>
          <w:color w:val="auto"/>
        </w:rPr>
        <w:t>借助深圳全面对口帮扶汕尾，充分利用深圳核心城市带动作用，以产业、项目帮扶为节点，加快吸引金融要素流动集聚，推进两地金融合作更加深层次，实现更高水平开放，促进两地产融结合高质量发展，实现区域经济协调发展。同时，依托深圳作为金融中心的产业优势，汕尾要主动接受深圳金融辐射，积极对接深圳金融机构，争取更多金融资源流入汕尾本地，增强有效金融供给。</w:t>
      </w:r>
      <w:bookmarkStart w:id="45" w:name="_Toc2499"/>
      <w:bookmarkStart w:id="46" w:name="_Toc17991"/>
      <w:bookmarkStart w:id="47" w:name="_Toc22022"/>
    </w:p>
    <w:bookmarkEnd w:id="45"/>
    <w:bookmarkEnd w:id="46"/>
    <w:bookmarkEnd w:id="47"/>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b w:val="0"/>
          <w:color w:val="auto"/>
        </w:rPr>
      </w:pPr>
      <w:bookmarkStart w:id="48" w:name="_Toc19857"/>
      <w:r>
        <w:rPr>
          <w:rFonts w:hint="eastAsia" w:ascii="楷体" w:hAnsi="楷体" w:eastAsia="楷体" w:cs="楷体"/>
          <w:b/>
          <w:bCs/>
          <w:color w:val="auto"/>
        </w:rPr>
        <w:t>金融风险</w:t>
      </w:r>
      <w:bookmarkEnd w:id="48"/>
      <w:r>
        <w:rPr>
          <w:rFonts w:hint="eastAsia" w:ascii="楷体" w:hAnsi="楷体" w:eastAsia="楷体" w:cs="楷体"/>
          <w:b/>
          <w:bCs/>
          <w:color w:val="auto"/>
          <w:lang w:val="en-US" w:eastAsia="zh-CN"/>
        </w:rPr>
        <w:t>将呈多样化隐蔽性</w:t>
      </w:r>
      <w:r>
        <w:rPr>
          <w:rFonts w:hint="eastAsia" w:ascii="楷体" w:hAnsi="楷体" w:eastAsia="楷体" w:cs="楷体"/>
          <w:b/>
          <w:bCs/>
          <w:color w:val="auto"/>
          <w:lang w:eastAsia="zh-CN"/>
        </w:rPr>
        <w:t>。</w:t>
      </w:r>
      <w:r>
        <w:rPr>
          <w:rFonts w:hint="eastAsia"/>
          <w:b w:val="0"/>
          <w:color w:val="auto"/>
        </w:rPr>
        <w:t>近年来，非法集资</w:t>
      </w:r>
      <w:r>
        <w:rPr>
          <w:rFonts w:hint="eastAsia"/>
          <w:b w:val="0"/>
          <w:color w:val="auto"/>
          <w:lang w:val="en-US" w:eastAsia="zh-CN"/>
        </w:rPr>
        <w:t>的</w:t>
      </w:r>
      <w:r>
        <w:rPr>
          <w:rFonts w:hint="eastAsia"/>
          <w:b w:val="0"/>
          <w:color w:val="auto"/>
        </w:rPr>
        <w:t>花样不断翻新、形态日益隐蔽复杂，违法犯罪也从线下购物、传销等传统行业领域向线上线下相结合的私募基金、虚拟货币、股权投资、养老金融等新兴行业领域蔓延，防范和打击的难度逐步加大，这对未来汕尾加强防范金融风险提出了新的挑战。此外，房地产金融风险隐患</w:t>
      </w:r>
      <w:r>
        <w:rPr>
          <w:rFonts w:hint="eastAsia"/>
          <w:b w:val="0"/>
          <w:color w:val="auto"/>
          <w:lang w:val="en-US" w:eastAsia="zh-CN"/>
        </w:rPr>
        <w:t>不可忽略</w:t>
      </w:r>
      <w:r>
        <w:rPr>
          <w:rFonts w:hint="eastAsia"/>
          <w:b w:val="0"/>
          <w:color w:val="auto"/>
        </w:rPr>
        <w:t>，汕尾房地产贷款势头过快增长，房地产行业贷款占比在48%以上，</w:t>
      </w:r>
      <w:r>
        <w:rPr>
          <w:rFonts w:hint="eastAsia" w:ascii="Calibri" w:hAnsi="Calibri"/>
          <w:b w:val="0"/>
          <w:color w:val="auto"/>
          <w:szCs w:val="24"/>
        </w:rPr>
        <w:t>按照《关于建立银行业金融机构房地产贷款集中度管理制度的通知》</w:t>
      </w:r>
      <w:r>
        <w:rPr>
          <w:rFonts w:hint="eastAsia"/>
          <w:b w:val="0"/>
          <w:color w:val="auto"/>
        </w:rPr>
        <w:t>，汕尾要增强银行业金融机构抵御房地产市场波动的能力，防范房地产贷款过度集中带来的潜在系统金融风险，逐步压缩银行信贷资金流入房地产行业的占比，减少房地产金融风险给汕尾带来的经济影响。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outlineLvl w:val="9"/>
        <w:rPr>
          <w:rFonts w:hint="eastAsia"/>
          <w:b w:val="0"/>
          <w:color w:val="auto"/>
        </w:rPr>
      </w:pPr>
      <w:bookmarkStart w:id="49" w:name="_Toc30529"/>
      <w:r>
        <w:rPr>
          <w:rFonts w:hint="eastAsia" w:ascii="楷体" w:hAnsi="楷体" w:eastAsia="楷体" w:cs="楷体"/>
          <w:b/>
          <w:bCs/>
          <w:color w:val="auto"/>
          <w:lang w:val="en-US" w:eastAsia="zh-CN"/>
        </w:rPr>
        <w:t>未来地方</w:t>
      </w:r>
      <w:r>
        <w:rPr>
          <w:rFonts w:hint="eastAsia" w:ascii="楷体" w:hAnsi="楷体" w:eastAsia="楷体" w:cs="楷体"/>
          <w:b/>
          <w:bCs/>
          <w:color w:val="auto"/>
        </w:rPr>
        <w:t>金融监管难度</w:t>
      </w:r>
      <w:r>
        <w:rPr>
          <w:rFonts w:hint="eastAsia" w:ascii="楷体" w:hAnsi="楷体" w:eastAsia="楷体" w:cs="楷体"/>
          <w:b/>
          <w:bCs/>
          <w:color w:val="auto"/>
          <w:lang w:val="en-US" w:eastAsia="zh-CN"/>
        </w:rPr>
        <w:t>将</w:t>
      </w:r>
      <w:r>
        <w:rPr>
          <w:rFonts w:hint="eastAsia" w:ascii="楷体" w:hAnsi="楷体" w:eastAsia="楷体" w:cs="楷体"/>
          <w:b/>
          <w:bCs/>
          <w:color w:val="auto"/>
        </w:rPr>
        <w:t>提升</w:t>
      </w:r>
      <w:bookmarkEnd w:id="49"/>
      <w:r>
        <w:rPr>
          <w:rFonts w:hint="eastAsia" w:ascii="楷体" w:hAnsi="楷体" w:eastAsia="楷体" w:cs="楷体"/>
          <w:b/>
          <w:bCs/>
          <w:color w:val="auto"/>
          <w:lang w:eastAsia="zh-CN"/>
        </w:rPr>
        <w:t>。</w:t>
      </w:r>
      <w:r>
        <w:rPr>
          <w:rFonts w:hint="eastAsia"/>
          <w:b w:val="0"/>
          <w:color w:val="auto"/>
        </w:rPr>
        <w:t>“十三五”以来，金融科技不断发展，使得金融产品不断创新，金融运营管理理念和方法更加先进与复杂。从地方政府来看，2018年开始，地方出现了新一轮金融科技发展热潮，各类金融科技、区块链促进政策也逐渐出台，这些现象在互联网金融的热潮中似曾相识，有些地方缺乏对金融科技的深入理解，也没有能力甄别真正的金融科技企业与项目。技术运用带来的效益与风险并存，以传统手段开展合规与监管工作，不足以应对行业快速发展转型和风险传播的变化。而汕尾目前在金融监管智能化、线上化的进展较慢，高素质金融监管人才较为缺乏，基层监管力量十分薄弱，对“十四五”期间新兴金融业态风险监管的难度将进一步加大。</w:t>
      </w:r>
    </w:p>
    <w:p>
      <w:pPr>
        <w:pStyle w:val="3"/>
        <w:spacing w:before="93" w:after="93"/>
        <w:rPr>
          <w:color w:val="auto"/>
        </w:rPr>
      </w:pPr>
      <w:bookmarkStart w:id="50" w:name="_Toc11295"/>
      <w:bookmarkStart w:id="51" w:name="_Toc7148"/>
      <w:bookmarkStart w:id="52" w:name="_Toc3536"/>
      <w:bookmarkStart w:id="53" w:name="_Toc7481"/>
      <w:bookmarkStart w:id="54" w:name="_Toc18517"/>
      <w:r>
        <w:rPr>
          <w:rFonts w:hint="eastAsia"/>
          <w:color w:val="auto"/>
        </w:rPr>
        <w:t>第</w:t>
      </w:r>
      <w:r>
        <w:rPr>
          <w:rFonts w:hint="eastAsia"/>
          <w:color w:val="auto"/>
          <w:lang w:val="en-US" w:eastAsia="zh-CN"/>
        </w:rPr>
        <w:t>二</w:t>
      </w:r>
      <w:r>
        <w:rPr>
          <w:rFonts w:hint="eastAsia"/>
          <w:color w:val="auto"/>
        </w:rPr>
        <w:t xml:space="preserve">章 </w:t>
      </w:r>
      <w:bookmarkEnd w:id="50"/>
      <w:bookmarkEnd w:id="51"/>
      <w:bookmarkStart w:id="55" w:name="_Toc28545"/>
      <w:bookmarkStart w:id="56" w:name="_Toc15094"/>
      <w:r>
        <w:rPr>
          <w:rFonts w:hint="eastAsia"/>
          <w:color w:val="auto"/>
        </w:rPr>
        <w:t>总体要求</w:t>
      </w:r>
      <w:bookmarkEnd w:id="52"/>
      <w:bookmarkEnd w:id="53"/>
      <w:bookmarkEnd w:id="54"/>
      <w:bookmarkEnd w:id="55"/>
      <w:bookmarkEnd w:id="56"/>
    </w:p>
    <w:p>
      <w:pPr>
        <w:pStyle w:val="4"/>
        <w:pageBreakBefore w:val="0"/>
        <w:widowControl/>
        <w:kinsoku/>
        <w:wordWrap/>
        <w:overflowPunct/>
        <w:topLinePunct w:val="0"/>
        <w:autoSpaceDE/>
        <w:autoSpaceDN/>
        <w:bidi w:val="0"/>
        <w:adjustRightInd/>
        <w:snapToGrid/>
        <w:spacing w:beforeLines="0" w:afterLines="0"/>
        <w:textAlignment w:val="auto"/>
        <w:rPr>
          <w:color w:val="auto"/>
        </w:rPr>
      </w:pPr>
      <w:bookmarkStart w:id="57" w:name="_Toc21096"/>
      <w:bookmarkStart w:id="58" w:name="_Toc23845"/>
      <w:bookmarkStart w:id="59" w:name="_Toc6591"/>
      <w:bookmarkStart w:id="60" w:name="_Toc23503"/>
      <w:r>
        <w:rPr>
          <w:rFonts w:hint="eastAsia"/>
          <w:color w:val="auto"/>
        </w:rPr>
        <w:t>第一节 指导思想</w:t>
      </w:r>
      <w:bookmarkEnd w:id="57"/>
      <w:bookmarkEnd w:id="58"/>
      <w:bookmarkEnd w:id="59"/>
      <w:bookmarkEnd w:id="60"/>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Cs w:val="32"/>
        </w:rPr>
      </w:pPr>
      <w:r>
        <w:rPr>
          <w:rFonts w:hint="eastAsia"/>
          <w:color w:val="auto"/>
        </w:rPr>
        <w:t>以习近平新时代中国特色社会主义思想为指导，全面贯彻落实党的十九大和十九届二中、三中、四中、五中全会精神，深入领悟习近平总书记出席深圳经济特区建立40周年庆祝大会和视察广东重要讲话、重要指示精神，对照省委优化完善的“1+1+9”工作部署，牢固树立“创新、协调、绿色、开放、共享”的发展理念，立足汕尾实际，贯彻落实服务实体经济、防控金融风险、深化金融改革三大任务，坚持市场运作、政府扶持、多方协作、持续发展，以促进金融服务现代化、普惠化、便利化为目标，提升金融服务实体经济</w:t>
      </w:r>
      <w:r>
        <w:rPr>
          <w:rFonts w:hint="eastAsia"/>
          <w:color w:val="auto"/>
          <w:szCs w:val="32"/>
        </w:rPr>
        <w:t>质效，优化金融发展环境，防范金融运行风险，为金融与经济协调、均衡、可持续发展奠定良好基础，推动经济社会高质量发展。</w:t>
      </w:r>
      <w:bookmarkStart w:id="61" w:name="_Toc30491"/>
      <w:bookmarkStart w:id="62" w:name="_Toc12178"/>
    </w:p>
    <w:p>
      <w:pPr>
        <w:pStyle w:val="4"/>
        <w:keepNext w:val="0"/>
        <w:keepLines w:val="0"/>
        <w:pageBreakBefore w:val="0"/>
        <w:widowControl/>
        <w:kinsoku/>
        <w:wordWrap/>
        <w:overflowPunct/>
        <w:topLinePunct w:val="0"/>
        <w:autoSpaceDE/>
        <w:autoSpaceDN/>
        <w:bidi w:val="0"/>
        <w:adjustRightInd/>
        <w:snapToGrid/>
        <w:spacing w:beforeLines="0" w:afterLines="0"/>
        <w:textAlignment w:val="auto"/>
        <w:rPr>
          <w:color w:val="auto"/>
        </w:rPr>
      </w:pPr>
      <w:bookmarkStart w:id="63" w:name="_Toc24420"/>
      <w:bookmarkStart w:id="64" w:name="_Toc3115"/>
      <w:r>
        <w:rPr>
          <w:rFonts w:hint="eastAsia"/>
          <w:color w:val="auto"/>
        </w:rPr>
        <w:t>第二节 基本原则</w:t>
      </w:r>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cs="仿宋_GB2312"/>
          <w:b w:val="0"/>
          <w:bCs/>
          <w:color w:val="auto"/>
        </w:rPr>
      </w:pPr>
      <w:bookmarkStart w:id="65" w:name="_Toc3708"/>
      <w:r>
        <w:rPr>
          <w:rFonts w:hint="eastAsia" w:ascii="楷体" w:hAnsi="楷体" w:eastAsia="楷体" w:cs="楷体"/>
          <w:b/>
          <w:bCs/>
          <w:color w:val="auto"/>
        </w:rPr>
        <w:t>坚持党对金融工作的统一领导</w:t>
      </w:r>
      <w:bookmarkEnd w:id="65"/>
      <w:r>
        <w:rPr>
          <w:rFonts w:hint="eastAsia" w:ascii="楷体" w:hAnsi="楷体" w:eastAsia="楷体" w:cs="楷体"/>
          <w:b/>
          <w:bCs/>
          <w:color w:val="auto"/>
          <w:lang w:eastAsia="zh-CN"/>
        </w:rPr>
        <w:t>。</w:t>
      </w:r>
      <w:r>
        <w:rPr>
          <w:rFonts w:hint="eastAsia" w:ascii="仿宋_GB2312" w:hAnsi="仿宋_GB2312" w:cs="仿宋_GB2312"/>
          <w:b w:val="0"/>
          <w:bCs/>
          <w:color w:val="auto"/>
        </w:rPr>
        <w:t>毫不动摇地坚持党对金融工作的集中统一领导，学习领会习近平总书记关于金融工作重要论述，认真贯彻党中央国务院、省委省政府、市委市政府关于金融工作的决策部署，确保汕尾金融改革发展正确方向，维护汕尾金融安全稳定运行。全面从严治党，加强金融系统的党风廉政建设，落实意识形态工作责任制。努力建设一支宏大的德才兼备的高素质金融人才队伍，牢固树立政治意识、大局意识，自觉维护党中央对金融工作的集中统一领导，强化对关键岗位、重要人员特别是一把手的监督。金融机构负责同志必须增强党的意识，牢记第一职责是为党工作，坚定不移把党的决策部署要求落实到实际工作中。</w:t>
      </w:r>
    </w:p>
    <w:p>
      <w:pPr>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cs="仿宋_GB2312"/>
          <w:b w:val="0"/>
          <w:bCs/>
          <w:color w:val="auto"/>
        </w:rPr>
      </w:pPr>
      <w:bookmarkStart w:id="66" w:name="_Toc321"/>
      <w:r>
        <w:rPr>
          <w:rFonts w:hint="eastAsia" w:ascii="楷体" w:hAnsi="楷体" w:eastAsia="楷体" w:cs="楷体"/>
          <w:b/>
          <w:bCs/>
          <w:color w:val="auto"/>
        </w:rPr>
        <w:t>坚持金融服务实体经济原则</w:t>
      </w:r>
      <w:bookmarkEnd w:id="66"/>
      <w:r>
        <w:rPr>
          <w:rFonts w:hint="eastAsia" w:ascii="楷体" w:hAnsi="楷体" w:eastAsia="楷体" w:cs="楷体"/>
          <w:b/>
          <w:bCs/>
          <w:color w:val="auto"/>
          <w:lang w:eastAsia="zh-CN"/>
        </w:rPr>
        <w:t>。</w:t>
      </w:r>
      <w:r>
        <w:rPr>
          <w:rFonts w:hint="eastAsia" w:ascii="仿宋_GB2312" w:hAnsi="仿宋_GB2312" w:cs="仿宋_GB2312"/>
          <w:b w:val="0"/>
          <w:bCs/>
          <w:color w:val="auto"/>
        </w:rPr>
        <w:t>坚持金融服务实体经济原则，落实新发展理念和高质量发展要求，做大做强金融体系，补齐金融短板，提升金融发展水平，推动金融支持社会经济建设、服务产业转型升级。着力解决企业融资难融资贵的难题，引导金融机构积极参与实体经济活动，提高融资服务效率，拓宽融资渠道，降低实体经济融资的门槛与成本，满足实体经济融资需求。推动更多金融资源配置到经济社会发展的重点领域和薄弱环节，推进金融资源、科技资源和产业需求有效对接，促进经济金融协同发展。</w:t>
      </w:r>
    </w:p>
    <w:p>
      <w:pPr>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cs="仿宋_GB2312"/>
          <w:b w:val="0"/>
          <w:bCs/>
          <w:color w:val="auto"/>
        </w:rPr>
      </w:pPr>
      <w:bookmarkStart w:id="67" w:name="_Toc1064"/>
      <w:r>
        <w:rPr>
          <w:rFonts w:hint="eastAsia" w:ascii="楷体" w:hAnsi="楷体" w:eastAsia="楷体" w:cs="楷体"/>
          <w:b/>
          <w:bCs/>
          <w:color w:val="auto"/>
        </w:rPr>
        <w:t>坚持统筹推进与突出特色原则</w:t>
      </w:r>
      <w:bookmarkEnd w:id="67"/>
      <w:r>
        <w:rPr>
          <w:rFonts w:hint="eastAsia" w:ascii="楷体" w:hAnsi="楷体" w:eastAsia="楷体" w:cs="楷体"/>
          <w:b/>
          <w:bCs/>
          <w:color w:val="auto"/>
          <w:lang w:eastAsia="zh-CN"/>
        </w:rPr>
        <w:t>。</w:t>
      </w:r>
      <w:r>
        <w:rPr>
          <w:rFonts w:hint="eastAsia" w:ascii="仿宋_GB2312" w:hAnsi="仿宋_GB2312" w:cs="仿宋_GB2312"/>
          <w:b w:val="0"/>
          <w:bCs/>
          <w:color w:val="auto"/>
        </w:rPr>
        <w:t>充分发挥汕尾的区位优势，全面统筹推进金融改革，完善金融机构体系、市场体系、产品体系，增强金融综合实力，提升发展能级，为实体经济发展提供更高质量、更有效率的金融服务。大力发展特色金融，推动金融改革创新发展，创新实体经济融资模式，突出汕尾金融特色。</w:t>
      </w:r>
    </w:p>
    <w:p>
      <w:pPr>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eastAsia="仿宋_GB2312" w:cs="仿宋_GB2312"/>
          <w:b w:val="0"/>
          <w:bCs/>
          <w:color w:val="auto"/>
          <w:szCs w:val="32"/>
        </w:rPr>
      </w:pPr>
      <w:bookmarkStart w:id="68" w:name="_Toc6145"/>
      <w:r>
        <w:rPr>
          <w:rFonts w:hint="eastAsia" w:ascii="楷体" w:hAnsi="楷体" w:eastAsia="楷体" w:cs="楷体"/>
          <w:b/>
          <w:bCs/>
          <w:color w:val="auto"/>
        </w:rPr>
        <w:t>坚持创新与风险并重原则</w:t>
      </w:r>
      <w:bookmarkEnd w:id="68"/>
      <w:r>
        <w:rPr>
          <w:rFonts w:hint="eastAsia" w:ascii="楷体" w:hAnsi="楷体" w:eastAsia="楷体" w:cs="楷体"/>
          <w:b/>
          <w:bCs/>
          <w:color w:val="auto"/>
          <w:lang w:eastAsia="zh-CN"/>
        </w:rPr>
        <w:t>。</w:t>
      </w:r>
      <w:r>
        <w:rPr>
          <w:rFonts w:hint="eastAsia" w:ascii="仿宋_GB2312" w:hAnsi="仿宋_GB2312" w:cs="仿宋_GB2312"/>
          <w:b w:val="0"/>
          <w:bCs/>
          <w:color w:val="auto"/>
        </w:rPr>
        <w:t>正确处理好金融创新与风险防控的关系，在推进金融创新发展的同时，强化风险防控能力，把握好二者的平衡关系，促进金融改革创新可持续发展。</w:t>
      </w:r>
      <w:r>
        <w:rPr>
          <w:rFonts w:hint="eastAsia" w:ascii="仿宋_GB2312" w:hAnsi="仿宋_GB2312" w:cs="仿宋_GB2312"/>
          <w:b w:val="0"/>
          <w:bCs/>
          <w:color w:val="auto"/>
          <w:szCs w:val="32"/>
        </w:rPr>
        <w:t>坚决避免金融体系资金向房地产领域过度集中，立足金融服务实体经济的本质，防止资金“脱实向虚”。持续评估金融创新的发展态势、影响程度和风险水平，构建多层次、有针对性</w:t>
      </w:r>
      <w:r>
        <w:rPr>
          <w:rFonts w:hint="eastAsia" w:ascii="仿宋_GB2312" w:hAnsi="仿宋_GB2312" w:cs="仿宋_GB2312"/>
          <w:b w:val="0"/>
          <w:bCs/>
          <w:color w:val="auto"/>
          <w:szCs w:val="32"/>
          <w:lang w:val="en-US" w:eastAsia="zh-CN"/>
        </w:rPr>
        <w:t>以及</w:t>
      </w:r>
      <w:r>
        <w:rPr>
          <w:rFonts w:hint="eastAsia" w:ascii="仿宋_GB2312" w:hAnsi="仿宋_GB2312" w:cs="仿宋_GB2312"/>
          <w:b w:val="0"/>
          <w:bCs/>
          <w:color w:val="auto"/>
          <w:szCs w:val="32"/>
        </w:rPr>
        <w:t>有效的监管协调框架，落实好地方金融风险防控属地责任，着力解决扰乱金融市场秩序、助长不正之风的行为，营造更加稳定安全的金融生态环境。</w:t>
      </w:r>
      <w:bookmarkStart w:id="69" w:name="_Toc22135"/>
      <w:bookmarkStart w:id="70" w:name="_Toc15418"/>
    </w:p>
    <w:p>
      <w:pPr>
        <w:pStyle w:val="4"/>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textAlignment w:val="auto"/>
        <w:rPr>
          <w:color w:val="auto"/>
        </w:rPr>
      </w:pPr>
      <w:bookmarkStart w:id="71" w:name="_Toc1324"/>
      <w:bookmarkStart w:id="72" w:name="_Toc7337"/>
      <w:r>
        <w:rPr>
          <w:rFonts w:hint="eastAsia"/>
          <w:color w:val="auto"/>
        </w:rPr>
        <w:t>第三节 发展目标</w:t>
      </w:r>
      <w:bookmarkEnd w:id="69"/>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cs="仿宋_GB2312"/>
          <w:color w:val="auto"/>
        </w:rPr>
      </w:pPr>
      <w:r>
        <w:rPr>
          <w:rFonts w:hint="eastAsia" w:ascii="仿宋_GB2312" w:hAnsi="仿宋_GB2312" w:cs="仿宋_GB2312"/>
          <w:color w:val="auto"/>
        </w:rPr>
        <w:t>“十四五”期间，汕尾金融发展要紧紧围绕把汕尾建设成为沿海经济带的靓丽明珠目标定位，</w:t>
      </w:r>
      <w:bookmarkStart w:id="73" w:name="dttl"/>
      <w:r>
        <w:rPr>
          <w:rFonts w:hint="eastAsia" w:ascii="仿宋_GB2312" w:hAnsi="仿宋_GB2312" w:cs="仿宋_GB2312"/>
          <w:color w:val="auto"/>
          <w:lang w:val="en-US" w:eastAsia="zh-CN"/>
        </w:rPr>
        <w:t>按照</w:t>
      </w:r>
      <w:r>
        <w:rPr>
          <w:rFonts w:hint="eastAsia"/>
          <w:color w:val="auto"/>
        </w:rPr>
        <w:t>“强体系、补短板、提创新、防风险”</w:t>
      </w:r>
      <w:r>
        <w:rPr>
          <w:rFonts w:hint="eastAsia"/>
          <w:color w:val="auto"/>
          <w:lang w:val="en-US" w:eastAsia="zh-CN"/>
        </w:rPr>
        <w:t>的发展思路</w:t>
      </w:r>
      <w:r>
        <w:rPr>
          <w:rFonts w:hint="eastAsia"/>
          <w:color w:val="auto"/>
        </w:rPr>
        <w:t>，</w:t>
      </w:r>
      <w:r>
        <w:rPr>
          <w:rFonts w:hint="eastAsia" w:ascii="仿宋_GB2312" w:hAnsi="仿宋_GB2312" w:cs="仿宋_GB2312"/>
          <w:color w:val="auto"/>
        </w:rPr>
        <w:t>做大做强金融体系，提升金融发展水平，深化金融供给侧改革，</w:t>
      </w:r>
      <w:r>
        <w:rPr>
          <w:rFonts w:hint="eastAsia" w:ascii="仿宋_GB2312" w:hAnsi="仿宋_GB2312" w:cs="仿宋_GB2312"/>
          <w:color w:val="auto"/>
          <w:lang w:val="en-US" w:eastAsia="zh-CN"/>
        </w:rPr>
        <w:t>立足“保障有力、渠道畅通、结构优化、成本降低”方向，全力打造“招商体系、机构体系、资本市场体系、工具体系和监管体系”五大体系，加快</w:t>
      </w:r>
      <w:r>
        <w:rPr>
          <w:rFonts w:hint="eastAsia" w:ascii="仿宋_GB2312" w:hAnsi="仿宋_GB2312" w:cs="仿宋_GB2312"/>
          <w:color w:val="auto"/>
          <w:lang w:eastAsia="zh-CN"/>
        </w:rPr>
        <w:t>构建“</w:t>
      </w:r>
      <w:r>
        <w:rPr>
          <w:rFonts w:hint="eastAsia" w:ascii="仿宋_GB2312" w:hAnsi="仿宋_GB2312" w:cs="仿宋_GB2312"/>
          <w:color w:val="auto"/>
          <w:lang w:val="en-US" w:eastAsia="zh-CN"/>
        </w:rPr>
        <w:t>普惠金融、农村金</w:t>
      </w:r>
      <w:r>
        <w:rPr>
          <w:rFonts w:hint="eastAsia" w:ascii="仿宋_GB2312" w:hAnsi="仿宋_GB2312" w:cs="仿宋_GB2312"/>
          <w:color w:val="auto"/>
          <w:highlight w:val="none"/>
          <w:lang w:val="en-US" w:eastAsia="zh-CN"/>
        </w:rPr>
        <w:t>融、</w:t>
      </w:r>
      <w:r>
        <w:rPr>
          <w:rFonts w:hint="eastAsia" w:ascii="仿宋_GB2312" w:hAnsi="仿宋_GB2312" w:cs="仿宋_GB2312"/>
          <w:color w:val="auto"/>
          <w:highlight w:val="none"/>
          <w:lang w:eastAsia="zh-CN"/>
        </w:rPr>
        <w:t>绿色金融、科技金融、</w:t>
      </w:r>
      <w:r>
        <w:rPr>
          <w:rFonts w:hint="eastAsia" w:ascii="仿宋_GB2312" w:hAnsi="仿宋_GB2312" w:cs="仿宋_GB2312"/>
          <w:color w:val="auto"/>
          <w:highlight w:val="none"/>
          <w:lang w:val="en-US" w:eastAsia="zh-CN"/>
        </w:rPr>
        <w:t>保险金融、贸易金融、国企金融、</w:t>
      </w:r>
      <w:r>
        <w:rPr>
          <w:rFonts w:hint="eastAsia" w:ascii="仿宋_GB2312" w:hAnsi="仿宋_GB2312" w:cs="仿宋_GB2312"/>
          <w:color w:val="auto"/>
          <w:highlight w:val="none"/>
          <w:lang w:eastAsia="zh-CN"/>
        </w:rPr>
        <w:t>海洋金融</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八大特色金融</w:t>
      </w:r>
      <w:r>
        <w:rPr>
          <w:rFonts w:hint="eastAsia" w:ascii="仿宋_GB2312" w:hAnsi="仿宋_GB2312" w:cs="仿宋_GB2312"/>
          <w:color w:val="auto"/>
          <w:lang w:eastAsia="zh-CN"/>
        </w:rPr>
        <w:t>，</w:t>
      </w:r>
      <w:r>
        <w:rPr>
          <w:rFonts w:hint="eastAsia" w:ascii="仿宋_GB2312" w:hAnsi="仿宋_GB2312" w:cs="仿宋_GB2312"/>
          <w:color w:val="auto"/>
        </w:rPr>
        <w:t>不断提升金融服务实体经济能力，</w:t>
      </w:r>
      <w:r>
        <w:rPr>
          <w:color w:val="auto"/>
        </w:rPr>
        <w:fldChar w:fldCharType="begin"/>
      </w:r>
      <w:r>
        <w:rPr>
          <w:color w:val="auto"/>
        </w:rPr>
        <w:instrText xml:space="preserve"> HYPERLINK "https://www.sogou.com/link?url=MRoBrhLn5VOFwqqmB-UyzidQRoztLvNXC6KpMmW9OS9qPwpXyUGkDKK72r98Q1VOTMT3mOKzuLch5nxpDb3WRg.." \t "https://www.sogou.com/_blank" </w:instrText>
      </w:r>
      <w:r>
        <w:rPr>
          <w:color w:val="auto"/>
        </w:rPr>
        <w:fldChar w:fldCharType="separate"/>
      </w:r>
      <w:r>
        <w:rPr>
          <w:rFonts w:hint="eastAsia" w:ascii="仿宋_GB2312" w:hAnsi="仿宋_GB2312" w:cs="仿宋_GB2312"/>
          <w:color w:val="auto"/>
        </w:rPr>
        <w:t>助推区域经济高质量发展</w:t>
      </w:r>
      <w:bookmarkEnd w:id="73"/>
      <w:r>
        <w:rPr>
          <w:rFonts w:hint="eastAsia" w:ascii="仿宋_GB2312" w:hAnsi="仿宋_GB2312" w:cs="仿宋_GB2312"/>
          <w:color w:val="auto"/>
        </w:rPr>
        <w:fldChar w:fldCharType="end"/>
      </w:r>
      <w:r>
        <w:rPr>
          <w:rFonts w:hint="eastAsia" w:ascii="仿宋_GB2312" w:hAnsi="仿宋_GB2312" w:cs="仿宋_GB2312"/>
          <w:color w:val="auto"/>
        </w:rPr>
        <w:t>。到2025年末，全市金融</w:t>
      </w:r>
      <w:r>
        <w:rPr>
          <w:rFonts w:hint="eastAsia" w:ascii="仿宋_GB2312" w:hAnsi="仿宋_GB2312" w:cs="仿宋_GB2312"/>
          <w:color w:val="auto"/>
          <w:lang w:val="en-US" w:eastAsia="zh-CN"/>
        </w:rPr>
        <w:t>业态</w:t>
      </w:r>
      <w:r>
        <w:rPr>
          <w:rFonts w:hint="eastAsia" w:ascii="仿宋_GB2312" w:hAnsi="仿宋_GB2312" w:cs="仿宋_GB2312"/>
          <w:color w:val="auto"/>
        </w:rPr>
        <w:t>更加丰富、融资模式更加多元、金融创新更加活跃、金融环境更加优良，形成金融与经济相互支撑的良好格局，</w:t>
      </w:r>
      <w:r>
        <w:rPr>
          <w:rFonts w:hint="eastAsia" w:ascii="仿宋_GB2312" w:hAnsi="仿宋_GB2312" w:cs="仿宋_GB2312"/>
          <w:color w:val="auto"/>
          <w:kern w:val="0"/>
          <w:szCs w:val="32"/>
        </w:rPr>
        <w:t>让金融发展不断适应汕尾经济高质量发展的总体要求</w:t>
      </w:r>
      <w:r>
        <w:rPr>
          <w:rFonts w:hint="eastAsia" w:ascii="仿宋_GB2312" w:hAnsi="仿宋_GB2312" w:cs="仿宋_GB2312"/>
          <w:color w:val="auto"/>
        </w:rPr>
        <w:t>。</w:t>
      </w:r>
    </w:p>
    <w:p>
      <w:pPr>
        <w:ind w:firstLine="640" w:firstLineChars="200"/>
        <w:jc w:val="left"/>
        <w:outlineLvl w:val="9"/>
        <w:rPr>
          <w:rFonts w:hint="eastAsia" w:ascii="黑体" w:hAnsi="黑体" w:eastAsia="黑体" w:cs="黑体"/>
          <w:color w:val="auto"/>
          <w:sz w:val="32"/>
          <w:szCs w:val="32"/>
        </w:rPr>
      </w:pPr>
      <w:r>
        <w:rPr>
          <w:color w:val="auto"/>
          <w:sz w:val="32"/>
          <w:szCs w:val="32"/>
        </w:rPr>
        <w:t>到2025年，</w:t>
      </w:r>
      <w:r>
        <w:rPr>
          <w:rFonts w:hint="eastAsia"/>
          <w:color w:val="auto"/>
          <w:sz w:val="32"/>
          <w:szCs w:val="32"/>
        </w:rPr>
        <w:t>汕尾</w:t>
      </w:r>
      <w:r>
        <w:rPr>
          <w:color w:val="auto"/>
          <w:sz w:val="32"/>
          <w:szCs w:val="32"/>
        </w:rPr>
        <w:t>全市金融业增加值达到94.57亿元，占GDP比重达到</w:t>
      </w:r>
      <w:r>
        <w:rPr>
          <w:rFonts w:hint="eastAsia"/>
          <w:color w:val="auto"/>
          <w:sz w:val="32"/>
          <w:szCs w:val="32"/>
        </w:rPr>
        <w:t>6</w:t>
      </w:r>
      <w:r>
        <w:rPr>
          <w:color w:val="auto"/>
          <w:sz w:val="32"/>
          <w:szCs w:val="32"/>
        </w:rPr>
        <w:t>%；全市金融机构达到</w:t>
      </w:r>
      <w:r>
        <w:rPr>
          <w:rFonts w:hint="eastAsia"/>
          <w:color w:val="auto"/>
          <w:sz w:val="32"/>
          <w:szCs w:val="32"/>
        </w:rPr>
        <w:t>35</w:t>
      </w:r>
      <w:r>
        <w:rPr>
          <w:color w:val="auto"/>
          <w:sz w:val="32"/>
          <w:szCs w:val="32"/>
        </w:rPr>
        <w:t>家；全市本外币存款余额达到</w:t>
      </w:r>
      <w:r>
        <w:rPr>
          <w:rFonts w:hint="eastAsia"/>
          <w:color w:val="auto"/>
          <w:sz w:val="32"/>
          <w:szCs w:val="32"/>
        </w:rPr>
        <w:t>2000</w:t>
      </w:r>
      <w:r>
        <w:rPr>
          <w:color w:val="auto"/>
          <w:sz w:val="32"/>
          <w:szCs w:val="32"/>
        </w:rPr>
        <w:t>亿元，贷款余额达到</w:t>
      </w:r>
      <w:r>
        <w:rPr>
          <w:rFonts w:hint="eastAsia"/>
          <w:color w:val="auto"/>
          <w:sz w:val="32"/>
          <w:szCs w:val="32"/>
        </w:rPr>
        <w:t>1600</w:t>
      </w:r>
      <w:r>
        <w:rPr>
          <w:color w:val="auto"/>
          <w:sz w:val="32"/>
          <w:szCs w:val="32"/>
        </w:rPr>
        <w:t>亿元</w:t>
      </w:r>
      <w:r>
        <w:rPr>
          <w:rFonts w:hint="eastAsia"/>
          <w:color w:val="auto"/>
          <w:sz w:val="32"/>
          <w:szCs w:val="32"/>
        </w:rPr>
        <w:t>，</w:t>
      </w:r>
      <w:r>
        <w:rPr>
          <w:color w:val="auto"/>
          <w:sz w:val="32"/>
          <w:szCs w:val="32"/>
        </w:rPr>
        <w:t>不良</w:t>
      </w:r>
      <w:r>
        <w:rPr>
          <w:rFonts w:hint="eastAsia"/>
          <w:color w:val="auto"/>
          <w:sz w:val="32"/>
          <w:szCs w:val="32"/>
          <w:lang w:val="en-US" w:eastAsia="zh-CN"/>
        </w:rPr>
        <w:t>贷款</w:t>
      </w:r>
      <w:r>
        <w:rPr>
          <w:color w:val="auto"/>
          <w:sz w:val="32"/>
          <w:szCs w:val="32"/>
        </w:rPr>
        <w:t>率保持在</w:t>
      </w:r>
      <w:r>
        <w:rPr>
          <w:rFonts w:hint="eastAsia"/>
          <w:color w:val="auto"/>
          <w:sz w:val="32"/>
          <w:szCs w:val="32"/>
        </w:rPr>
        <w:t>1</w:t>
      </w:r>
      <w:r>
        <w:rPr>
          <w:color w:val="auto"/>
          <w:sz w:val="32"/>
          <w:szCs w:val="32"/>
        </w:rPr>
        <w:t>%以下；全市保费收入达到</w:t>
      </w:r>
      <w:r>
        <w:rPr>
          <w:rFonts w:hint="eastAsia"/>
          <w:color w:val="auto"/>
          <w:sz w:val="32"/>
          <w:szCs w:val="32"/>
        </w:rPr>
        <w:t>50</w:t>
      </w:r>
      <w:r>
        <w:rPr>
          <w:color w:val="auto"/>
          <w:sz w:val="32"/>
          <w:szCs w:val="32"/>
        </w:rPr>
        <w:t>亿元，保险密度达到</w:t>
      </w:r>
      <w:r>
        <w:rPr>
          <w:rFonts w:hint="eastAsia"/>
          <w:color w:val="auto"/>
          <w:sz w:val="32"/>
          <w:szCs w:val="32"/>
        </w:rPr>
        <w:t>1500</w:t>
      </w:r>
      <w:r>
        <w:rPr>
          <w:color w:val="auto"/>
          <w:sz w:val="32"/>
          <w:szCs w:val="32"/>
        </w:rPr>
        <w:t>元，保险深度达到</w:t>
      </w:r>
      <w:r>
        <w:rPr>
          <w:rFonts w:hint="eastAsia"/>
          <w:color w:val="auto"/>
          <w:sz w:val="32"/>
          <w:szCs w:val="32"/>
        </w:rPr>
        <w:t>3.2</w:t>
      </w:r>
      <w:r>
        <w:rPr>
          <w:color w:val="auto"/>
          <w:sz w:val="32"/>
          <w:szCs w:val="32"/>
        </w:rPr>
        <w:t>%；境内外上市公司达到</w:t>
      </w:r>
      <w:r>
        <w:rPr>
          <w:rFonts w:hint="eastAsia"/>
          <w:color w:val="auto"/>
          <w:sz w:val="32"/>
          <w:szCs w:val="32"/>
        </w:rPr>
        <w:t>5</w:t>
      </w:r>
      <w:r>
        <w:rPr>
          <w:color w:val="auto"/>
          <w:sz w:val="32"/>
          <w:szCs w:val="32"/>
        </w:rPr>
        <w:t>家。</w:t>
      </w:r>
      <w:bookmarkStart w:id="74" w:name="_Toc20081"/>
      <w:bookmarkStart w:id="75" w:name="_Toc27602"/>
      <w:bookmarkStart w:id="76" w:name="_Toc17043"/>
      <w:bookmarkStart w:id="77" w:name="_Toc17514"/>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1"/>
        <w:rPr>
          <w:rFonts w:ascii="黑体" w:hAnsi="黑体" w:eastAsia="黑体" w:cs="黑体"/>
          <w:color w:val="auto"/>
          <w:sz w:val="28"/>
        </w:rPr>
      </w:pPr>
      <w:bookmarkStart w:id="78" w:name="_Toc32318"/>
      <w:r>
        <w:rPr>
          <w:rFonts w:hint="eastAsia" w:ascii="黑体" w:hAnsi="黑体" w:eastAsia="黑体" w:cs="黑体"/>
          <w:color w:val="auto"/>
          <w:sz w:val="28"/>
          <w:szCs w:val="22"/>
        </w:rPr>
        <w:t>“十四五”汕尾市金融业主要</w:t>
      </w:r>
      <w:r>
        <w:rPr>
          <w:rFonts w:hint="eastAsia" w:ascii="黑体" w:hAnsi="黑体" w:eastAsia="黑体" w:cs="黑体"/>
          <w:color w:val="auto"/>
          <w:sz w:val="28"/>
          <w:szCs w:val="22"/>
          <w:lang w:val="en-US" w:eastAsia="zh-CN"/>
        </w:rPr>
        <w:t>预期</w:t>
      </w:r>
      <w:r>
        <w:rPr>
          <w:rFonts w:hint="eastAsia" w:ascii="黑体" w:hAnsi="黑体" w:eastAsia="黑体" w:cs="黑体"/>
          <w:color w:val="auto"/>
          <w:sz w:val="28"/>
          <w:szCs w:val="22"/>
        </w:rPr>
        <w:t>指标</w:t>
      </w:r>
      <w:bookmarkEnd w:id="74"/>
      <w:bookmarkEnd w:id="75"/>
      <w:bookmarkEnd w:id="76"/>
      <w:bookmarkEnd w:id="77"/>
      <w:bookmarkEnd w:id="78"/>
    </w:p>
    <w:tbl>
      <w:tblPr>
        <w:tblStyle w:val="27"/>
        <w:tblpPr w:leftFromText="180" w:rightFromText="180" w:vertAnchor="text" w:horzAnchor="page" w:tblpX="2087" w:tblpY="1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456"/>
        <w:gridCol w:w="908"/>
        <w:gridCol w:w="120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8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类别</w:t>
            </w:r>
          </w:p>
        </w:tc>
        <w:tc>
          <w:tcPr>
            <w:tcW w:w="34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指标</w:t>
            </w:r>
          </w:p>
        </w:tc>
        <w:tc>
          <w:tcPr>
            <w:tcW w:w="9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单位</w:t>
            </w:r>
          </w:p>
        </w:tc>
        <w:tc>
          <w:tcPr>
            <w:tcW w:w="2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hint="eastAsia" w:ascii="Times New Roman" w:hAnsi="Times New Roman"/>
                <w:color w:val="auto"/>
                <w:sz w:val="28"/>
                <w:szCs w:val="28"/>
              </w:rPr>
              <w:t>“十四五”</w:t>
            </w:r>
            <w:r>
              <w:rPr>
                <w:rFonts w:ascii="Times New Roman" w:hAnsi="Times New Roman"/>
                <w:color w:val="auto"/>
                <w:sz w:val="28"/>
                <w:szCs w:val="28"/>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blHeader/>
        </w:trPr>
        <w:tc>
          <w:tcPr>
            <w:tcW w:w="8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p>
        </w:tc>
        <w:tc>
          <w:tcPr>
            <w:tcW w:w="3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p>
        </w:tc>
        <w:tc>
          <w:tcPr>
            <w:tcW w:w="9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2025年目标</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金融总量</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金融业增加值</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9</w:t>
            </w:r>
            <w:r>
              <w:rPr>
                <w:rFonts w:hint="eastAsia" w:ascii="宋体" w:hAnsi="宋体" w:eastAsia="宋体" w:cs="宋体"/>
                <w:color w:val="auto"/>
                <w:sz w:val="28"/>
                <w:szCs w:val="28"/>
                <w:lang w:val="en-US" w:eastAsia="zh-CN"/>
              </w:rPr>
              <w:t>5</w:t>
            </w:r>
          </w:p>
        </w:tc>
        <w:tc>
          <w:tcPr>
            <w:tcW w:w="1439" w:type="dxa"/>
            <w:noWrap w:val="0"/>
            <w:vAlign w:val="center"/>
          </w:tcPr>
          <w:p>
            <w:pPr>
              <w:spacing w:line="4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13.</w:t>
            </w:r>
            <w:r>
              <w:rPr>
                <w:rFonts w:hint="eastAsia" w:ascii="宋体" w:hAnsi="宋体" w:eastAsia="宋体" w:cs="宋体"/>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金融业增加值/GDP</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6</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金融组织</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金融机构</w:t>
            </w:r>
            <w:r>
              <w:rPr>
                <w:rFonts w:hint="eastAsia" w:ascii="Times New Roman" w:hAnsi="Times New Roman"/>
                <w:color w:val="auto"/>
                <w:sz w:val="28"/>
                <w:szCs w:val="28"/>
              </w:rPr>
              <w:t>（法人+分支机构）</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35</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地方金融组织机构</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15</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信贷市场</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本外币存款</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2000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本外币贷款</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1600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不良贷款率</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保险市场</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保费收入</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50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保险密度</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1500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保险深度</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3.2</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资本市场</w:t>
            </w:r>
          </w:p>
        </w:tc>
        <w:tc>
          <w:tcPr>
            <w:tcW w:w="3456" w:type="dxa"/>
            <w:noWrap w:val="0"/>
            <w:vAlign w:val="center"/>
          </w:tcPr>
          <w:p>
            <w:pPr>
              <w:spacing w:line="420" w:lineRule="exact"/>
              <w:ind w:firstLine="0" w:firstLineChars="0"/>
              <w:rPr>
                <w:rFonts w:hint="eastAsia" w:ascii="Times New Roman" w:hAnsi="Times New Roman" w:eastAsia="仿宋_GB2312"/>
                <w:color w:val="auto"/>
                <w:sz w:val="28"/>
                <w:szCs w:val="28"/>
                <w:lang w:eastAsia="zh-CN"/>
              </w:rPr>
            </w:pPr>
            <w:r>
              <w:rPr>
                <w:rFonts w:ascii="Times New Roman" w:hAnsi="Times New Roman"/>
                <w:color w:val="auto"/>
                <w:sz w:val="28"/>
                <w:szCs w:val="28"/>
              </w:rPr>
              <w:t>上市公司</w:t>
            </w:r>
            <w:r>
              <w:rPr>
                <w:rFonts w:hint="eastAsia" w:ascii="Times New Roman" w:hAnsi="Times New Roman"/>
                <w:color w:val="auto"/>
                <w:sz w:val="28"/>
                <w:szCs w:val="28"/>
                <w:lang w:eastAsia="zh-CN"/>
              </w:rPr>
              <w:t>（</w:t>
            </w:r>
            <w:r>
              <w:rPr>
                <w:rFonts w:hint="eastAsia" w:ascii="Times New Roman" w:hAnsi="Times New Roman"/>
                <w:color w:val="auto"/>
                <w:sz w:val="28"/>
                <w:szCs w:val="28"/>
                <w:lang w:val="en-US" w:eastAsia="zh-CN"/>
              </w:rPr>
              <w:t>含北交所</w:t>
            </w:r>
            <w:r>
              <w:rPr>
                <w:rFonts w:hint="eastAsia" w:ascii="Times New Roman" w:hAnsi="Times New Roman"/>
                <w:color w:val="auto"/>
                <w:sz w:val="28"/>
                <w:szCs w:val="28"/>
                <w:lang w:eastAsia="zh-CN"/>
              </w:rPr>
              <w:t>）</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ascii="宋体" w:hAnsi="宋体" w:eastAsia="宋体" w:cs="宋体"/>
                <w:color w:val="auto"/>
                <w:sz w:val="28"/>
                <w:szCs w:val="28"/>
              </w:rPr>
              <w:t>5</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hint="default"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新三板创新层挂牌企业</w:t>
            </w:r>
          </w:p>
        </w:tc>
        <w:tc>
          <w:tcPr>
            <w:tcW w:w="908" w:type="dxa"/>
            <w:noWrap w:val="0"/>
            <w:vAlign w:val="center"/>
          </w:tcPr>
          <w:p>
            <w:pPr>
              <w:spacing w:line="420" w:lineRule="exact"/>
              <w:ind w:firstLine="0" w:firstLineChars="0"/>
              <w:jc w:val="center"/>
              <w:rPr>
                <w:rFonts w:hint="default"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家</w:t>
            </w:r>
          </w:p>
        </w:tc>
        <w:tc>
          <w:tcPr>
            <w:tcW w:w="1207" w:type="dxa"/>
            <w:noWrap w:val="0"/>
            <w:vAlign w:val="center"/>
          </w:tcPr>
          <w:p>
            <w:pPr>
              <w:spacing w:line="420" w:lineRule="exact"/>
              <w:ind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439" w:type="dxa"/>
            <w:noWrap w:val="0"/>
            <w:vAlign w:val="center"/>
          </w:tcPr>
          <w:p>
            <w:pPr>
              <w:spacing w:line="420" w:lineRule="exact"/>
              <w:ind w:firstLine="0" w:firstLineChars="0"/>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新三板挂牌公司</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6</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区域性股交中心挂牌公司</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120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hint="eastAsia" w:ascii="Times New Roman" w:hAnsi="Times New Roman"/>
                <w:color w:val="auto"/>
                <w:sz w:val="28"/>
                <w:szCs w:val="28"/>
              </w:rPr>
              <w:t>特色金融指标</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涉农贷款余额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普惠金融贷款余额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绿色金融贷款余额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科技贷款余额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hint="default"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文旅创投金融（基金融资）</w:t>
            </w:r>
          </w:p>
        </w:tc>
        <w:tc>
          <w:tcPr>
            <w:tcW w:w="908" w:type="dxa"/>
            <w:noWrap w:val="0"/>
            <w:vAlign w:val="center"/>
          </w:tcPr>
          <w:p>
            <w:pPr>
              <w:spacing w:line="420" w:lineRule="exact"/>
              <w:ind w:firstLine="0" w:firstLineChars="0"/>
              <w:jc w:val="center"/>
              <w:rPr>
                <w:rFonts w:hint="eastAsia"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bl>
    <w:p>
      <w:pPr>
        <w:pStyle w:val="3"/>
        <w:rPr>
          <w:color w:val="auto"/>
        </w:rPr>
      </w:pPr>
      <w:bookmarkStart w:id="79" w:name="_Toc10473"/>
      <w:bookmarkStart w:id="80" w:name="_Toc852"/>
      <w:bookmarkStart w:id="81" w:name="_Toc8697"/>
      <w:bookmarkStart w:id="82" w:name="_Toc20466"/>
      <w:bookmarkStart w:id="83" w:name="_Toc23987"/>
      <w:r>
        <w:rPr>
          <w:rFonts w:hint="eastAsia"/>
          <w:color w:val="auto"/>
        </w:rPr>
        <w:t>第</w:t>
      </w:r>
      <w:r>
        <w:rPr>
          <w:rFonts w:hint="eastAsia"/>
          <w:color w:val="auto"/>
          <w:lang w:val="en-US" w:eastAsia="zh-CN"/>
        </w:rPr>
        <w:t>三</w:t>
      </w:r>
      <w:r>
        <w:rPr>
          <w:rFonts w:hint="eastAsia"/>
          <w:color w:val="auto"/>
        </w:rPr>
        <w:t xml:space="preserve">章 </w:t>
      </w:r>
      <w:bookmarkEnd w:id="79"/>
      <w:bookmarkEnd w:id="80"/>
      <w:r>
        <w:rPr>
          <w:rFonts w:hint="eastAsia"/>
          <w:color w:val="auto"/>
        </w:rPr>
        <w:t>做大做强金融体系，提升金融发展水平</w:t>
      </w:r>
      <w:bookmarkEnd w:id="81"/>
      <w:bookmarkEnd w:id="82"/>
      <w:bookmarkEnd w:id="83"/>
    </w:p>
    <w:p>
      <w:pPr>
        <w:pStyle w:val="4"/>
        <w:rPr>
          <w:rFonts w:eastAsia="仿宋_GB2312"/>
          <w:color w:val="auto"/>
        </w:rPr>
      </w:pPr>
      <w:bookmarkStart w:id="84" w:name="_Toc6245"/>
      <w:bookmarkStart w:id="85" w:name="_Toc29841"/>
      <w:bookmarkStart w:id="86" w:name="_Toc1464"/>
      <w:r>
        <w:rPr>
          <w:rFonts w:hint="eastAsia"/>
          <w:color w:val="auto"/>
          <w:lang w:val="en-US" w:eastAsia="zh-CN"/>
        </w:rPr>
        <w:t>第一节 优化</w:t>
      </w:r>
      <w:r>
        <w:rPr>
          <w:rFonts w:hint="eastAsia"/>
          <w:color w:val="auto"/>
        </w:rPr>
        <w:t>金融</w:t>
      </w:r>
      <w:r>
        <w:rPr>
          <w:rFonts w:hint="eastAsia"/>
          <w:color w:val="auto"/>
          <w:lang w:val="en-US" w:eastAsia="zh-CN"/>
        </w:rPr>
        <w:t>招商体系</w:t>
      </w:r>
      <w:bookmarkEnd w:id="84"/>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eastAsia="仿宋_GB2312"/>
          <w:color w:val="auto"/>
          <w:lang w:val="en-US" w:eastAsia="zh-CN"/>
        </w:rPr>
      </w:pPr>
      <w:bookmarkStart w:id="87" w:name="_Toc1169"/>
      <w:r>
        <w:rPr>
          <w:rFonts w:hint="eastAsia" w:ascii="楷体" w:hAnsi="楷体" w:eastAsia="楷体" w:cs="楷体"/>
          <w:b/>
          <w:bCs/>
          <w:color w:val="auto"/>
        </w:rPr>
        <w:t>高标准规划建设金融产业基地</w:t>
      </w:r>
      <w:bookmarkEnd w:id="87"/>
      <w:r>
        <w:rPr>
          <w:rFonts w:hint="eastAsia" w:ascii="楷体" w:hAnsi="楷体" w:eastAsia="楷体" w:cs="楷体"/>
          <w:b/>
          <w:bCs/>
          <w:color w:val="auto"/>
          <w:lang w:eastAsia="zh-CN"/>
        </w:rPr>
        <w:t>。</w:t>
      </w:r>
      <w:r>
        <w:rPr>
          <w:rFonts w:hint="eastAsia"/>
          <w:color w:val="auto"/>
        </w:rPr>
        <w:t>贯彻落实“粤东西北金融倍增工程”，积极谋划汕尾金融产业基地建设，依托汕尾市中央商务区，预留土地资源，拓宽金融载体和空间。支持国有和股份制银行在汕尾中央商务区设立分支机构以及设立数据中心、呼叫中心等后台基地，鼓励金融机构、国有企业和优质民营企业在金融产业基地申请设立村镇银行、特色专业型保险公司、金融租赁、信托基金等金融机构</w:t>
      </w:r>
      <w:r>
        <w:rPr>
          <w:rFonts w:hint="eastAsia"/>
          <w:color w:val="auto"/>
          <w:lang w:val="en-US" w:eastAsia="zh-CN"/>
        </w:rPr>
        <w:t>和主体</w:t>
      </w:r>
      <w:r>
        <w:rPr>
          <w:rFonts w:hint="eastAsia"/>
          <w:color w:val="auto"/>
        </w:rPr>
        <w:t>，支持优质大型企业集团在金融产业基地设立财务公司、消费金融公司等非银金融机构，积极培育融资租赁、商业保理公司、金融资产管理公司、私募股权等新金融业态，形成功能互补的地方金融体系，推动汕尾金融业高质量发展。</w:t>
      </w:r>
      <w:r>
        <w:rPr>
          <w:rFonts w:hint="eastAsia"/>
          <w:color w:val="auto"/>
          <w:lang w:val="en-US" w:eastAsia="zh-CN"/>
        </w:rPr>
        <w:t>依托品清湖新区，以金融产业带动城市开发改造升级，形成金融产业与创业投资、文化旅游等现代服务业良性发展格局。促成交通银行、广发银行、平安银行进驻汕尾发展，带动保险机构、证券公司等主体落户，完成金融新业态的“7+4”业态8类机构落地并深入开展业务。</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eastAsia="仿宋_GB2312"/>
          <w:color w:val="auto"/>
          <w:lang w:val="en-US" w:eastAsia="zh-CN"/>
        </w:rPr>
      </w:pPr>
      <w:bookmarkStart w:id="88" w:name="_Toc17252"/>
      <w:r>
        <w:rPr>
          <w:rFonts w:hint="eastAsia" w:ascii="楷体" w:hAnsi="楷体" w:eastAsia="楷体" w:cs="楷体"/>
          <w:b/>
          <w:bCs/>
          <w:color w:val="auto"/>
        </w:rPr>
        <w:t>积极对接大湾区金融资源</w:t>
      </w:r>
      <w:bookmarkEnd w:id="88"/>
      <w:r>
        <w:rPr>
          <w:rFonts w:hint="eastAsia" w:ascii="楷体" w:hAnsi="楷体" w:eastAsia="楷体" w:cs="楷体"/>
          <w:b/>
          <w:bCs/>
          <w:color w:val="auto"/>
          <w:lang w:eastAsia="zh-CN"/>
        </w:rPr>
        <w:t>。</w:t>
      </w:r>
      <w:r>
        <w:rPr>
          <w:rFonts w:hint="eastAsia"/>
          <w:color w:val="auto"/>
        </w:rPr>
        <w:t>鼓励大湾区的法人银行、证券、保险、信托等金融机构在汕尾设立分支机构、专营机构和后援服务中心，主动对接大湾区各大金融集团，推动合作共设金融机构、产业基金。深化对接深圳证券交易所、广东股权交易中心、前海股权交易中心、证券公司、深圳资本市场学院等平台机构，为汕尾提供创业投资、融资推介、上市培育等资本市场服务。充分借助深圳作为数字人民币试点城市和金融科技创新监管试点城市的先行优势，推动汕尾发展金融科技和提升金融监管能力。积极推广复制广州绿色金融改革创新试验区成果经验和模式，主动参加粤港澳大湾区绿色金融联盟活动，鼓励大湾区银行机构参与汕尾绿色、低碳和循环经济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default" w:eastAsia="仿宋_GB2312"/>
          <w:color w:val="auto"/>
          <w:lang w:val="en-US" w:eastAsia="zh-CN"/>
        </w:rPr>
      </w:pPr>
      <w:bookmarkStart w:id="89" w:name="_Toc16679"/>
      <w:r>
        <w:rPr>
          <w:rFonts w:hint="eastAsia" w:ascii="楷体" w:hAnsi="楷体" w:eastAsia="楷体" w:cs="楷体"/>
          <w:b/>
          <w:bCs/>
          <w:color w:val="auto"/>
        </w:rPr>
        <w:t>大力实施金融招商引资</w:t>
      </w:r>
      <w:bookmarkEnd w:id="89"/>
      <w:r>
        <w:rPr>
          <w:rFonts w:hint="eastAsia" w:ascii="楷体" w:hAnsi="楷体" w:eastAsia="楷体" w:cs="楷体"/>
          <w:b/>
          <w:bCs/>
          <w:color w:val="auto"/>
          <w:lang w:eastAsia="zh-CN"/>
        </w:rPr>
        <w:t>。</w:t>
      </w:r>
      <w:r>
        <w:rPr>
          <w:rFonts w:hint="eastAsia"/>
          <w:color w:val="auto"/>
        </w:rPr>
        <w:t>强化招商引资政策指引和措施，加大金融机构引进力度，出台引进金融机构落户奖励办法。制定金融招商目录和手册，加</w:t>
      </w:r>
      <w:r>
        <w:rPr>
          <w:rFonts w:hint="eastAsia"/>
          <w:color w:val="auto"/>
          <w:lang w:val="en-US" w:eastAsia="zh-CN"/>
        </w:rPr>
        <w:t>大</w:t>
      </w:r>
      <w:r>
        <w:rPr>
          <w:rFonts w:hint="eastAsia"/>
          <w:color w:val="auto"/>
        </w:rPr>
        <w:t>面向大湾区、京津冀、长三角城市的招商力度，吸引各类金融机构落户设点，打造现代金融组织体系。积极对接国内外知名中介机构、商务机构、金融财经媒体，建立招商信息平台与联络渠道，搭建多方位的招商引资网络。积极对接珠三角重点高校，联合共建金融实习基地，定期引入优秀实习生到汕尾市金融服务中心和金融产业基地实习，争取留住和培育金融青年人才。</w:t>
      </w:r>
      <w:r>
        <w:rPr>
          <w:rFonts w:hint="eastAsia"/>
          <w:color w:val="auto"/>
          <w:lang w:val="en-US" w:eastAsia="zh-CN"/>
        </w:rPr>
        <w:t>与广东财经大学合作建立经济金融博士研究站，结合汕尾实际开展金融课题研究。每年定向培养不少于20名金融高层次人才到汕尾各机关事业单位工作。强化国资国企与外地金融机构合作，掀起汕尾革命老区振兴发展投融资热潮。</w:t>
      </w:r>
    </w:p>
    <w:p>
      <w:pPr>
        <w:pStyle w:val="4"/>
        <w:keepNext w:val="0"/>
        <w:keepLines w:val="0"/>
        <w:pageBreakBefore w:val="0"/>
        <w:widowControl/>
        <w:kinsoku/>
        <w:wordWrap/>
        <w:overflowPunct/>
        <w:topLinePunct w:val="0"/>
        <w:autoSpaceDE/>
        <w:autoSpaceDN/>
        <w:bidi w:val="0"/>
        <w:adjustRightInd/>
        <w:snapToGrid/>
        <w:spacing w:beforeLines="0" w:afterLines="0"/>
        <w:textAlignment w:val="auto"/>
        <w:outlineLvl w:val="1"/>
        <w:rPr>
          <w:color w:val="auto"/>
        </w:rPr>
      </w:pPr>
      <w:bookmarkStart w:id="90" w:name="_Toc17695"/>
      <w:bookmarkStart w:id="91" w:name="_Toc9464"/>
      <w:bookmarkStart w:id="92" w:name="_Toc2864"/>
      <w:r>
        <w:rPr>
          <w:rFonts w:hint="eastAsia"/>
          <w:color w:val="auto"/>
          <w:lang w:val="en-US" w:eastAsia="zh-CN"/>
        </w:rPr>
        <w:t xml:space="preserve">第二节 </w:t>
      </w:r>
      <w:bookmarkEnd w:id="90"/>
      <w:r>
        <w:rPr>
          <w:rFonts w:hint="eastAsia"/>
          <w:color w:val="auto"/>
          <w:lang w:val="en-US" w:eastAsia="zh-CN"/>
        </w:rPr>
        <w:t>完善</w:t>
      </w:r>
      <w:r>
        <w:rPr>
          <w:rFonts w:hint="eastAsia"/>
          <w:color w:val="auto"/>
        </w:rPr>
        <w:t>金融机构体系</w:t>
      </w:r>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93" w:name="_Toc32162"/>
      <w:r>
        <w:rPr>
          <w:rFonts w:hint="eastAsia" w:ascii="楷体" w:hAnsi="楷体" w:eastAsia="楷体" w:cs="楷体"/>
          <w:b/>
          <w:bCs/>
          <w:color w:val="auto"/>
        </w:rPr>
        <w:t>推动农商银行高质量发展</w:t>
      </w:r>
      <w:bookmarkEnd w:id="93"/>
      <w:r>
        <w:rPr>
          <w:rFonts w:hint="eastAsia" w:ascii="楷体" w:hAnsi="楷体" w:eastAsia="楷体" w:cs="楷体"/>
          <w:b/>
          <w:bCs/>
          <w:color w:val="auto"/>
          <w:lang w:eastAsia="zh-CN"/>
        </w:rPr>
        <w:t>。</w:t>
      </w:r>
      <w:r>
        <w:rPr>
          <w:rFonts w:hint="eastAsia"/>
          <w:color w:val="auto"/>
        </w:rPr>
        <w:t>支持本地农商银行完善公司治理结构和风险内控体系，推动汕尾农商银行党委党建工作与公司治理深度融合，</w:t>
      </w:r>
      <w:r>
        <w:rPr>
          <w:rFonts w:hint="eastAsia"/>
          <w:color w:val="auto"/>
          <w:lang w:val="en-US" w:eastAsia="zh-CN"/>
        </w:rPr>
        <w:t>优化股权结构，做大体量和业务</w:t>
      </w:r>
      <w:r>
        <w:rPr>
          <w:rFonts w:hint="eastAsia"/>
          <w:color w:val="auto"/>
        </w:rPr>
        <w:t>。支持本地农商银行引进战略投资者，吸引符合条件的</w:t>
      </w:r>
      <w:r>
        <w:rPr>
          <w:rFonts w:hint="eastAsia"/>
          <w:color w:val="auto"/>
          <w:lang w:val="en-US" w:eastAsia="zh-CN"/>
        </w:rPr>
        <w:t>国资国企</w:t>
      </w:r>
      <w:r>
        <w:rPr>
          <w:rFonts w:hint="eastAsia"/>
          <w:color w:val="auto"/>
        </w:rPr>
        <w:t>和民营企业入股，扩充资本实力。引导农商银行坚守支农支小的市场定位，大力发展和扶持“三农”和小微企业，实行差异化发展战略</w:t>
      </w:r>
      <w:r>
        <w:rPr>
          <w:rFonts w:hint="eastAsia"/>
          <w:color w:val="auto"/>
          <w:lang w:eastAsia="zh-CN"/>
        </w:rPr>
        <w:t>，</w:t>
      </w:r>
      <w:r>
        <w:rPr>
          <w:rFonts w:hint="eastAsia"/>
          <w:color w:val="auto"/>
          <w:lang w:val="en-US" w:eastAsia="zh-CN"/>
        </w:rPr>
        <w:t>持续</w:t>
      </w:r>
      <w:r>
        <w:rPr>
          <w:rFonts w:hint="eastAsia"/>
          <w:color w:val="auto"/>
        </w:rPr>
        <w:t>做好表内外不良贷款压降、贷款集中度压降以及抵债资产处置工作，统筹推动资产处置与风险化解工作。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94" w:name="_Toc4678"/>
      <w:r>
        <w:rPr>
          <w:rFonts w:hint="eastAsia" w:ascii="楷体" w:hAnsi="楷体" w:eastAsia="楷体" w:cs="楷体"/>
          <w:b/>
          <w:bCs/>
          <w:color w:val="auto"/>
        </w:rPr>
        <w:t>提升金融分支机构发展水平</w:t>
      </w:r>
      <w:bookmarkEnd w:id="94"/>
      <w:r>
        <w:rPr>
          <w:rFonts w:hint="eastAsia" w:ascii="楷体" w:hAnsi="楷体" w:eastAsia="楷体" w:cs="楷体"/>
          <w:b/>
          <w:bCs/>
          <w:color w:val="auto"/>
          <w:lang w:eastAsia="zh-CN"/>
        </w:rPr>
        <w:t>。</w:t>
      </w:r>
      <w:r>
        <w:rPr>
          <w:rFonts w:hint="eastAsia"/>
          <w:color w:val="auto"/>
        </w:rPr>
        <w:t>重点引进全国性股份制商业银行、证券公司、保险公司在汕尾中心城区设立分支机构，建设机构门类齐全、金融功能完备的金融组织体系，提升对全市产业发展的服务支撑和辐射带动能力。鼓励金融分支机构根据自身发展优势，优化业务布局，形成相互配合、特色业务突出、合作共赢的发展局面。支持国有银行分支机构充分利用上级信贷资源和扶持政策，争取在汕尾优先开展创新产品业务试点和加大资金投放力度。支持保险公司和证券公司提供财富管理、养老金融等高附加值的金融服务，提升服务质量和水平，满足居民多元化的金融需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default" w:eastAsia="仿宋_GB2312"/>
          <w:color w:val="auto"/>
          <w:lang w:val="en-US" w:eastAsia="zh-CN"/>
        </w:rPr>
      </w:pPr>
      <w:bookmarkStart w:id="95" w:name="_Toc14213"/>
      <w:r>
        <w:rPr>
          <w:rFonts w:hint="eastAsia" w:ascii="楷体" w:hAnsi="楷体" w:eastAsia="楷体" w:cs="楷体"/>
          <w:b/>
          <w:bCs/>
          <w:color w:val="auto"/>
        </w:rPr>
        <w:t>规范发展地方金融组织</w:t>
      </w:r>
      <w:bookmarkEnd w:id="95"/>
      <w:r>
        <w:rPr>
          <w:rFonts w:hint="eastAsia" w:ascii="楷体" w:hAnsi="楷体" w:eastAsia="楷体" w:cs="楷体"/>
          <w:b/>
          <w:bCs/>
          <w:color w:val="auto"/>
          <w:lang w:eastAsia="zh-CN"/>
        </w:rPr>
        <w:t>。</w:t>
      </w:r>
      <w:r>
        <w:rPr>
          <w:rFonts w:hint="eastAsia"/>
          <w:color w:val="auto"/>
        </w:rPr>
        <w:t>不断规范小额贷款公司和典当行融资渠道，补充资本实力，鼓励接入金融信用信息基础数据库，提升服务“三农”和小微企业融资的水平，稳步提高监管评级。大力支持担保公司做大做强，推动融资性担保公司和金融机构建立相互合作、利益共享、风险共担、信息对称的合作机制，缓解企业融资“担保难”问题。鼓励有条件的县（市、区）成立融资性担保公司，逐步形成市、县（市、区）两级联动的中小企业担保网络体系。支持市内外大型企业在汕尾设立融资租赁、商业保理公司，引导各类地方交易场所、农村专业合作社稳妥开展业务和规范发展。</w:t>
      </w:r>
      <w:r>
        <w:rPr>
          <w:rFonts w:hint="eastAsia"/>
          <w:color w:val="auto"/>
          <w:lang w:val="en-US" w:eastAsia="zh-CN"/>
        </w:rPr>
        <w:t>到2025年末，汕尾地方金融组织业态基本健全，各类机构和组织落户汕尾的同时，带动当地国资国企的投融资力度加大，有效支持汕尾各类投融资需求，金融要素保障更加有力。</w:t>
      </w:r>
    </w:p>
    <w:p>
      <w:pPr>
        <w:pStyle w:val="4"/>
        <w:spacing w:before="0" w:after="0"/>
        <w:outlineLvl w:val="1"/>
        <w:rPr>
          <w:rFonts w:hint="eastAsia"/>
          <w:color w:val="auto"/>
          <w:lang w:eastAsia="zh-CN"/>
        </w:rPr>
      </w:pPr>
      <w:bookmarkStart w:id="96" w:name="_Toc1328"/>
      <w:bookmarkStart w:id="97" w:name="_Toc12712"/>
      <w:bookmarkStart w:id="98" w:name="_Toc1377"/>
      <w:r>
        <w:rPr>
          <w:rFonts w:hint="eastAsia"/>
          <w:color w:val="auto"/>
          <w:lang w:val="en-US" w:eastAsia="zh-CN"/>
        </w:rPr>
        <w:t>第三节 加快发展</w:t>
      </w:r>
      <w:r>
        <w:rPr>
          <w:rFonts w:hint="eastAsia"/>
          <w:color w:val="auto"/>
        </w:rPr>
        <w:t>多层次资本市场</w:t>
      </w:r>
      <w:bookmarkEnd w:id="96"/>
      <w:r>
        <w:rPr>
          <w:rFonts w:hint="eastAsia"/>
          <w:color w:val="auto"/>
          <w:lang w:val="en-US" w:eastAsia="zh-CN"/>
        </w:rPr>
        <w:t>体系</w:t>
      </w:r>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ascii="仿宋_GB2312" w:eastAsia="仿宋_GB2312"/>
          <w:color w:val="auto"/>
          <w:lang w:val="en-US" w:eastAsia="zh-CN"/>
        </w:rPr>
      </w:pPr>
      <w:bookmarkStart w:id="99" w:name="_Toc28452"/>
      <w:r>
        <w:rPr>
          <w:rFonts w:hint="eastAsia" w:ascii="楷体" w:hAnsi="楷体" w:eastAsia="楷体"/>
          <w:b/>
          <w:bCs/>
          <w:color w:val="auto"/>
        </w:rPr>
        <w:t>建立企业上市培训基地</w:t>
      </w:r>
      <w:bookmarkEnd w:id="99"/>
      <w:r>
        <w:rPr>
          <w:rFonts w:hint="eastAsia" w:ascii="楷体" w:hAnsi="楷体" w:eastAsia="楷体"/>
          <w:b/>
          <w:bCs/>
          <w:color w:val="auto"/>
          <w:lang w:eastAsia="zh-CN"/>
        </w:rPr>
        <w:t>。</w:t>
      </w:r>
      <w:r>
        <w:rPr>
          <w:rFonts w:hint="eastAsia"/>
          <w:color w:val="auto"/>
        </w:rPr>
        <w:t>加强与深圳证券交易所、上海证券交易所、</w:t>
      </w:r>
      <w:r>
        <w:rPr>
          <w:rFonts w:hint="eastAsia"/>
          <w:color w:val="auto"/>
          <w:lang w:val="en-US" w:eastAsia="zh-Hans"/>
        </w:rPr>
        <w:t>北京证券交易所</w:t>
      </w:r>
      <w:r>
        <w:rPr>
          <w:rFonts w:hint="default"/>
          <w:color w:val="auto"/>
          <w:lang w:eastAsia="zh-Hans"/>
        </w:rPr>
        <w:t>、</w:t>
      </w:r>
      <w:r>
        <w:rPr>
          <w:rFonts w:hint="eastAsia"/>
          <w:color w:val="auto"/>
        </w:rPr>
        <w:t>广东股权交易中心的合作联系，</w:t>
      </w:r>
      <w:r>
        <w:rPr>
          <w:rFonts w:hint="eastAsia" w:ascii="仿宋_GB2312"/>
          <w:color w:val="auto"/>
        </w:rPr>
        <w:t>在现有广东股交中心汕尾服务中心的基础上成立企业上市培训基地</w:t>
      </w:r>
      <w:r>
        <w:rPr>
          <w:rFonts w:hint="eastAsia"/>
          <w:color w:val="auto"/>
        </w:rPr>
        <w:t>，</w:t>
      </w:r>
      <w:r>
        <w:rPr>
          <w:rFonts w:hint="eastAsia"/>
          <w:color w:val="auto"/>
          <w:lang w:val="en-US" w:eastAsia="zh-CN"/>
        </w:rPr>
        <w:t>深化与券商辅导机构合作，定期</w:t>
      </w:r>
      <w:r>
        <w:rPr>
          <w:rFonts w:hint="eastAsia"/>
          <w:color w:val="auto"/>
        </w:rPr>
        <w:t>聘请各大交易所专家开设资本市场专题讲座，对上市公司、拟上市公司的高管及政府部门业务骨干进行系统化的培训，帮助企业准确了解上市相关细则，及时掌握资本市场的发展情况和政策动向，提升企业对接资本市场的意识和能力。</w:t>
      </w:r>
      <w:r>
        <w:rPr>
          <w:rFonts w:hint="eastAsia"/>
          <w:color w:val="auto"/>
          <w:lang w:val="en-US" w:eastAsia="zh-CN"/>
        </w:rPr>
        <w:t>加强“小巨人”“专精特新”企业的培育力度，在产业细分领域发挥汕尾地区有行业优势的特色企业。同时，借助券商的资源，为汕尾企业提供更多融资机会。</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eastAsia="仿宋_GB2312"/>
          <w:color w:val="auto"/>
          <w:lang w:val="en-US" w:eastAsia="zh-CN"/>
        </w:rPr>
      </w:pPr>
      <w:bookmarkStart w:id="100" w:name="_Toc22235"/>
      <w:r>
        <w:rPr>
          <w:rFonts w:hint="eastAsia" w:ascii="楷体" w:hAnsi="楷体" w:eastAsia="楷体" w:cs="楷体"/>
          <w:b/>
          <w:bCs/>
          <w:color w:val="auto"/>
        </w:rPr>
        <w:t>全力推进企业股改上市</w:t>
      </w:r>
      <w:bookmarkEnd w:id="100"/>
      <w:r>
        <w:rPr>
          <w:rFonts w:hint="eastAsia" w:ascii="楷体" w:hAnsi="楷体" w:eastAsia="楷体" w:cs="楷体"/>
          <w:b/>
          <w:bCs/>
          <w:color w:val="auto"/>
          <w:lang w:eastAsia="zh-CN"/>
        </w:rPr>
        <w:t>。</w:t>
      </w:r>
      <w:r>
        <w:rPr>
          <w:rFonts w:hint="eastAsia"/>
          <w:color w:val="auto"/>
        </w:rPr>
        <w:t>大力推进“个转企、企入规、规转股、股上市”，分阶段培育做大企业。各县（市）区、开发区要对辖区内的规上企业因企施策，引导企业完善治理结构，建立现代企业制度，并鼓励企业引进各类战略投资者参与股份制改造。加强分类引导，把握资本市场改革开放机遇，多层次、多方式推进企业对接资本市场，坚持境内与境外上市并重，</w:t>
      </w:r>
      <w:r>
        <w:rPr>
          <w:rFonts w:hint="eastAsia"/>
          <w:color w:val="auto"/>
          <w:lang w:val="en-US" w:eastAsia="zh-CN"/>
        </w:rPr>
        <w:t>推动企业在</w:t>
      </w:r>
      <w:r>
        <w:rPr>
          <w:rFonts w:hint="eastAsia"/>
          <w:color w:val="auto"/>
        </w:rPr>
        <w:t>主板、中小板、创业板、科创板上市和</w:t>
      </w:r>
      <w:r>
        <w:rPr>
          <w:rFonts w:hint="eastAsia"/>
          <w:color w:val="auto"/>
          <w:lang w:val="en-US" w:eastAsia="zh-CN"/>
        </w:rPr>
        <w:t>北交所、</w:t>
      </w:r>
      <w:r>
        <w:rPr>
          <w:rFonts w:hint="eastAsia"/>
          <w:color w:val="auto"/>
        </w:rPr>
        <w:t>新三板、区域性股权</w:t>
      </w:r>
      <w:r>
        <w:rPr>
          <w:rFonts w:hint="eastAsia"/>
          <w:color w:val="auto"/>
          <w:lang w:val="en-US" w:eastAsia="zh-CN"/>
        </w:rPr>
        <w:t>市场以及境外证券交易所上市挂牌</w:t>
      </w:r>
      <w:r>
        <w:rPr>
          <w:rFonts w:hint="eastAsia"/>
          <w:color w:val="auto"/>
        </w:rPr>
        <w:t>，推动初创型、创新型企业在</w:t>
      </w:r>
      <w:r>
        <w:rPr>
          <w:rFonts w:hint="eastAsia"/>
          <w:color w:val="auto"/>
          <w:lang w:val="en-US" w:eastAsia="zh-CN"/>
        </w:rPr>
        <w:t>北交所、</w:t>
      </w:r>
      <w:r>
        <w:rPr>
          <w:rFonts w:hint="eastAsia"/>
          <w:color w:val="auto"/>
        </w:rPr>
        <w:t>新三板和区域性股权市场</w:t>
      </w:r>
      <w:r>
        <w:rPr>
          <w:rFonts w:hint="eastAsia"/>
          <w:color w:val="auto"/>
          <w:lang w:val="en-US" w:eastAsia="zh-CN"/>
        </w:rPr>
        <w:t>上市</w:t>
      </w:r>
      <w:r>
        <w:rPr>
          <w:rFonts w:hint="eastAsia"/>
          <w:color w:val="auto"/>
        </w:rPr>
        <w:t>挂牌。发挥各类金融机构促进作用，支持银行为拟上市企业提供信用贷款、并购贷款、贸易融资、票据贴现、发行债券等金融服务。</w:t>
      </w:r>
      <w:r>
        <w:rPr>
          <w:rFonts w:hint="eastAsia"/>
          <w:color w:val="auto"/>
          <w:lang w:val="en-US" w:eastAsia="zh-CN"/>
        </w:rPr>
        <w:t>积极推进“引企入汕上市工程”落地落实，多方努力招引产业融合度高的上市企业、拟上市企业及新三板企业落户汕尾，提高本地企业在资本市场的竞争力。</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1" w:name="_Toc4906"/>
      <w:r>
        <w:rPr>
          <w:rFonts w:hint="eastAsia" w:ascii="楷体" w:hAnsi="楷体" w:eastAsia="楷体" w:cs="楷体"/>
          <w:b/>
          <w:bCs/>
          <w:color w:val="auto"/>
        </w:rPr>
        <w:t>用好私募股权投资</w:t>
      </w:r>
      <w:bookmarkEnd w:id="101"/>
      <w:r>
        <w:rPr>
          <w:rFonts w:hint="eastAsia" w:ascii="楷体" w:hAnsi="楷体" w:eastAsia="楷体" w:cs="楷体"/>
          <w:b/>
          <w:bCs/>
          <w:color w:val="auto"/>
          <w:lang w:eastAsia="zh-CN"/>
        </w:rPr>
        <w:t>。</w:t>
      </w:r>
      <w:r>
        <w:rPr>
          <w:rFonts w:hint="eastAsia" w:ascii="仿宋_GB2312" w:hAnsi="仿宋_GB2312" w:cs="仿宋_GB2312"/>
          <w:b w:val="0"/>
          <w:bCs w:val="0"/>
          <w:color w:val="auto"/>
          <w:lang w:val="en-US" w:eastAsia="zh-CN"/>
        </w:rPr>
        <w:t>大力引导各类风险投资基金进驻汕尾开展业务，培育支持汕尾本地企业做大做强。</w:t>
      </w:r>
      <w:r>
        <w:rPr>
          <w:rFonts w:hint="eastAsia"/>
          <w:color w:val="auto"/>
        </w:rPr>
        <w:t>鼓励协助优秀企业前往深圳</w:t>
      </w:r>
      <w:r>
        <w:rPr>
          <w:color w:val="auto"/>
        </w:rPr>
        <w:fldChar w:fldCharType="begin"/>
      </w:r>
      <w:r>
        <w:rPr>
          <w:color w:val="auto"/>
        </w:rPr>
        <w:instrText xml:space="preserve"> HYPERLINK "https://www.sogou.com/link?url=DSOYnZeCC_pZGxjyGOPZ9IUJWL17bjYAAPJ2PFtiHCw." \t "https://www.sogou.com/_blank" </w:instrText>
      </w:r>
      <w:r>
        <w:rPr>
          <w:color w:val="auto"/>
        </w:rPr>
        <w:fldChar w:fldCharType="separate"/>
      </w:r>
      <w:r>
        <w:rPr>
          <w:rFonts w:hint="eastAsia"/>
          <w:color w:val="auto"/>
        </w:rPr>
        <w:t>前海深港基金小镇</w:t>
      </w:r>
      <w:r>
        <w:rPr>
          <w:rFonts w:hint="eastAsia"/>
          <w:color w:val="auto"/>
        </w:rPr>
        <w:fldChar w:fldCharType="end"/>
      </w:r>
      <w:r>
        <w:rPr>
          <w:rFonts w:hint="eastAsia"/>
          <w:color w:val="auto"/>
        </w:rPr>
        <w:t>、广州万博基金小镇、佛山千灯湖创投小镇、东莞松山湖基金小镇等省内私募基金聚集地区进行融资路演</w:t>
      </w:r>
      <w:r>
        <w:rPr>
          <w:rFonts w:hint="eastAsia"/>
          <w:color w:val="auto"/>
          <w:lang w:eastAsia="zh-CN"/>
        </w:rPr>
        <w:t>，</w:t>
      </w:r>
      <w:r>
        <w:rPr>
          <w:rFonts w:hint="eastAsia"/>
          <w:color w:val="auto"/>
          <w:lang w:val="en-US" w:eastAsia="zh-CN"/>
        </w:rPr>
        <w:t>扎实推动在广东股权交易中心挂牌企业获得股权投资，拓宽汕尾企业融资渠道</w:t>
      </w:r>
      <w:r>
        <w:rPr>
          <w:rFonts w:hint="eastAsia"/>
          <w:color w:val="auto"/>
        </w:rPr>
        <w:t>。</w:t>
      </w:r>
      <w:r>
        <w:rPr>
          <w:rFonts w:hint="eastAsia"/>
          <w:color w:val="auto"/>
          <w:lang w:val="en-US" w:eastAsia="zh-CN"/>
        </w:rPr>
        <w:t>围绕汕尾新区打造全市金融创投中心，</w:t>
      </w:r>
      <w:r>
        <w:rPr>
          <w:rFonts w:hint="eastAsia"/>
          <w:color w:val="auto"/>
        </w:rPr>
        <w:t>引导市内外私募投资机构积极参与汕尾企业股权融资、并购重组，帮助企业提升综合实力、做大业务规模。</w:t>
      </w:r>
    </w:p>
    <w:p>
      <w:pPr>
        <w:pStyle w:val="4"/>
        <w:spacing w:before="0" w:after="0"/>
        <w:outlineLvl w:val="1"/>
        <w:rPr>
          <w:color w:val="auto"/>
        </w:rPr>
      </w:pPr>
      <w:bookmarkStart w:id="102" w:name="_Toc11631"/>
      <w:bookmarkStart w:id="103" w:name="_Toc11918"/>
      <w:bookmarkStart w:id="104" w:name="_Toc10315"/>
      <w:r>
        <w:rPr>
          <w:rFonts w:hint="eastAsia"/>
          <w:color w:val="auto"/>
          <w:lang w:val="en-US" w:eastAsia="zh-CN"/>
        </w:rPr>
        <w:t xml:space="preserve">第四节 </w:t>
      </w:r>
      <w:r>
        <w:rPr>
          <w:rFonts w:hint="eastAsia"/>
          <w:color w:val="auto"/>
        </w:rPr>
        <w:t>打造政策性金融工具体系</w:t>
      </w:r>
      <w:bookmarkEnd w:id="102"/>
      <w:bookmarkEnd w:id="103"/>
      <w:bookmarkEnd w:id="104"/>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5" w:name="_Toc18370"/>
      <w:r>
        <w:rPr>
          <w:rFonts w:hint="eastAsia" w:ascii="楷体" w:hAnsi="楷体" w:eastAsia="楷体" w:cs="楷体"/>
          <w:b/>
          <w:bCs/>
          <w:color w:val="auto"/>
        </w:rPr>
        <w:t>提高政府引导基金效能</w:t>
      </w:r>
      <w:bookmarkEnd w:id="105"/>
      <w:r>
        <w:rPr>
          <w:rFonts w:hint="eastAsia" w:ascii="楷体" w:hAnsi="楷体" w:eastAsia="楷体" w:cs="楷体"/>
          <w:b/>
          <w:bCs/>
          <w:color w:val="auto"/>
          <w:lang w:eastAsia="zh-CN"/>
        </w:rPr>
        <w:t>。</w:t>
      </w:r>
      <w:r>
        <w:rPr>
          <w:rFonts w:hint="eastAsia"/>
          <w:color w:val="auto"/>
        </w:rPr>
        <w:t>充分发挥汕尾市产业发展投资基金引导作用，加强与省级产业基金对接，以直接股权投资、战略合作投资和设立专项子基金等方式，对全市产业发展战略、产业需求、资源禀赋等进行有效整合，引导金融资本和社会资本支持全市产业发展，推动全市传统优势产业、战略性新兴产业发展和重大改革项目落地。统筹推进产业发展投资基金“政策性”与“市场化”两个方面，</w:t>
      </w:r>
      <w:r>
        <w:rPr>
          <w:rFonts w:hint="eastAsia" w:ascii="仿宋_GB2312" w:hAnsi="仿宋_GB2312" w:cs="仿宋_GB2312"/>
          <w:color w:val="auto"/>
          <w:szCs w:val="40"/>
        </w:rPr>
        <w:t>积极引进基金公司设立子基金，</w:t>
      </w:r>
      <w:r>
        <w:rPr>
          <w:rFonts w:hint="eastAsia"/>
          <w:color w:val="auto"/>
        </w:rPr>
        <w:t>探索受托管理机构尽职免责机制，合理设置让利机制，进一步优化投资决策流程，进一步降低准入门槛，</w:t>
      </w:r>
      <w:r>
        <w:rPr>
          <w:rFonts w:hint="eastAsia" w:ascii="仿宋_GB2312" w:hAnsi="仿宋_GB2312" w:cs="仿宋_GB2312"/>
          <w:color w:val="auto"/>
          <w:szCs w:val="40"/>
        </w:rPr>
        <w:t>吸纳更多资本投放汕尾</w:t>
      </w:r>
      <w:r>
        <w:rPr>
          <w:rFonts w:hint="eastAsia"/>
          <w:color w:val="auto"/>
        </w:rPr>
        <w:t>。</w:t>
      </w:r>
      <w:r>
        <w:rPr>
          <w:rFonts w:hint="eastAsia"/>
          <w:color w:val="auto"/>
          <w:lang w:val="en-US" w:eastAsia="zh-CN"/>
        </w:rPr>
        <w:t>要从做大本地金融总量的角度出发，将资金存管在本市有资质的银行机构，强化资金管理和服务，发挥基金吸收资本的效能。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106" w:name="_Toc12825"/>
      <w:r>
        <w:rPr>
          <w:rFonts w:hint="eastAsia" w:ascii="楷体" w:hAnsi="楷体" w:eastAsia="楷体" w:cs="楷体"/>
          <w:b/>
          <w:bCs/>
          <w:color w:val="auto"/>
        </w:rPr>
        <w:t>完善中小微企业信贷风险补偿机制</w:t>
      </w:r>
      <w:bookmarkEnd w:id="106"/>
      <w:r>
        <w:rPr>
          <w:rFonts w:hint="eastAsia" w:ascii="楷体" w:hAnsi="楷体" w:eastAsia="楷体" w:cs="楷体"/>
          <w:b/>
          <w:bCs/>
          <w:color w:val="auto"/>
          <w:lang w:eastAsia="zh-CN"/>
        </w:rPr>
        <w:t>。</w:t>
      </w:r>
      <w:r>
        <w:rPr>
          <w:rFonts w:hint="eastAsia"/>
          <w:color w:val="auto"/>
        </w:rPr>
        <w:t>搭建多层次政策性融资担保体系。按照“市、县（区）政府联合出资，政策性定位、市场化运作”经营原则，接入国家融资担保基金和省再担保，推动市小微企业信用保证基金规范运作，形成“1+1+1+N”</w:t>
      </w:r>
      <w:r>
        <w:rPr>
          <w:rStyle w:val="34"/>
          <w:rFonts w:hint="eastAsia"/>
          <w:color w:val="auto"/>
        </w:rPr>
        <w:footnoteReference w:id="0"/>
      </w:r>
      <w:r>
        <w:rPr>
          <w:rFonts w:hint="eastAsia"/>
          <w:color w:val="auto"/>
        </w:rPr>
        <w:t>多层次政策性融资担保体系，打造“汕尾特色”融资担保新模式。推动市小微企业信用保证基金合理放大融资担保倍数，优先支持符合国家产业政策导向、地方政府扶持的行业或群体中的小微企业、个体工商户、农户，给予单家企业最高1000万元的担保额度。</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7" w:name="_Toc21006"/>
      <w:r>
        <w:rPr>
          <w:rFonts w:hint="eastAsia" w:ascii="楷体" w:hAnsi="楷体" w:eastAsia="楷体" w:cs="楷体"/>
          <w:b/>
          <w:bCs/>
          <w:color w:val="auto"/>
        </w:rPr>
        <w:t>提升中小微企业续贷效率</w:t>
      </w:r>
      <w:bookmarkEnd w:id="107"/>
      <w:r>
        <w:rPr>
          <w:rFonts w:hint="eastAsia" w:ascii="楷体" w:hAnsi="楷体" w:eastAsia="楷体" w:cs="楷体"/>
          <w:b/>
          <w:bCs/>
          <w:color w:val="auto"/>
          <w:lang w:eastAsia="zh-CN"/>
        </w:rPr>
        <w:t>。</w:t>
      </w:r>
      <w:r>
        <w:rPr>
          <w:rFonts w:hint="eastAsia"/>
          <w:color w:val="auto"/>
        </w:rPr>
        <w:t>按照“自愿选择、安全第一、专项专用、封闭运作、循环高效”原则，发挥市中小微企业融资专项资金作用，为符合银行信贷条件、还贷出现暂时困难的中小微企业按期还贷、续贷提供短期周转资金，提升资金风险管理能力，确保资金安全，稳步做大融资规模。</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8" w:name="_Toc27058"/>
      <w:r>
        <w:rPr>
          <w:rFonts w:hint="eastAsia" w:ascii="楷体" w:hAnsi="楷体" w:eastAsia="楷体" w:cs="楷体"/>
          <w:b/>
          <w:bCs/>
          <w:color w:val="auto"/>
        </w:rPr>
        <w:t>用足用活货币信贷政策</w:t>
      </w:r>
      <w:bookmarkEnd w:id="108"/>
      <w:r>
        <w:rPr>
          <w:rFonts w:hint="eastAsia" w:ascii="楷体" w:hAnsi="楷体" w:eastAsia="楷体" w:cs="楷体"/>
          <w:b/>
          <w:bCs/>
          <w:color w:val="auto"/>
          <w:lang w:eastAsia="zh-CN"/>
        </w:rPr>
        <w:t>。</w:t>
      </w:r>
      <w:r>
        <w:rPr>
          <w:rFonts w:hint="eastAsia"/>
          <w:color w:val="auto"/>
        </w:rPr>
        <w:t>引导金融机构积极申请使用支农再贷款、支小再贷款、扶贫再贷款，用好存款准备金降准释放资金，加大对小微企业和民营企业、“三农”、乡村振兴等领域的金融支持。地方法人银行要运用好再贷款资金，加大自有资金支持力度，促进加大中小微企业信贷投放。引导金融机构用好中小微企业贷款延期支持工具和普惠小微企业信用贷款支持计划等政策，鼓励金融机构在市场化、商业化原则下做到“应延尽延”，实施阶段性延期还本付息，缓解小微企业还贷压力。</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9" w:name="_Toc16114"/>
      <w:r>
        <w:rPr>
          <w:rFonts w:hint="eastAsia" w:ascii="楷体" w:hAnsi="楷体" w:eastAsia="楷体" w:cs="楷体"/>
          <w:b/>
          <w:bCs/>
          <w:color w:val="auto"/>
        </w:rPr>
        <w:t>完善银行机构评价激励机制</w:t>
      </w:r>
      <w:bookmarkEnd w:id="109"/>
      <w:r>
        <w:rPr>
          <w:rFonts w:hint="eastAsia" w:ascii="楷体" w:hAnsi="楷体" w:eastAsia="楷体" w:cs="楷体"/>
          <w:b/>
          <w:bCs/>
          <w:color w:val="auto"/>
          <w:lang w:eastAsia="zh-CN"/>
        </w:rPr>
        <w:t>。</w:t>
      </w:r>
      <w:r>
        <w:rPr>
          <w:rFonts w:hint="eastAsia"/>
          <w:color w:val="auto"/>
        </w:rPr>
        <w:t>实施《汕尾市银行业金融机构评价激励办法（试行）》，优化信贷结构，加大银行机构支持地方经济力度和广度，以行政事业单位财政性存款（大额）、市属国有企业存款（大额）、住房公积金存款、财政专户存款的分存额度为手段，对各商业银行存贷比、存贷款余额、税收贡献等各项指标完成情况进行考评，引导商业银行信贷资金有针对性地流向小微企业、制造业和涉农等领域，推进获得信贷便利化，提高贷款覆盖率，进一步优化汕尾营商环境，促进全市经济金融良性互动、健康发展。</w:t>
      </w:r>
    </w:p>
    <w:p>
      <w:pPr>
        <w:pStyle w:val="4"/>
        <w:spacing w:before="0" w:after="0"/>
        <w:outlineLvl w:val="1"/>
        <w:rPr>
          <w:color w:val="auto"/>
        </w:rPr>
      </w:pPr>
      <w:bookmarkStart w:id="110" w:name="_Toc24682"/>
      <w:bookmarkStart w:id="111" w:name="_Toc8858"/>
      <w:bookmarkStart w:id="112" w:name="_Toc3606"/>
      <w:r>
        <w:rPr>
          <w:rFonts w:hint="eastAsia"/>
          <w:color w:val="auto"/>
          <w:lang w:val="en-US" w:eastAsia="zh-CN"/>
        </w:rPr>
        <w:t xml:space="preserve">第五节 </w:t>
      </w:r>
      <w:r>
        <w:rPr>
          <w:rFonts w:hint="eastAsia"/>
          <w:color w:val="auto"/>
        </w:rPr>
        <w:t>健全地方金融监管体系</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13" w:name="_Toc26010"/>
      <w:r>
        <w:rPr>
          <w:rFonts w:hint="eastAsia" w:ascii="楷体" w:hAnsi="楷体" w:eastAsia="楷体" w:cs="楷体"/>
          <w:b/>
          <w:bCs/>
          <w:color w:val="auto"/>
        </w:rPr>
        <w:t>完善金融稳定协调机制</w:t>
      </w:r>
      <w:bookmarkEnd w:id="113"/>
      <w:r>
        <w:rPr>
          <w:rFonts w:hint="eastAsia" w:ascii="楷体" w:hAnsi="楷体" w:eastAsia="楷体" w:cs="楷体"/>
          <w:b/>
          <w:bCs/>
          <w:color w:val="auto"/>
          <w:lang w:eastAsia="zh-CN"/>
        </w:rPr>
        <w:t>。</w:t>
      </w:r>
      <w:r>
        <w:rPr>
          <w:rFonts w:hint="eastAsia"/>
          <w:color w:val="auto"/>
        </w:rPr>
        <w:t>建立和完善金融突发事件应急和风险处置长效机制。构建地方政府、监管部门、金融机构共同参与的金融运行研判协调机制，深化金融与公安局、检察院、法院的协作力度，定期或不定期召开研判风险会议，集中开展涉金融领域犯罪专项整治活动，有效研判和防范化解地方金融风险。</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14" w:name="_Toc18979"/>
      <w:r>
        <w:rPr>
          <w:rFonts w:hint="eastAsia" w:ascii="楷体" w:hAnsi="楷体" w:eastAsia="楷体" w:cs="楷体"/>
          <w:b/>
          <w:bCs/>
          <w:color w:val="auto"/>
        </w:rPr>
        <w:t>强化央地金融监管协同共享联动</w:t>
      </w:r>
      <w:bookmarkEnd w:id="114"/>
      <w:r>
        <w:rPr>
          <w:rFonts w:hint="eastAsia" w:ascii="楷体" w:hAnsi="楷体" w:eastAsia="楷体" w:cs="楷体"/>
          <w:b/>
          <w:bCs/>
          <w:color w:val="auto"/>
          <w:lang w:eastAsia="zh-CN"/>
        </w:rPr>
        <w:t>。</w:t>
      </w:r>
      <w:r>
        <w:rPr>
          <w:rFonts w:hint="eastAsia"/>
          <w:color w:val="auto"/>
        </w:rPr>
        <w:t>发挥汕尾金融工作局的协调作用，贯彻落实国家金融监管政策，支持派驻汕尾的金融监管部门贯彻执行宏观金融政策、开展金融监管，维护本地区金融稳定。加强地方金融监管部门、金融行业监管部门、驻汕金融机构的沟通联系和跨界协同监管，加强对小额贷款公司、融资性担保公司、典当行等“7+4”新兴金融业态的监管。强化金融行业自律监管，充分发挥各金融行业协会的自律、维权、协调、服务作用。</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eastAsia="宋体"/>
          <w:color w:val="auto"/>
          <w:lang w:eastAsia="zh-CN"/>
        </w:rPr>
      </w:pPr>
      <w:bookmarkStart w:id="115" w:name="_Toc28057"/>
      <w:r>
        <w:rPr>
          <w:rFonts w:hint="eastAsia" w:ascii="楷体" w:hAnsi="楷体" w:eastAsia="楷体" w:cs="楷体"/>
          <w:b/>
          <w:bCs/>
          <w:color w:val="auto"/>
        </w:rPr>
        <w:t>强化地方金融监管能力建设</w:t>
      </w:r>
      <w:bookmarkEnd w:id="115"/>
      <w:r>
        <w:rPr>
          <w:rFonts w:hint="eastAsia" w:ascii="楷体" w:hAnsi="楷体" w:eastAsia="楷体" w:cs="楷体"/>
          <w:b/>
          <w:bCs/>
          <w:color w:val="auto"/>
          <w:lang w:eastAsia="zh-CN"/>
        </w:rPr>
        <w:t>。</w:t>
      </w:r>
      <w:r>
        <w:rPr>
          <w:rFonts w:hint="eastAsia"/>
          <w:color w:val="auto"/>
        </w:rPr>
        <w:t>进一步完善市金融局机构设置，合理配置内设机构，充实金融专业人才。落实县级金融工作部门职能，明确事权，配齐配强专职人员，增加一线监管力量。支持举办市、县（市、区）两级地方金融监管队伍系列培训，提高监管队伍金融知识水平和执行效率。</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b w:val="0"/>
          <w:bCs/>
          <w:color w:val="auto"/>
        </w:rPr>
      </w:pPr>
      <w:bookmarkStart w:id="116" w:name="_Toc17143"/>
      <w:bookmarkStart w:id="117" w:name="_Toc19204"/>
      <w:r>
        <w:rPr>
          <w:rFonts w:hint="eastAsia" w:ascii="楷体" w:hAnsi="楷体" w:eastAsia="楷体" w:cs="楷体"/>
          <w:b/>
          <w:bCs/>
          <w:color w:val="auto"/>
          <w:lang w:eastAsia="zh-CN"/>
        </w:rPr>
        <w:t>充分利用科技赋能金融监管</w:t>
      </w:r>
      <w:bookmarkEnd w:id="116"/>
      <w:r>
        <w:rPr>
          <w:rFonts w:hint="eastAsia" w:ascii="楷体" w:hAnsi="楷体" w:eastAsia="楷体" w:cs="楷体"/>
          <w:b/>
          <w:bCs/>
          <w:color w:val="auto"/>
          <w:lang w:eastAsia="zh-CN"/>
        </w:rPr>
        <w:t>。</w:t>
      </w:r>
      <w:r>
        <w:rPr>
          <w:rFonts w:hint="eastAsia"/>
          <w:b w:val="0"/>
          <w:bCs/>
          <w:color w:val="auto"/>
          <w:lang w:val="en-US" w:eastAsia="zh-CN"/>
        </w:rPr>
        <w:t>加强监测预警，增强金融科技监管渗透深度和广度。</w:t>
      </w:r>
      <w:r>
        <w:rPr>
          <w:rFonts w:hint="eastAsia"/>
          <w:b w:val="0"/>
          <w:bCs/>
          <w:color w:val="auto"/>
        </w:rPr>
        <w:t>依托广东省地方金融风险监测防控中心（金鹰系统），对接互联网大数据库，利用大数据挖掘和人工智能分析等科技手段，</w:t>
      </w:r>
      <w:r>
        <w:rPr>
          <w:rFonts w:hint="eastAsia"/>
          <w:b w:val="0"/>
          <w:bCs/>
          <w:color w:val="auto"/>
          <w:lang w:val="en-US" w:eastAsia="zh-CN"/>
        </w:rPr>
        <w:t>及时分析研判风险，</w:t>
      </w:r>
      <w:r>
        <w:rPr>
          <w:rFonts w:hint="eastAsia"/>
          <w:b w:val="0"/>
          <w:bCs/>
          <w:color w:val="auto"/>
        </w:rPr>
        <w:t>实现对全市“7+4”等地方类金融机构的非现场监管，</w:t>
      </w:r>
      <w:r>
        <w:rPr>
          <w:rFonts w:hint="eastAsia"/>
          <w:b w:val="0"/>
          <w:bCs/>
          <w:color w:val="auto"/>
          <w:lang w:val="en-US" w:eastAsia="zh-CN"/>
        </w:rPr>
        <w:t>加快</w:t>
      </w:r>
      <w:r>
        <w:rPr>
          <w:rFonts w:hint="eastAsia"/>
          <w:b w:val="0"/>
          <w:bCs/>
          <w:color w:val="auto"/>
        </w:rPr>
        <w:t>对非法金融活动的主动发现与精准定性，</w:t>
      </w:r>
      <w:r>
        <w:rPr>
          <w:rFonts w:hint="eastAsia"/>
          <w:b w:val="0"/>
          <w:bCs/>
          <w:color w:val="auto"/>
          <w:lang w:val="en-US" w:eastAsia="zh-CN"/>
        </w:rPr>
        <w:t>及时分析研判风险，</w:t>
      </w:r>
      <w:r>
        <w:rPr>
          <w:rFonts w:hint="eastAsia"/>
          <w:b w:val="0"/>
          <w:bCs/>
          <w:color w:val="auto"/>
        </w:rPr>
        <w:t>加大非法金融活动防范打击力度。</w:t>
      </w:r>
      <w:bookmarkEnd w:id="117"/>
      <w:bookmarkStart w:id="118" w:name="_Toc19355"/>
      <w:bookmarkStart w:id="119" w:name="_Toc10957"/>
      <w:bookmarkStart w:id="120" w:name="_Toc23770"/>
    </w:p>
    <w:p>
      <w:pPr>
        <w:pStyle w:val="2"/>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rPr>
        <w:t>第</w:t>
      </w:r>
      <w:r>
        <w:rPr>
          <w:rFonts w:hint="eastAsia" w:ascii="方正小标宋简体" w:hAnsi="方正小标宋简体" w:eastAsia="方正小标宋简体" w:cs="方正小标宋简体"/>
          <w:b/>
          <w:bCs/>
          <w:color w:val="auto"/>
          <w:sz w:val="36"/>
          <w:szCs w:val="36"/>
          <w:lang w:val="en-US" w:eastAsia="zh-CN"/>
        </w:rPr>
        <w:t>四</w:t>
      </w:r>
      <w:r>
        <w:rPr>
          <w:rFonts w:hint="eastAsia" w:ascii="方正小标宋简体" w:hAnsi="方正小标宋简体" w:eastAsia="方正小标宋简体" w:cs="方正小标宋简体"/>
          <w:b/>
          <w:bCs/>
          <w:color w:val="auto"/>
          <w:sz w:val="36"/>
          <w:szCs w:val="36"/>
        </w:rPr>
        <w:t xml:space="preserve">章 </w:t>
      </w:r>
      <w:r>
        <w:rPr>
          <w:rFonts w:hint="eastAsia" w:ascii="方正小标宋简体" w:hAnsi="方正小标宋简体" w:eastAsia="方正小标宋简体" w:cs="方正小标宋简体"/>
          <w:b/>
          <w:bCs/>
          <w:color w:val="auto"/>
          <w:sz w:val="36"/>
          <w:szCs w:val="36"/>
          <w:lang w:val="en-US" w:eastAsia="zh-CN"/>
        </w:rPr>
        <w:t>全</w:t>
      </w:r>
      <w:r>
        <w:rPr>
          <w:rFonts w:hint="eastAsia" w:ascii="方正小标宋简体" w:hAnsi="方正小标宋简体" w:eastAsia="方正小标宋简体" w:cs="方正小标宋简体"/>
          <w:b/>
          <w:bCs/>
          <w:color w:val="auto"/>
          <w:sz w:val="36"/>
          <w:szCs w:val="36"/>
        </w:rPr>
        <w:t>力发展普惠金融</w:t>
      </w:r>
      <w:bookmarkEnd w:id="118"/>
      <w:bookmarkEnd w:id="119"/>
      <w:r>
        <w:rPr>
          <w:rFonts w:hint="eastAsia" w:ascii="方正小标宋简体" w:hAnsi="方正小标宋简体" w:eastAsia="方正小标宋简体" w:cs="方正小标宋简体"/>
          <w:b/>
          <w:bCs/>
          <w:color w:val="auto"/>
          <w:sz w:val="36"/>
          <w:szCs w:val="36"/>
          <w:lang w:eastAsia="zh-CN"/>
        </w:rPr>
        <w:t>，</w:t>
      </w:r>
      <w:r>
        <w:rPr>
          <w:rFonts w:hint="eastAsia" w:ascii="方正小标宋简体" w:hAnsi="方正小标宋简体" w:eastAsia="方正小标宋简体" w:cs="方正小标宋简体"/>
          <w:b/>
          <w:bCs/>
          <w:color w:val="auto"/>
          <w:sz w:val="36"/>
          <w:szCs w:val="36"/>
          <w:lang w:val="en-US" w:eastAsia="zh-CN"/>
        </w:rPr>
        <w:t>增强实体经济服务质效</w:t>
      </w:r>
      <w:bookmarkEnd w:id="120"/>
    </w:p>
    <w:p>
      <w:pPr>
        <w:pStyle w:val="4"/>
        <w:spacing w:before="0" w:after="0"/>
        <w:rPr>
          <w:rFonts w:hint="eastAsia" w:eastAsia="黑体"/>
          <w:color w:val="auto"/>
          <w:lang w:val="en-US" w:eastAsia="zh-CN"/>
        </w:rPr>
      </w:pPr>
      <w:bookmarkStart w:id="121" w:name="_Toc1517"/>
      <w:bookmarkStart w:id="122" w:name="_Toc30411"/>
      <w:bookmarkStart w:id="123" w:name="_Toc11812"/>
      <w:r>
        <w:rPr>
          <w:rFonts w:hint="eastAsia"/>
          <w:b/>
          <w:bCs w:val="0"/>
          <w:color w:val="auto"/>
        </w:rPr>
        <w:t xml:space="preserve">第一节 </w:t>
      </w:r>
      <w:bookmarkEnd w:id="121"/>
      <w:bookmarkEnd w:id="122"/>
      <w:r>
        <w:rPr>
          <w:rFonts w:hint="eastAsia"/>
          <w:b/>
          <w:bCs w:val="0"/>
          <w:color w:val="auto"/>
        </w:rPr>
        <w:fldChar w:fldCharType="begin"/>
      </w:r>
      <w:r>
        <w:rPr>
          <w:rFonts w:hint="eastAsia"/>
          <w:b/>
          <w:bCs w:val="0"/>
          <w:color w:val="auto"/>
        </w:rPr>
        <w:instrText xml:space="preserve"> HYPERLINK "http://mp.weixin.qq.com/s?src=11&amp;timestamp=1633924075&amp;ver=3367&amp;signature=*pNmDphIBojJKLbI-wXSUlTOgHmZ1*Wgl6DnxfpjScx0EZoDsAxAerL4QiTcJAY7V-RtWkyZrmwAwxiBhDAcNOABsGe2Ow0usy12E6btSYjyCk4y3u6gIvcN*AgQ079v&amp;new=1" \t "https://www.sogou.com/_blank" </w:instrText>
      </w:r>
      <w:r>
        <w:rPr>
          <w:rFonts w:hint="eastAsia"/>
          <w:b/>
          <w:bCs w:val="0"/>
          <w:color w:val="auto"/>
        </w:rPr>
        <w:fldChar w:fldCharType="separate"/>
      </w:r>
      <w:r>
        <w:rPr>
          <w:rFonts w:hint="eastAsia"/>
          <w:b/>
          <w:bCs w:val="0"/>
          <w:color w:val="auto"/>
        </w:rPr>
        <w:t>加大对小微企业的金融支持力度</w:t>
      </w:r>
      <w:r>
        <w:rPr>
          <w:rFonts w:hint="eastAsia"/>
          <w:b/>
          <w:bCs w:val="0"/>
          <w:color w:val="auto"/>
        </w:rPr>
        <w:fldChar w:fldCharType="end"/>
      </w:r>
      <w:bookmarkEnd w:id="123"/>
    </w:p>
    <w:p>
      <w:pPr>
        <w:keepNext w:val="0"/>
        <w:keepLines w:val="0"/>
        <w:pageBreakBefore w:val="0"/>
        <w:widowControl w:val="0"/>
        <w:kinsoku/>
        <w:wordWrap/>
        <w:overflowPunct/>
        <w:topLinePunct w:val="0"/>
        <w:autoSpaceDE/>
        <w:autoSpaceDN/>
        <w:bidi w:val="0"/>
        <w:adjustRightInd/>
        <w:snapToGrid/>
        <w:spacing w:line="360" w:lineRule="auto"/>
        <w:ind w:firstLine="643"/>
        <w:textAlignment w:val="auto"/>
        <w:outlineLvl w:val="9"/>
        <w:rPr>
          <w:rFonts w:hint="eastAsia"/>
          <w:b/>
          <w:color w:val="auto"/>
        </w:rPr>
      </w:pPr>
      <w:bookmarkStart w:id="124" w:name="_Toc7515"/>
      <w:r>
        <w:rPr>
          <w:rStyle w:val="44"/>
          <w:color w:val="auto"/>
        </w:rPr>
        <w:t>落实“两增两控”</w:t>
      </w:r>
      <w:bookmarkEnd w:id="124"/>
      <w:r>
        <w:rPr>
          <w:rStyle w:val="44"/>
          <w:color w:val="auto"/>
        </w:rPr>
        <w:t>考核要求</w:t>
      </w:r>
      <w:r>
        <w:rPr>
          <w:rFonts w:hint="default" w:ascii="仿宋_GB2312" w:hAnsi="仿宋_GB2312" w:cs="仿宋_GB2312"/>
          <w:b/>
          <w:color w:val="auto"/>
          <w:lang w:eastAsia="zh-Hans"/>
        </w:rPr>
        <w:t>。</w:t>
      </w:r>
      <w:r>
        <w:rPr>
          <w:rFonts w:hint="eastAsia" w:ascii="仿宋_GB2312" w:hAnsi="仿宋_GB2312" w:cs="仿宋_GB2312"/>
          <w:b w:val="0"/>
          <w:bCs/>
          <w:color w:val="auto"/>
          <w:lang w:val="en-US" w:eastAsia="zh-CN"/>
        </w:rPr>
        <w:t>督促引导银行机构</w:t>
      </w:r>
      <w:r>
        <w:rPr>
          <w:rFonts w:hint="default" w:ascii="仿宋_GB2312" w:hAnsi="仿宋_GB2312" w:cs="仿宋_GB2312"/>
          <w:b w:val="0"/>
          <w:bCs/>
          <w:color w:val="auto"/>
          <w:lang w:eastAsia="zh-Hans"/>
        </w:rPr>
        <w:t>继续落实“两增两控”考核要求，要求商业银行小微企业贷款的同比增速不低于各项贷款的同比增速，对小微企业贷款的客户数要不低于去年同期</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引导银行机构创新信贷产品，落实尽职免责措施，调动各方积极性，</w:t>
      </w:r>
      <w:r>
        <w:rPr>
          <w:rFonts w:hint="eastAsia"/>
          <w:color w:val="auto"/>
          <w:lang w:val="en-US" w:eastAsia="zh-Hans"/>
        </w:rPr>
        <w:t>加强普惠性小微企业首贷</w:t>
      </w:r>
      <w:r>
        <w:rPr>
          <w:rFonts w:hint="default"/>
          <w:color w:val="auto"/>
          <w:lang w:eastAsia="zh-Hans"/>
        </w:rPr>
        <w:t>、</w:t>
      </w:r>
      <w:r>
        <w:rPr>
          <w:rFonts w:hint="eastAsia"/>
          <w:color w:val="auto"/>
          <w:lang w:val="en-US" w:eastAsia="zh-Hans"/>
        </w:rPr>
        <w:t>续贷</w:t>
      </w:r>
      <w:r>
        <w:rPr>
          <w:rFonts w:hint="default"/>
          <w:color w:val="auto"/>
          <w:lang w:eastAsia="zh-Hans"/>
        </w:rPr>
        <w:t>、</w:t>
      </w:r>
      <w:r>
        <w:rPr>
          <w:rFonts w:hint="eastAsia"/>
          <w:color w:val="auto"/>
          <w:lang w:val="en-US" w:eastAsia="zh-Hans"/>
        </w:rPr>
        <w:t>信用贷款投放力度</w:t>
      </w:r>
      <w:r>
        <w:rPr>
          <w:rFonts w:hint="default"/>
          <w:color w:val="auto"/>
          <w:lang w:eastAsia="zh-Hans"/>
        </w:rPr>
        <w:t>，</w:t>
      </w:r>
      <w:r>
        <w:rPr>
          <w:rFonts w:hint="default" w:ascii="仿宋_GB2312" w:hAnsi="仿宋_GB2312" w:cs="仿宋_GB2312"/>
          <w:b w:val="0"/>
          <w:bCs/>
          <w:color w:val="auto"/>
          <w:lang w:eastAsia="zh-Hans"/>
        </w:rPr>
        <w:t>增加信用贷款，确保小微企业综合融资成本合理的下降，健全“敢贷、能贷、会贷”机制</w:t>
      </w:r>
      <w:r>
        <w:rPr>
          <w:rFonts w:hint="default"/>
          <w:color w:val="auto"/>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color w:val="auto"/>
        </w:rPr>
      </w:pPr>
      <w:r>
        <w:rPr>
          <w:rStyle w:val="44"/>
          <w:color w:val="auto"/>
        </w:rPr>
        <w:t>推动金融</w:t>
      </w:r>
      <w:r>
        <w:rPr>
          <w:rStyle w:val="44"/>
          <w:rFonts w:hint="eastAsia" w:eastAsia="楷体"/>
          <w:color w:val="auto"/>
          <w:lang w:eastAsia="zh-CN"/>
        </w:rPr>
        <w:t>、</w:t>
      </w:r>
      <w:r>
        <w:rPr>
          <w:rStyle w:val="44"/>
          <w:color w:val="auto"/>
        </w:rPr>
        <w:t>财政</w:t>
      </w:r>
      <w:r>
        <w:rPr>
          <w:rStyle w:val="44"/>
          <w:rFonts w:hint="eastAsia" w:eastAsia="楷体"/>
          <w:color w:val="auto"/>
          <w:lang w:eastAsia="zh-CN"/>
        </w:rPr>
        <w:t>、</w:t>
      </w:r>
      <w:r>
        <w:rPr>
          <w:rStyle w:val="44"/>
          <w:rFonts w:hint="eastAsia" w:eastAsia="楷体"/>
          <w:color w:val="auto"/>
          <w:lang w:val="en-US" w:eastAsia="zh-CN"/>
        </w:rPr>
        <w:t>产业政策</w:t>
      </w:r>
      <w:r>
        <w:rPr>
          <w:rStyle w:val="44"/>
          <w:color w:val="auto"/>
        </w:rPr>
        <w:t>有效联动</w:t>
      </w:r>
      <w:r>
        <w:rPr>
          <w:rFonts w:hint="eastAsia" w:ascii="楷体" w:hAnsi="楷体" w:eastAsia="楷体" w:cs="楷体"/>
          <w:b/>
          <w:bCs/>
          <w:color w:val="auto"/>
          <w:lang w:eastAsia="zh-CN"/>
        </w:rPr>
        <w:t>。</w:t>
      </w:r>
      <w:r>
        <w:rPr>
          <w:rFonts w:hint="eastAsia"/>
          <w:color w:val="auto"/>
        </w:rPr>
        <w:t>充分发挥</w:t>
      </w:r>
      <w:r>
        <w:rPr>
          <w:rFonts w:hint="eastAsia"/>
          <w:color w:val="auto"/>
          <w:lang w:val="en-US" w:eastAsia="zh-CN"/>
        </w:rPr>
        <w:t>政府产业发展投资基金、</w:t>
      </w:r>
      <w:r>
        <w:rPr>
          <w:rFonts w:hint="eastAsia"/>
          <w:color w:val="auto"/>
        </w:rPr>
        <w:t>信保基金</w:t>
      </w:r>
      <w:r>
        <w:rPr>
          <w:rFonts w:hint="eastAsia"/>
          <w:color w:val="auto"/>
          <w:lang w:eastAsia="zh-CN"/>
        </w:rPr>
        <w:t>、</w:t>
      </w:r>
      <w:r>
        <w:rPr>
          <w:rFonts w:hint="eastAsia"/>
          <w:color w:val="auto"/>
          <w:lang w:val="en-US" w:eastAsia="zh-CN"/>
        </w:rPr>
        <w:t>企业</w:t>
      </w:r>
      <w:r>
        <w:rPr>
          <w:rFonts w:hint="eastAsia"/>
          <w:color w:val="auto"/>
        </w:rPr>
        <w:t>融资专项资金</w:t>
      </w:r>
      <w:r>
        <w:rPr>
          <w:rFonts w:hint="eastAsia"/>
          <w:color w:val="auto"/>
          <w:lang w:val="en-US" w:eastAsia="zh-CN"/>
        </w:rPr>
        <w:t>、各类风险补偿资金和财政贴息的</w:t>
      </w:r>
      <w:r>
        <w:rPr>
          <w:rFonts w:hint="eastAsia"/>
          <w:color w:val="auto"/>
        </w:rPr>
        <w:t>作用，进一步加强财政政策、金融政策与产业政策协同配合，</w:t>
      </w:r>
      <w:r>
        <w:rPr>
          <w:rFonts w:hint="eastAsia"/>
          <w:color w:val="auto"/>
          <w:lang w:val="en-US" w:eastAsia="zh-CN"/>
        </w:rPr>
        <w:t>推动</w:t>
      </w:r>
      <w:r>
        <w:rPr>
          <w:rFonts w:hint="eastAsia"/>
          <w:color w:val="auto"/>
        </w:rPr>
        <w:t>财政部门做好资金保障和管理工作、金融管理部门发挥金融行业指导和管理作用、行业主管部门积极将财政金融工具融入行业发展支持政策，</w:t>
      </w:r>
      <w:r>
        <w:rPr>
          <w:rFonts w:hint="eastAsia"/>
          <w:color w:val="auto"/>
          <w:lang w:val="en-US" w:eastAsia="zh-CN"/>
        </w:rPr>
        <w:t>引导更多金融</w:t>
      </w:r>
      <w:r>
        <w:rPr>
          <w:rFonts w:hint="eastAsia"/>
          <w:color w:val="auto"/>
        </w:rPr>
        <w:t>资源配置到经济社会发展的重点领域和薄弱环节。</w:t>
      </w:r>
    </w:p>
    <w:p>
      <w:pPr>
        <w:rPr>
          <w:rFonts w:hint="eastAsia"/>
          <w:color w:val="auto"/>
        </w:rPr>
      </w:pPr>
      <w:bookmarkStart w:id="125" w:name="_Toc24208"/>
      <w:r>
        <w:rPr>
          <w:rFonts w:hint="eastAsia" w:ascii="楷体" w:hAnsi="楷体" w:eastAsia="楷体" w:cs="楷体"/>
          <w:b/>
          <w:color w:val="auto"/>
        </w:rPr>
        <w:t>创新</w:t>
      </w:r>
      <w:r>
        <w:rPr>
          <w:rFonts w:hint="eastAsia" w:ascii="楷体" w:hAnsi="楷体" w:eastAsia="楷体" w:cs="楷体"/>
          <w:b/>
          <w:color w:val="auto"/>
          <w:lang w:val="en-US" w:eastAsia="zh-Hans"/>
        </w:rPr>
        <w:t>普惠</w:t>
      </w:r>
      <w:r>
        <w:rPr>
          <w:rFonts w:hint="eastAsia" w:ascii="楷体" w:hAnsi="楷体" w:eastAsia="楷体" w:cs="楷体"/>
          <w:b/>
          <w:color w:val="auto"/>
        </w:rPr>
        <w:t>金融产品</w:t>
      </w:r>
      <w:r>
        <w:rPr>
          <w:rFonts w:hint="default" w:ascii="楷体" w:hAnsi="楷体" w:eastAsia="楷体" w:cs="楷体"/>
          <w:b/>
          <w:color w:val="auto"/>
        </w:rPr>
        <w:t>。</w:t>
      </w:r>
      <w:r>
        <w:rPr>
          <w:rFonts w:hint="eastAsia" w:ascii="仿宋_GB2312" w:hAnsi="仿宋_GB2312" w:cs="仿宋_GB2312"/>
          <w:color w:val="auto"/>
          <w:szCs w:val="40"/>
        </w:rPr>
        <w:t>聚焦小微企业融资需求，</w:t>
      </w:r>
      <w:r>
        <w:rPr>
          <w:rFonts w:hint="eastAsia" w:ascii="仿宋_GB2312" w:hAnsi="仿宋_GB2312" w:cs="仿宋_GB2312"/>
          <w:color w:val="auto"/>
          <w:szCs w:val="40"/>
          <w:lang w:val="en-US" w:eastAsia="zh-Hans"/>
        </w:rPr>
        <w:t>引导</w:t>
      </w:r>
      <w:r>
        <w:rPr>
          <w:rFonts w:hint="eastAsia"/>
          <w:color w:val="auto"/>
        </w:rPr>
        <w:t>银</w:t>
      </w:r>
      <w:r>
        <w:rPr>
          <w:rFonts w:hint="eastAsia" w:ascii="仿宋_GB2312" w:hAnsi="黑体"/>
          <w:color w:val="auto"/>
          <w:szCs w:val="32"/>
        </w:rPr>
        <w:t>行业金融机构</w:t>
      </w:r>
      <w:r>
        <w:rPr>
          <w:rFonts w:hint="eastAsia"/>
          <w:color w:val="auto"/>
        </w:rPr>
        <w:t>结合实际建立适应不同客群需求的金融产品，扩展“弱担保”“纯信用”等不同特色的产品体系，</w:t>
      </w:r>
      <w:r>
        <w:rPr>
          <w:color w:val="auto"/>
        </w:rPr>
        <w:t>开展动产质押、知识产权质押、应收账款质押等贷款业务，</w:t>
      </w:r>
      <w:r>
        <w:rPr>
          <w:rFonts w:hint="eastAsia"/>
          <w:color w:val="auto"/>
        </w:rPr>
        <w:t>开发特许经营权、碳排放权、</w:t>
      </w:r>
      <w:r>
        <w:rPr>
          <w:rFonts w:hint="eastAsia"/>
          <w:color w:val="auto"/>
          <w:lang w:val="en-US" w:eastAsia="zh-CN"/>
        </w:rPr>
        <w:t>业务</w:t>
      </w:r>
      <w:r>
        <w:rPr>
          <w:rFonts w:hint="eastAsia"/>
          <w:color w:val="auto"/>
        </w:rPr>
        <w:t>订单、农机设备、土地承包经营权、林地经营权、水面养殖权、农产品存货、畜禽活体等抵质押贷款产品，满足小微企业多样化的信贷需求。</w:t>
      </w:r>
    </w:p>
    <w:p>
      <w:pPr>
        <w:pStyle w:val="4"/>
        <w:spacing w:before="0" w:after="0"/>
        <w:rPr>
          <w:rFonts w:hint="default" w:eastAsia="黑体"/>
          <w:b/>
          <w:bCs w:val="0"/>
          <w:color w:val="auto"/>
          <w:lang w:val="en-US" w:eastAsia="zh-CN"/>
        </w:rPr>
      </w:pPr>
      <w:bookmarkStart w:id="126" w:name="_Toc30233"/>
      <w:r>
        <w:rPr>
          <w:rFonts w:hint="eastAsia"/>
          <w:b/>
          <w:bCs w:val="0"/>
          <w:color w:val="auto"/>
        </w:rPr>
        <w:t>第</w:t>
      </w:r>
      <w:r>
        <w:rPr>
          <w:rFonts w:hint="eastAsia"/>
          <w:b/>
          <w:bCs w:val="0"/>
          <w:color w:val="auto"/>
          <w:lang w:val="en-US" w:eastAsia="zh-CN"/>
        </w:rPr>
        <w:t>二</w:t>
      </w:r>
      <w:r>
        <w:rPr>
          <w:rFonts w:hint="eastAsia"/>
          <w:b/>
          <w:bCs w:val="0"/>
          <w:color w:val="auto"/>
        </w:rPr>
        <w:t xml:space="preserve">节 </w:t>
      </w:r>
      <w:r>
        <w:rPr>
          <w:rFonts w:hint="eastAsia"/>
          <w:b/>
          <w:bCs w:val="0"/>
          <w:color w:val="auto"/>
          <w:lang w:val="en-US" w:eastAsia="zh-CN"/>
        </w:rPr>
        <w:t>构建普惠金融服务网络</w:t>
      </w:r>
      <w:bookmarkEnd w:id="126"/>
    </w:p>
    <w:p>
      <w:pPr>
        <w:keepNext w:val="0"/>
        <w:keepLines w:val="0"/>
        <w:pageBreakBefore w:val="0"/>
        <w:widowControl w:val="0"/>
        <w:kinsoku/>
        <w:wordWrap/>
        <w:overflowPunct/>
        <w:topLinePunct w:val="0"/>
        <w:autoSpaceDE/>
        <w:autoSpaceDN/>
        <w:bidi w:val="0"/>
        <w:adjustRightInd/>
        <w:snapToGrid/>
        <w:ind w:left="0" w:firstLine="643" w:firstLineChars="200"/>
        <w:textAlignment w:val="auto"/>
        <w:outlineLvl w:val="9"/>
        <w:rPr>
          <w:rFonts w:ascii="仿宋_GB2312" w:hAnsi="仿宋_GB2312" w:cs="仿宋_GB2312"/>
          <w:color w:val="auto"/>
        </w:rPr>
      </w:pPr>
      <w:r>
        <w:rPr>
          <w:rStyle w:val="44"/>
          <w:rFonts w:hint="eastAsia"/>
          <w:b/>
          <w:bCs w:val="0"/>
          <w:color w:val="auto"/>
        </w:rPr>
        <w:t>完善</w:t>
      </w:r>
      <w:r>
        <w:rPr>
          <w:rStyle w:val="44"/>
          <w:rFonts w:hint="eastAsia" w:eastAsia="楷体"/>
          <w:b/>
          <w:bCs w:val="0"/>
          <w:color w:val="auto"/>
          <w:lang w:val="en-US" w:eastAsia="zh-CN"/>
        </w:rPr>
        <w:t>金融机构</w:t>
      </w:r>
      <w:r>
        <w:rPr>
          <w:rStyle w:val="44"/>
          <w:rFonts w:hint="eastAsia"/>
          <w:b/>
          <w:bCs w:val="0"/>
          <w:color w:val="auto"/>
        </w:rPr>
        <w:t>网点配置</w:t>
      </w:r>
      <w:r>
        <w:rPr>
          <w:rStyle w:val="44"/>
          <w:rFonts w:hint="eastAsia" w:eastAsia="楷体"/>
          <w:color w:val="auto"/>
          <w:lang w:eastAsia="zh-CN"/>
        </w:rPr>
        <w:t>。</w:t>
      </w:r>
      <w:r>
        <w:rPr>
          <w:rFonts w:hint="eastAsia" w:ascii="仿宋_GB2312" w:hAnsi="仿宋_GB2312" w:cs="仿宋_GB2312"/>
          <w:color w:val="auto"/>
        </w:rPr>
        <w:t>鼓励商业</w:t>
      </w:r>
      <w:r>
        <w:rPr>
          <w:rFonts w:hint="eastAsia" w:ascii="仿宋_GB2312" w:hAnsi="仿宋_GB2312" w:cs="仿宋_GB2312"/>
          <w:color w:val="auto"/>
          <w:lang w:val="en-US" w:eastAsia="zh-CN"/>
        </w:rPr>
        <w:t>银行</w:t>
      </w:r>
      <w:r>
        <w:rPr>
          <w:rFonts w:hint="eastAsia" w:ascii="仿宋_GB2312" w:hAnsi="仿宋_GB2312" w:cs="仿宋_GB2312"/>
          <w:color w:val="auto"/>
        </w:rPr>
        <w:t>下沉县域、镇区设立分支机构和营业网点</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到2025年底，推动全市超过50000人口的乡镇特别是专业镇银行网点基本覆盖，</w:t>
      </w:r>
      <w:r>
        <w:rPr>
          <w:rFonts w:hint="eastAsia" w:ascii="Calibri" w:hAnsi="Calibri" w:eastAsia="仿宋_GB2312" w:cs="Times New Roman"/>
          <w:color w:val="auto"/>
          <w:kern w:val="2"/>
          <w:sz w:val="32"/>
          <w:szCs w:val="24"/>
          <w:lang w:val="en-US" w:eastAsia="zh-CN" w:bidi="ar-SA"/>
        </w:rPr>
        <w:t>通过物理网点、电子产品、自助机具、流动服务车等形式实现</w:t>
      </w:r>
      <w:r>
        <w:rPr>
          <w:rFonts w:hint="eastAsia" w:cs="Times New Roman"/>
          <w:color w:val="auto"/>
          <w:kern w:val="2"/>
          <w:sz w:val="32"/>
          <w:szCs w:val="24"/>
          <w:lang w:val="en-US" w:eastAsia="zh-CN" w:bidi="ar-SA"/>
        </w:rPr>
        <w:t>常住人口在5000人以上的行政村（社区）</w:t>
      </w:r>
      <w:r>
        <w:rPr>
          <w:rFonts w:hint="eastAsia" w:ascii="Calibri" w:hAnsi="Calibri" w:eastAsia="仿宋_GB2312" w:cs="Times New Roman"/>
          <w:color w:val="auto"/>
          <w:kern w:val="2"/>
          <w:sz w:val="32"/>
          <w:szCs w:val="24"/>
          <w:lang w:val="en-US" w:eastAsia="zh-CN" w:bidi="ar-SA"/>
        </w:rPr>
        <w:t>服务全覆盖，</w:t>
      </w:r>
      <w:r>
        <w:rPr>
          <w:rFonts w:hint="eastAsia" w:ascii="仿宋_GB2312" w:hAnsi="仿宋_GB2312" w:eastAsia="仿宋_GB2312" w:cs="仿宋_GB2312"/>
          <w:color w:val="auto"/>
          <w:kern w:val="2"/>
          <w:sz w:val="32"/>
          <w:szCs w:val="40"/>
          <w:lang w:val="en-US" w:eastAsia="zh-CN" w:bidi="ar-SA"/>
        </w:rPr>
        <w:t>推广移动支付、网络信贷等便民服务，</w:t>
      </w:r>
      <w:r>
        <w:rPr>
          <w:rFonts w:hint="eastAsia" w:ascii="仿宋_GB2312" w:hAnsi="仿宋_GB2312" w:cs="仿宋_GB2312"/>
          <w:color w:val="auto"/>
        </w:rPr>
        <w:t>完善村镇金融服务网格体系</w:t>
      </w:r>
      <w:r>
        <w:rPr>
          <w:rFonts w:hint="default" w:ascii="仿宋_GB2312" w:hAnsi="仿宋_GB2312" w:cs="仿宋_GB2312"/>
          <w:color w:val="auto"/>
        </w:rPr>
        <w:t>，</w:t>
      </w:r>
      <w:r>
        <w:rPr>
          <w:rFonts w:hint="eastAsia" w:ascii="仿宋_GB2312" w:hAnsi="仿宋_GB2312" w:cs="仿宋_GB2312"/>
          <w:color w:val="auto"/>
          <w:lang w:val="en-US" w:eastAsia="zh-CN"/>
        </w:rPr>
        <w:t>推进金融服务重心下层</w:t>
      </w:r>
      <w:r>
        <w:rPr>
          <w:rFonts w:hint="default" w:ascii="仿宋_GB2312" w:hAnsi="仿宋_GB2312" w:cs="仿宋_GB2312"/>
          <w:color w:val="auto"/>
        </w:rPr>
        <w:t>。</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outlineLvl w:val="9"/>
        <w:rPr>
          <w:rFonts w:hint="eastAsia" w:ascii="仿宋_GB2312" w:hAnsi="仿宋_GB2312" w:cs="仿宋_GB2312"/>
          <w:color w:val="auto"/>
          <w:lang w:val="en-US" w:eastAsia="zh-CN"/>
        </w:rPr>
      </w:pPr>
      <w:r>
        <w:rPr>
          <w:rStyle w:val="44"/>
          <w:color w:val="auto"/>
        </w:rPr>
        <w:t>提升普惠金融服务能力</w:t>
      </w:r>
      <w:r>
        <w:rPr>
          <w:rFonts w:hint="eastAsia" w:ascii="华文楷体" w:hAnsi="华文楷体" w:eastAsia="华文楷体" w:cs="华文楷体"/>
          <w:b/>
          <w:color w:val="auto"/>
          <w:lang w:eastAsia="zh-Hans"/>
        </w:rPr>
        <w:t>。</w:t>
      </w:r>
      <w:r>
        <w:rPr>
          <w:rFonts w:hint="eastAsia" w:ascii="仿宋_GB2312" w:hAnsi="仿宋_GB2312" w:cs="仿宋_GB2312"/>
          <w:color w:val="auto"/>
          <w:lang w:val="en-US" w:eastAsia="zh-Hans"/>
        </w:rPr>
        <w:t>鼓励金融机构推行</w:t>
      </w:r>
      <w:r>
        <w:rPr>
          <w:rFonts w:hint="eastAsia" w:ascii="仿宋_GB2312" w:hAnsi="仿宋_GB2312" w:cs="仿宋_GB2312"/>
          <w:color w:val="auto"/>
          <w:lang w:val="en-US" w:eastAsia="zh-CN"/>
        </w:rPr>
        <w:t>“点对点”“网格化”基层金融服务，</w:t>
      </w:r>
      <w:r>
        <w:rPr>
          <w:rFonts w:hint="eastAsia" w:ascii="仿宋_GB2312" w:hAnsi="Calibri" w:eastAsia="仿宋_GB2312" w:cs="Times New Roman"/>
          <w:color w:val="auto"/>
          <w:kern w:val="2"/>
          <w:sz w:val="32"/>
          <w:szCs w:val="24"/>
          <w:lang w:val="en-US" w:eastAsia="zh-CN" w:bidi="ar-SA"/>
        </w:rPr>
        <w:t>加强每个网格的服务人员配置，建立网格管理长效机制。</w:t>
      </w:r>
      <w:r>
        <w:rPr>
          <w:rFonts w:hint="eastAsia" w:ascii="仿宋_GB2312" w:hAnsi="仿宋_GB2312" w:cs="仿宋_GB2312"/>
          <w:color w:val="auto"/>
          <w:lang w:val="en-US" w:eastAsia="zh-Hans"/>
        </w:rPr>
        <w:t>鼓励金融机构</w:t>
      </w:r>
      <w:r>
        <w:rPr>
          <w:rFonts w:hint="eastAsia" w:ascii="Calibri" w:hAnsi="Calibri" w:eastAsia="仿宋_GB2312" w:cs="Times New Roman"/>
          <w:color w:val="auto"/>
          <w:kern w:val="2"/>
          <w:sz w:val="32"/>
          <w:szCs w:val="24"/>
          <w:lang w:val="en-US" w:eastAsia="zh-CN" w:bidi="ar-SA"/>
        </w:rPr>
        <w:t>发展网络银行、手机银行APP、微信银行等新型电子支付渠道，让企业和</w:t>
      </w:r>
      <w:r>
        <w:rPr>
          <w:rFonts w:hint="eastAsia" w:cs="Times New Roman"/>
          <w:color w:val="auto"/>
          <w:kern w:val="2"/>
          <w:sz w:val="32"/>
          <w:szCs w:val="24"/>
          <w:lang w:val="en-US" w:eastAsia="zh-Hans" w:bidi="ar-SA"/>
        </w:rPr>
        <w:t>居民</w:t>
      </w:r>
      <w:r>
        <w:rPr>
          <w:rFonts w:hint="eastAsia" w:ascii="Calibri" w:hAnsi="Calibri" w:eastAsia="仿宋_GB2312" w:cs="Times New Roman"/>
          <w:color w:val="auto"/>
          <w:kern w:val="2"/>
          <w:sz w:val="32"/>
          <w:szCs w:val="24"/>
          <w:lang w:val="en-US" w:eastAsia="zh-CN" w:bidi="ar-SA"/>
        </w:rPr>
        <w:t>能够通过智能手机等智能终端办理金融业务，享受便捷的移动办贷等金融服务，</w:t>
      </w:r>
      <w:r>
        <w:rPr>
          <w:rFonts w:hint="eastAsia" w:ascii="仿宋_GB2312" w:hAnsi="仿宋_GB2312" w:cs="仿宋_GB2312"/>
          <w:color w:val="auto"/>
          <w:lang w:val="en-US" w:eastAsia="zh-CN"/>
        </w:rPr>
        <w:t>有效提高金融服务的广度、深度和温度。</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outlineLvl w:val="9"/>
        <w:rPr>
          <w:rFonts w:hint="eastAsia"/>
          <w:color w:val="auto"/>
          <w:lang w:val="en-US" w:eastAsia="zh-CN"/>
        </w:rPr>
      </w:pPr>
      <w:r>
        <w:rPr>
          <w:rStyle w:val="44"/>
          <w:rFonts w:hint="eastAsia" w:eastAsia="楷体"/>
          <w:color w:val="auto"/>
          <w:lang w:val="en-US" w:eastAsia="zh-CN"/>
        </w:rPr>
        <w:t>创新</w:t>
      </w:r>
      <w:r>
        <w:rPr>
          <w:rStyle w:val="44"/>
          <w:rFonts w:hint="eastAsia" w:eastAsia="楷体"/>
          <w:color w:val="auto"/>
          <w:lang w:eastAsia="zh-CN"/>
        </w:rPr>
        <w:t>数字</w:t>
      </w:r>
      <w:r>
        <w:rPr>
          <w:rStyle w:val="44"/>
          <w:color w:val="auto"/>
        </w:rPr>
        <w:t>普惠</w:t>
      </w:r>
      <w:r>
        <w:rPr>
          <w:rStyle w:val="44"/>
          <w:rFonts w:hint="eastAsia" w:eastAsia="楷体"/>
          <w:color w:val="auto"/>
          <w:lang w:val="en-US" w:eastAsia="zh-CN"/>
        </w:rPr>
        <w:t>服务模式</w:t>
      </w:r>
      <w:r>
        <w:rPr>
          <w:rFonts w:hint="eastAsia" w:ascii="华文楷体" w:hAnsi="华文楷体" w:eastAsia="华文楷体" w:cs="华文楷体"/>
          <w:b/>
          <w:color w:val="auto"/>
          <w:lang w:eastAsia="zh-Hans"/>
        </w:rPr>
        <w:t>。</w:t>
      </w:r>
      <w:r>
        <w:rPr>
          <w:rFonts w:hint="eastAsia" w:ascii="仿宋_GB2312" w:hAnsi="仿宋_GB2312" w:cs="仿宋_GB2312"/>
          <w:color w:val="auto"/>
          <w:szCs w:val="40"/>
        </w:rPr>
        <w:t>依托“数字政府+金融科技”瞄准企业融资中的痛点、堵点、难点，持续推进广东省“中小融”平台汕尾专区、粤信融等线上融资对接平台</w:t>
      </w:r>
      <w:r>
        <w:rPr>
          <w:rFonts w:hint="eastAsia" w:ascii="仿宋_GB2312" w:hAnsi="仿宋_GB2312" w:cs="仿宋_GB2312"/>
          <w:color w:val="auto"/>
          <w:szCs w:val="40"/>
          <w:lang w:val="en-US" w:eastAsia="zh-CN"/>
        </w:rPr>
        <w:t>的建设和优化工作</w:t>
      </w:r>
      <w:r>
        <w:rPr>
          <w:rFonts w:hint="eastAsia"/>
          <w:color w:val="auto"/>
        </w:rPr>
        <w:t>，</w:t>
      </w:r>
      <w:r>
        <w:rPr>
          <w:rFonts w:hint="eastAsia"/>
          <w:color w:val="auto"/>
          <w:lang w:val="en-US" w:eastAsia="zh-CN"/>
        </w:rPr>
        <w:t>推动</w:t>
      </w:r>
      <w:r>
        <w:rPr>
          <w:rFonts w:hint="eastAsia"/>
          <w:color w:val="auto"/>
        </w:rPr>
        <w:t>“省中小融”、“粤信融”</w:t>
      </w:r>
      <w:r>
        <w:rPr>
          <w:rFonts w:hint="eastAsia"/>
          <w:color w:val="auto"/>
          <w:lang w:eastAsia="zh-CN"/>
        </w:rPr>
        <w:t>、</w:t>
      </w:r>
      <w:r>
        <w:rPr>
          <w:rFonts w:hint="eastAsia"/>
          <w:color w:val="auto"/>
        </w:rPr>
        <w:t>中征应收账款融资服务平台</w:t>
      </w:r>
      <w:r>
        <w:rPr>
          <w:rFonts w:hint="eastAsia"/>
          <w:color w:val="auto"/>
          <w:lang w:val="en-US" w:eastAsia="zh-CN"/>
        </w:rPr>
        <w:t>与银行机构、企业政务数据和金融政策的有效对接</w:t>
      </w:r>
      <w:r>
        <w:rPr>
          <w:rFonts w:hint="eastAsia"/>
          <w:color w:val="auto"/>
        </w:rPr>
        <w:t>，打造“平台+金融+征信+政策”的四位一体服务模式，为小微企业提供纯数据化、线上化的信用贷款，</w:t>
      </w:r>
      <w:r>
        <w:rPr>
          <w:rFonts w:hint="eastAsia" w:ascii="仿宋_GB2312" w:hAnsi="仿宋_GB2312" w:cs="仿宋_GB2312"/>
          <w:color w:val="auto"/>
          <w:szCs w:val="40"/>
        </w:rPr>
        <w:t>推动信贷对接平台化。</w:t>
      </w:r>
    </w:p>
    <w:bookmarkEnd w:id="125"/>
    <w:p>
      <w:pPr>
        <w:pStyle w:val="4"/>
        <w:rPr>
          <w:color w:val="auto"/>
        </w:rPr>
      </w:pPr>
      <w:bookmarkStart w:id="127" w:name="_Toc7107"/>
      <w:bookmarkStart w:id="128" w:name="_Toc19740"/>
      <w:bookmarkStart w:id="129" w:name="_Toc877"/>
      <w:r>
        <w:rPr>
          <w:rFonts w:hint="eastAsia"/>
          <w:color w:val="auto"/>
        </w:rPr>
        <w:t>第</w:t>
      </w:r>
      <w:r>
        <w:rPr>
          <w:rFonts w:hint="eastAsia"/>
          <w:color w:val="auto"/>
          <w:lang w:val="en-US" w:eastAsia="zh-CN"/>
        </w:rPr>
        <w:t>三</w:t>
      </w:r>
      <w:r>
        <w:rPr>
          <w:rFonts w:hint="eastAsia"/>
          <w:color w:val="auto"/>
        </w:rPr>
        <w:t>节 推动金融支持民生事业建设</w:t>
      </w:r>
      <w:bookmarkEnd w:id="127"/>
      <w:bookmarkEnd w:id="128"/>
      <w:bookmarkEnd w:id="129"/>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楷体" w:hAnsi="楷体" w:eastAsia="楷体" w:cs="楷体"/>
          <w:b/>
          <w:color w:val="auto"/>
          <w:lang w:val="en-US" w:eastAsia="zh-CN"/>
        </w:rPr>
      </w:pPr>
      <w:bookmarkStart w:id="130" w:name="_Toc18848"/>
      <w:r>
        <w:rPr>
          <w:rFonts w:hint="eastAsia" w:ascii="楷体" w:hAnsi="楷体" w:eastAsia="楷体" w:cs="楷体"/>
          <w:b/>
          <w:color w:val="auto"/>
          <w:lang w:val="en-US" w:eastAsia="zh-CN"/>
        </w:rPr>
        <w:t>加快推进金融基础设施建设以促进普惠金融发展。</w:t>
      </w:r>
      <w:r>
        <w:rPr>
          <w:rFonts w:hint="eastAsia"/>
          <w:color w:val="auto"/>
          <w:lang w:eastAsia="zh-CN"/>
        </w:rPr>
        <w:t>推进与普惠金融需求相适应的现代化金融市场的建设，进一步推动经济与金融发展方式的转变。</w:t>
      </w:r>
      <w:r>
        <w:rPr>
          <w:rFonts w:hint="eastAsia"/>
          <w:color w:val="auto"/>
          <w:lang w:val="en-US" w:eastAsia="zh-CN"/>
        </w:rPr>
        <w:t>以城乡结合部、农村基层为重要载体，</w:t>
      </w:r>
      <w:r>
        <w:rPr>
          <w:rFonts w:hint="eastAsia"/>
          <w:color w:val="auto"/>
          <w:lang w:eastAsia="zh-CN"/>
        </w:rPr>
        <w:t>建设、完善金融基础设施体系，推动金融市场现代化发展，使普惠金融供给者降低运营成本、提高服务水平，增强风险控制能力，</w:t>
      </w:r>
      <w:r>
        <w:rPr>
          <w:rFonts w:hint="eastAsia"/>
          <w:color w:val="auto"/>
          <w:lang w:val="en-US" w:eastAsia="zh-CN"/>
        </w:rPr>
        <w:t>增加</w:t>
      </w:r>
      <w:r>
        <w:rPr>
          <w:rFonts w:hint="eastAsia"/>
          <w:color w:val="auto"/>
          <w:lang w:eastAsia="zh-CN"/>
        </w:rPr>
        <w:t>普惠金融需求者金融产品与服务的可得性和服务质量，使金融服务更多地向贫困和低收入客户延伸。加快推进金融基础设施建设，可鼓励金融机构与其它企业，如互联网企业、第三方支付机构、移动终端服务商、电信运营商等在更高的水平与层次上开展业务模式创新，加大产品、渠道、服务等方面的合作力度，建立健全现代化支付清算体系。</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r>
        <w:rPr>
          <w:rFonts w:hint="eastAsia" w:ascii="楷体" w:hAnsi="楷体" w:eastAsia="楷体" w:cs="楷体"/>
          <w:b/>
          <w:color w:val="auto"/>
          <w:lang w:val="en-US" w:eastAsia="zh-CN"/>
        </w:rPr>
        <w:t>强化金融支持教育</w:t>
      </w:r>
      <w:bookmarkEnd w:id="130"/>
      <w:r>
        <w:rPr>
          <w:rFonts w:hint="eastAsia" w:ascii="楷体" w:hAnsi="楷体" w:eastAsia="楷体" w:cs="楷体"/>
          <w:b/>
          <w:color w:val="auto"/>
          <w:lang w:val="en-US" w:eastAsia="zh-CN"/>
        </w:rPr>
        <w:t>事业发展</w:t>
      </w:r>
      <w:r>
        <w:rPr>
          <w:rFonts w:hint="default" w:ascii="楷体" w:hAnsi="楷体" w:eastAsia="楷体" w:cs="楷体"/>
          <w:b/>
          <w:color w:val="auto"/>
          <w:lang w:eastAsia="zh-CN"/>
        </w:rPr>
        <w:t>。</w:t>
      </w:r>
      <w:r>
        <w:rPr>
          <w:rFonts w:hint="eastAsia"/>
          <w:color w:val="auto"/>
        </w:rPr>
        <w:t>支持</w:t>
      </w:r>
      <w:r>
        <w:rPr>
          <w:rFonts w:hint="eastAsia"/>
          <w:color w:val="auto"/>
          <w:lang w:val="en-US" w:eastAsia="zh-CN"/>
        </w:rPr>
        <w:t>社会</w:t>
      </w:r>
      <w:r>
        <w:rPr>
          <w:rFonts w:hint="eastAsia"/>
          <w:color w:val="auto"/>
        </w:rPr>
        <w:t>资本参与引进国际优质教育资源</w:t>
      </w:r>
      <w:r>
        <w:rPr>
          <w:rFonts w:hint="eastAsia"/>
          <w:color w:val="auto"/>
          <w:lang w:val="en-US" w:eastAsia="zh-CN"/>
        </w:rPr>
        <w:t>落户汕尾</w:t>
      </w:r>
      <w:r>
        <w:rPr>
          <w:rFonts w:hint="eastAsia"/>
          <w:color w:val="auto"/>
        </w:rPr>
        <w:t>，</w:t>
      </w:r>
      <w:r>
        <w:rPr>
          <w:rFonts w:hint="eastAsia"/>
          <w:color w:val="auto"/>
          <w:lang w:val="en-US" w:eastAsia="zh-Hans"/>
        </w:rPr>
        <w:t>或</w:t>
      </w:r>
      <w:r>
        <w:rPr>
          <w:rFonts w:hint="eastAsia"/>
          <w:color w:val="auto"/>
        </w:rPr>
        <w:t>以入股等形式参与现有院校</w:t>
      </w:r>
      <w:r>
        <w:rPr>
          <w:rFonts w:hint="eastAsia"/>
          <w:color w:val="auto"/>
          <w:lang w:val="en-US" w:eastAsia="zh-CN"/>
        </w:rPr>
        <w:t>的</w:t>
      </w:r>
      <w:r>
        <w:rPr>
          <w:rFonts w:hint="eastAsia"/>
          <w:color w:val="auto"/>
        </w:rPr>
        <w:t>股份制改造</w:t>
      </w:r>
      <w:r>
        <w:rPr>
          <w:rFonts w:hint="default"/>
          <w:color w:val="auto"/>
        </w:rPr>
        <w:t>。</w:t>
      </w:r>
      <w:r>
        <w:rPr>
          <w:rFonts w:hint="eastAsia"/>
          <w:color w:val="auto"/>
          <w:lang w:val="en-US" w:eastAsia="zh-CN"/>
        </w:rPr>
        <w:t>推动</w:t>
      </w:r>
      <w:r>
        <w:rPr>
          <w:rFonts w:hint="default"/>
          <w:color w:val="auto"/>
        </w:rPr>
        <w:t>银行机构主动对接教育行业，通过融资支持本地优质教育实体，</w:t>
      </w:r>
      <w:r>
        <w:rPr>
          <w:rFonts w:hint="eastAsia"/>
          <w:color w:val="auto"/>
        </w:rPr>
        <w:t>加大对基础教育、职业教育、高等教育的投入，加快汕尾</w:t>
      </w:r>
      <w:r>
        <w:rPr>
          <w:rFonts w:hint="eastAsia"/>
          <w:color w:val="auto"/>
          <w:lang w:val="en-US" w:eastAsia="zh-CN"/>
        </w:rPr>
        <w:t>打造</w:t>
      </w:r>
      <w:r>
        <w:rPr>
          <w:rFonts w:hint="eastAsia"/>
          <w:color w:val="auto"/>
        </w:rPr>
        <w:t>教育强市步伐。</w:t>
      </w:r>
      <w:r>
        <w:rPr>
          <w:rFonts w:hint="eastAsia"/>
          <w:color w:val="auto"/>
          <w:lang w:val="en-US" w:eastAsia="zh-CN"/>
        </w:rPr>
        <w:t>支持金融机构与学校在</w:t>
      </w:r>
      <w:r>
        <w:rPr>
          <w:rFonts w:hint="eastAsia"/>
          <w:color w:val="auto"/>
        </w:rPr>
        <w:t>贫困生资助、融资信贷、学生创业就业扶持等多方面开展合作</w:t>
      </w:r>
      <w:r>
        <w:rPr>
          <w:rFonts w:hint="default"/>
          <w:color w:val="auto"/>
        </w:rPr>
        <w:t>，</w:t>
      </w:r>
      <w:r>
        <w:rPr>
          <w:rFonts w:hint="eastAsia"/>
          <w:color w:val="auto"/>
          <w:lang w:val="en-US" w:eastAsia="zh-CN"/>
        </w:rPr>
        <w:t>鼓励</w:t>
      </w:r>
      <w:r>
        <w:rPr>
          <w:rFonts w:hint="default"/>
          <w:color w:val="auto"/>
        </w:rPr>
        <w:t>保险机构通过为学校及学生提供责任险和人身险，保障学生人身安全，减轻出险后校方、家长医疗费用负担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default" w:ascii="Calibri" w:hAnsi="Calibri" w:eastAsia="仿宋_GB2312" w:cs="Times New Roman"/>
          <w:color w:val="auto"/>
          <w:kern w:val="2"/>
          <w:sz w:val="32"/>
          <w:szCs w:val="24"/>
          <w:lang w:val="en-US" w:eastAsia="zh-CN" w:bidi="ar-SA"/>
        </w:rPr>
      </w:pPr>
      <w:bookmarkStart w:id="131" w:name="_Toc29833"/>
      <w:r>
        <w:rPr>
          <w:rFonts w:hint="eastAsia" w:ascii="楷体" w:hAnsi="楷体" w:eastAsia="楷体" w:cs="楷体"/>
          <w:b/>
          <w:color w:val="auto"/>
          <w:lang w:val="en-US" w:eastAsia="zh-CN"/>
        </w:rPr>
        <w:t>推动金融支持医疗事业发展</w:t>
      </w:r>
      <w:bookmarkEnd w:id="131"/>
      <w:r>
        <w:rPr>
          <w:rFonts w:hint="default" w:ascii="楷体" w:hAnsi="楷体" w:eastAsia="楷体" w:cs="楷体"/>
          <w:b/>
          <w:color w:val="auto"/>
          <w:lang w:eastAsia="zh-CN"/>
        </w:rPr>
        <w:t>。</w:t>
      </w:r>
      <w:r>
        <w:rPr>
          <w:rFonts w:hint="eastAsia"/>
          <w:color w:val="auto"/>
          <w:lang w:val="en-US" w:eastAsia="zh-CN"/>
        </w:rPr>
        <w:t>引导银行机构加大对公立医院和民营医院的信贷支持，支持全市医院通过融资租赁的方式租赁先进医疗设备。支持银行机构为</w:t>
      </w:r>
      <w:r>
        <w:rPr>
          <w:rFonts w:hint="eastAsia"/>
          <w:color w:val="auto"/>
        </w:rPr>
        <w:t>医院制订综合性金融服务方案，包括办理信用卡、代发工资、代收门诊营业款，为医生护士量身定制</w:t>
      </w:r>
      <w:r>
        <w:rPr>
          <w:rFonts w:hint="eastAsia"/>
          <w:color w:val="auto"/>
          <w:lang w:val="en-US" w:eastAsia="zh-CN"/>
        </w:rPr>
        <w:t>专属</w:t>
      </w:r>
      <w:r>
        <w:rPr>
          <w:rFonts w:hint="eastAsia"/>
          <w:color w:val="auto"/>
        </w:rPr>
        <w:t>金融服务</w:t>
      </w:r>
      <w:r>
        <w:rPr>
          <w:rFonts w:hint="eastAsia"/>
          <w:color w:val="auto"/>
          <w:lang w:val="en-US" w:eastAsia="zh-CN"/>
        </w:rPr>
        <w:t>产品</w:t>
      </w:r>
      <w:r>
        <w:rPr>
          <w:rFonts w:hint="eastAsia"/>
          <w:color w:val="auto"/>
        </w:rPr>
        <w:t>，推进金融服务与医疗卫生服务的融合发展</w:t>
      </w:r>
      <w:r>
        <w:rPr>
          <w:rFonts w:hint="eastAsia"/>
          <w:color w:val="auto"/>
          <w:lang w:eastAsia="zh-CN"/>
        </w:rPr>
        <w:t>。</w:t>
      </w:r>
      <w:r>
        <w:rPr>
          <w:rFonts w:hint="eastAsia"/>
          <w:color w:val="auto"/>
          <w:lang w:val="en-US" w:eastAsia="zh-CN"/>
        </w:rPr>
        <w:t>加大保险机构开发政策性保险产品，构建城乡合作医疗、大病补充医疗、特色保险多层次保险体系，提高汕尾城乡居民医疗保障水平。</w:t>
      </w:r>
    </w:p>
    <w:p>
      <w:pPr>
        <w:pStyle w:val="5"/>
        <w:ind w:firstLine="643" w:firstLineChars="200"/>
        <w:rPr>
          <w:rFonts w:hint="eastAsia" w:ascii="仿宋_GB2312" w:hAnsi="仿宋_GB2312" w:eastAsia="仿宋_GB2312" w:cs="仿宋_GB2312"/>
          <w:b w:val="0"/>
          <w:bCs/>
          <w:color w:val="auto"/>
          <w:lang w:eastAsia="zh-CN"/>
        </w:rPr>
      </w:pPr>
      <w:r>
        <w:rPr>
          <w:rFonts w:hint="eastAsia"/>
          <w:color w:val="auto"/>
          <w:lang w:val="en-US" w:eastAsia="zh-CN"/>
        </w:rPr>
        <w:t>加大金融对促进就业创业的支持力度</w:t>
      </w:r>
      <w:r>
        <w:rPr>
          <w:rFonts w:hint="default" w:ascii="楷体" w:hAnsi="楷体" w:eastAsia="楷体" w:cs="楷体"/>
          <w:b/>
          <w:color w:val="auto"/>
          <w:lang w:eastAsia="zh-CN"/>
        </w:rPr>
        <w:t>。</w:t>
      </w:r>
      <w:r>
        <w:rPr>
          <w:rFonts w:hint="eastAsia" w:ascii="仿宋_GB2312" w:hAnsi="仿宋_GB2312" w:eastAsia="仿宋_GB2312" w:cs="仿宋_GB2312"/>
          <w:b w:val="0"/>
          <w:bCs/>
          <w:color w:val="auto"/>
        </w:rPr>
        <w:t>引导银行机构扩大对就业创业群体贷款投放规模，加大创业小额担保贷款扶持</w:t>
      </w:r>
      <w:r>
        <w:rPr>
          <w:rFonts w:hint="eastAsia" w:ascii="仿宋_GB2312" w:hAnsi="仿宋_GB2312" w:eastAsia="仿宋_GB2312" w:cs="仿宋_GB2312"/>
          <w:b w:val="0"/>
          <w:bCs/>
          <w:color w:val="auto"/>
          <w:lang w:eastAsia="zh-CN"/>
        </w:rPr>
        <w:t>，更好发挥创业担保贷款贴息资金引导作用，</w:t>
      </w:r>
      <w:r>
        <w:rPr>
          <w:rFonts w:hint="eastAsia" w:ascii="仿宋_GB2312" w:hAnsi="仿宋_GB2312" w:eastAsia="仿宋_GB2312" w:cs="仿宋_GB2312"/>
          <w:b w:val="0"/>
          <w:bCs/>
          <w:color w:val="auto"/>
        </w:rPr>
        <w:t>大力支持</w:t>
      </w:r>
      <w:r>
        <w:rPr>
          <w:rFonts w:hint="eastAsia" w:ascii="仿宋_GB2312" w:hAnsi="仿宋_GB2312" w:eastAsia="仿宋_GB2312" w:cs="仿宋_GB2312"/>
          <w:b w:val="0"/>
          <w:bCs/>
          <w:color w:val="auto"/>
          <w:lang w:val="en-US" w:eastAsia="zh-CN"/>
        </w:rPr>
        <w:t>重点</w:t>
      </w:r>
      <w:r>
        <w:rPr>
          <w:rFonts w:hint="eastAsia" w:ascii="仿宋_GB2312" w:hAnsi="仿宋_GB2312" w:eastAsia="仿宋_GB2312" w:cs="仿宋_GB2312"/>
          <w:b w:val="0"/>
          <w:bCs/>
          <w:color w:val="auto"/>
        </w:rPr>
        <w:t>群体创业就业</w:t>
      </w:r>
      <w:r>
        <w:rPr>
          <w:rFonts w:hint="eastAsia" w:ascii="仿宋_GB2312" w:hAnsi="仿宋_GB2312" w:eastAsia="仿宋_GB2312" w:cs="仿宋_GB2312"/>
          <w:b w:val="0"/>
          <w:bCs/>
          <w:color w:val="auto"/>
          <w:lang w:eastAsia="zh-CN"/>
        </w:rPr>
        <w:t>。</w:t>
      </w:r>
      <w:r>
        <w:rPr>
          <w:rFonts w:hint="eastAsia" w:ascii="仿宋_GB2312" w:hAnsi="仿宋_GB2312" w:eastAsia="仿宋_GB2312" w:cs="仿宋_GB2312"/>
          <w:b w:val="0"/>
          <w:bCs/>
          <w:color w:val="auto"/>
        </w:rPr>
        <w:t>创新高层次人才专属融资服务</w:t>
      </w:r>
      <w:r>
        <w:rPr>
          <w:rFonts w:hint="eastAsia" w:ascii="仿宋_GB2312" w:hAnsi="仿宋_GB2312" w:eastAsia="仿宋_GB2312" w:cs="仿宋_GB2312"/>
          <w:b w:val="0"/>
          <w:bCs/>
          <w:color w:val="auto"/>
          <w:lang w:eastAsia="zh-CN"/>
        </w:rPr>
        <w:t>。针对受疫情影响较大行业，中小微企业、个体工商户、“专新特精”企业、行业龙头企业及其核心配套企业、重要产业链等重点群体和企业，分层、分类、分批组织银企对接，及时、有效满足融资需求，</w:t>
      </w:r>
      <w:r>
        <w:rPr>
          <w:rFonts w:hint="eastAsia" w:ascii="仿宋_GB2312" w:hAnsi="仿宋_GB2312" w:eastAsia="仿宋_GB2312" w:cs="仿宋_GB2312"/>
          <w:b w:val="0"/>
          <w:bCs/>
          <w:color w:val="auto"/>
          <w:lang w:val="en-US" w:eastAsia="zh-CN"/>
        </w:rPr>
        <w:t>进一步促进社会就业</w:t>
      </w:r>
      <w:r>
        <w:rPr>
          <w:rFonts w:hint="eastAsia" w:ascii="仿宋_GB2312" w:hAnsi="仿宋_GB2312" w:eastAsia="仿宋_GB2312" w:cs="仿宋_GB2312"/>
          <w:b w:val="0"/>
          <w:bCs/>
          <w:color w:val="auto"/>
          <w:lang w:eastAsia="zh-CN"/>
        </w:rPr>
        <w:t>。</w:t>
      </w:r>
      <w:bookmarkStart w:id="132" w:name="_Toc19577"/>
      <w:bookmarkStart w:id="133" w:name="_Toc6928"/>
      <w:bookmarkStart w:id="134" w:name="_Toc23064"/>
    </w:p>
    <w:p>
      <w:pPr>
        <w:pStyle w:val="5"/>
        <w:ind w:firstLine="640" w:firstLineChars="200"/>
        <w:rPr>
          <w:rFonts w:hint="eastAsia" w:ascii="仿宋_GB2312" w:hAnsi="仿宋_GB2312" w:eastAsia="仿宋_GB2312" w:cs="仿宋_GB2312"/>
          <w:b w:val="0"/>
          <w:bCs/>
          <w:color w:val="auto"/>
          <w:lang w:eastAsia="zh-CN"/>
        </w:rPr>
      </w:pPr>
    </w:p>
    <w:p>
      <w:pPr>
        <w:pStyle w:val="5"/>
        <w:ind w:firstLine="723" w:firstLineChars="200"/>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rPr>
        <w:t>第</w:t>
      </w:r>
      <w:r>
        <w:rPr>
          <w:rFonts w:hint="eastAsia" w:ascii="方正小标宋简体" w:hAnsi="方正小标宋简体" w:eastAsia="方正小标宋简体" w:cs="方正小标宋简体"/>
          <w:color w:val="auto"/>
          <w:sz w:val="36"/>
          <w:szCs w:val="36"/>
          <w:lang w:val="en-US" w:eastAsia="zh-CN"/>
        </w:rPr>
        <w:t>五</w:t>
      </w:r>
      <w:r>
        <w:rPr>
          <w:rFonts w:hint="eastAsia" w:ascii="方正小标宋简体" w:hAnsi="方正小标宋简体" w:eastAsia="方正小标宋简体" w:cs="方正小标宋简体"/>
          <w:color w:val="auto"/>
          <w:sz w:val="36"/>
          <w:szCs w:val="36"/>
        </w:rPr>
        <w:t xml:space="preserve">章 </w:t>
      </w:r>
      <w:r>
        <w:rPr>
          <w:rFonts w:hint="eastAsia" w:ascii="方正小标宋简体" w:hAnsi="方正小标宋简体" w:eastAsia="方正小标宋简体" w:cs="方正小标宋简体"/>
          <w:color w:val="auto"/>
          <w:sz w:val="36"/>
          <w:szCs w:val="36"/>
          <w:lang w:val="en-US" w:eastAsia="zh-CN"/>
        </w:rPr>
        <w:t>深化</w:t>
      </w:r>
      <w:r>
        <w:rPr>
          <w:rFonts w:hint="eastAsia" w:ascii="方正小标宋简体" w:hAnsi="方正小标宋简体" w:eastAsia="方正小标宋简体" w:cs="方正小标宋简体"/>
          <w:color w:val="auto"/>
          <w:sz w:val="36"/>
          <w:szCs w:val="36"/>
        </w:rPr>
        <w:t>农村金融</w:t>
      </w:r>
      <w:bookmarkEnd w:id="132"/>
      <w:bookmarkEnd w:id="133"/>
      <w:r>
        <w:rPr>
          <w:rFonts w:hint="eastAsia" w:ascii="方正小标宋简体" w:hAnsi="方正小标宋简体" w:eastAsia="方正小标宋简体" w:cs="方正小标宋简体"/>
          <w:color w:val="auto"/>
          <w:sz w:val="36"/>
          <w:szCs w:val="36"/>
          <w:lang w:val="en-US" w:eastAsia="zh-CN"/>
        </w:rPr>
        <w:t>改革</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精准助推乡村振兴</w:t>
      </w:r>
      <w:bookmarkEnd w:id="134"/>
    </w:p>
    <w:p>
      <w:pPr>
        <w:pStyle w:val="4"/>
        <w:rPr>
          <w:rFonts w:hint="eastAsia"/>
          <w:b w:val="0"/>
          <w:bCs/>
          <w:color w:val="auto"/>
          <w:lang w:val="en-US" w:eastAsia="zh-CN"/>
        </w:rPr>
      </w:pPr>
      <w:bookmarkStart w:id="135" w:name="_Toc22859"/>
      <w:bookmarkStart w:id="136" w:name="_Toc19716"/>
      <w:bookmarkStart w:id="137" w:name="_Toc31377"/>
      <w:r>
        <w:rPr>
          <w:rFonts w:hint="eastAsia"/>
          <w:b/>
          <w:bCs w:val="0"/>
          <w:color w:val="auto"/>
          <w:lang w:val="en-US" w:eastAsia="zh-CN"/>
        </w:rPr>
        <w:t>第一节 构建农村金融发展新格局</w:t>
      </w:r>
      <w:bookmarkEnd w:id="135"/>
      <w:bookmarkEnd w:id="136"/>
      <w:bookmarkEnd w:id="137"/>
    </w:p>
    <w:p>
      <w:pPr>
        <w:pStyle w:val="2"/>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仿宋_GB2312" w:eastAsia="仿宋_GB2312" w:cs="仿宋_GB2312"/>
          <w:color w:val="auto"/>
          <w:sz w:val="32"/>
          <w:szCs w:val="32"/>
          <w:lang w:val="en-US" w:eastAsia="zh-CN"/>
        </w:rPr>
      </w:pPr>
      <w:bookmarkStart w:id="138" w:name="_Toc6434"/>
      <w:r>
        <w:rPr>
          <w:rFonts w:hint="eastAsia" w:ascii="楷体" w:hAnsi="楷体" w:eastAsia="楷体" w:cs="楷体"/>
          <w:b/>
          <w:color w:val="auto"/>
          <w:sz w:val="32"/>
          <w:szCs w:val="32"/>
          <w:lang w:val="en-US" w:eastAsia="zh-CN"/>
        </w:rPr>
        <w:t>深化</w:t>
      </w:r>
      <w:r>
        <w:rPr>
          <w:rFonts w:hint="eastAsia" w:ascii="楷体" w:hAnsi="楷体" w:eastAsia="楷体" w:cs="楷体"/>
          <w:b/>
          <w:color w:val="auto"/>
          <w:sz w:val="32"/>
          <w:szCs w:val="32"/>
        </w:rPr>
        <w:t>农村金融改革</w:t>
      </w:r>
      <w:r>
        <w:rPr>
          <w:rFonts w:hint="default" w:ascii="楷体" w:hAnsi="楷体" w:eastAsia="楷体" w:cs="楷体"/>
          <w:b/>
          <w:color w:val="auto"/>
          <w:sz w:val="32"/>
          <w:szCs w:val="32"/>
        </w:rPr>
        <w:t>。</w:t>
      </w:r>
      <w:r>
        <w:rPr>
          <w:rFonts w:hint="eastAsia" w:ascii="仿宋_GB2312" w:hAnsi="仿宋_GB2312" w:eastAsia="仿宋_GB2312" w:cs="仿宋_GB2312"/>
          <w:color w:val="auto"/>
          <w:sz w:val="32"/>
          <w:szCs w:val="32"/>
        </w:rPr>
        <w:t>贯彻</w:t>
      </w:r>
      <w:r>
        <w:rPr>
          <w:rFonts w:hint="eastAsia" w:ascii="仿宋_GB2312" w:hAnsi="仿宋_GB2312" w:eastAsia="仿宋_GB2312" w:cs="仿宋_GB2312"/>
          <w:color w:val="auto"/>
          <w:sz w:val="32"/>
          <w:szCs w:val="32"/>
          <w:lang w:val="en-US" w:eastAsia="zh-CN"/>
        </w:rPr>
        <w:t>落实全市</w:t>
      </w:r>
      <w:r>
        <w:rPr>
          <w:rFonts w:hint="eastAsia" w:ascii="仿宋_GB2312" w:hAnsi="仿宋_GB2312" w:eastAsia="仿宋_GB2312" w:cs="仿宋_GB2312"/>
          <w:color w:val="auto"/>
          <w:sz w:val="32"/>
          <w:szCs w:val="32"/>
        </w:rPr>
        <w:t>农村综合改革工作</w:t>
      </w:r>
      <w:r>
        <w:rPr>
          <w:rFonts w:hint="eastAsia" w:ascii="仿宋_GB2312" w:hAnsi="仿宋_GB2312" w:eastAsia="仿宋_GB2312" w:cs="仿宋_GB2312"/>
          <w:color w:val="auto"/>
          <w:sz w:val="32"/>
          <w:szCs w:val="32"/>
          <w:lang w:val="en-US" w:eastAsia="zh-CN"/>
        </w:rPr>
        <w:t>部署</w:t>
      </w:r>
      <w:r>
        <w:rPr>
          <w:rFonts w:hint="eastAsia" w:ascii="仿宋_GB2312" w:hAnsi="仿宋_GB2312" w:eastAsia="仿宋_GB2312" w:cs="仿宋_GB2312"/>
          <w:color w:val="auto"/>
          <w:sz w:val="32"/>
          <w:szCs w:val="32"/>
        </w:rPr>
        <w:t>，持续把服务“三农”放在重要位置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巩固提升</w:t>
      </w:r>
      <w:r>
        <w:rPr>
          <w:rFonts w:hint="eastAsia" w:ascii="仿宋_GB2312" w:hAnsi="仿宋_GB2312" w:eastAsia="仿宋_GB2312" w:cs="仿宋_GB2312"/>
          <w:color w:val="auto"/>
          <w:sz w:val="32"/>
          <w:szCs w:val="32"/>
        </w:rPr>
        <w:t>农村金融改革示范区</w:t>
      </w:r>
      <w:r>
        <w:rPr>
          <w:rFonts w:hint="eastAsia" w:ascii="仿宋_GB2312" w:hAnsi="仿宋_GB2312" w:eastAsia="仿宋_GB2312" w:cs="仿宋_GB2312"/>
          <w:color w:val="auto"/>
          <w:sz w:val="32"/>
          <w:szCs w:val="32"/>
          <w:lang w:val="en-US" w:eastAsia="zh-CN"/>
        </w:rPr>
        <w:t>创建基础，打造</w:t>
      </w:r>
      <w:r>
        <w:rPr>
          <w:rFonts w:hint="eastAsia" w:ascii="仿宋_GB2312" w:hAnsi="仿宋_GB2312" w:eastAsia="仿宋_GB2312" w:cs="仿宋_GB2312"/>
          <w:color w:val="auto"/>
          <w:sz w:val="32"/>
          <w:szCs w:val="32"/>
        </w:rPr>
        <w:t>海丰县、陆河县</w:t>
      </w:r>
      <w:r>
        <w:rPr>
          <w:rFonts w:hint="eastAsia" w:ascii="仿宋_GB2312" w:hAnsi="仿宋_GB2312" w:eastAsia="仿宋_GB2312" w:cs="仿宋_GB2312"/>
          <w:color w:val="auto"/>
          <w:sz w:val="32"/>
          <w:szCs w:val="32"/>
          <w:lang w:val="en-US" w:eastAsia="zh-CN"/>
        </w:rPr>
        <w:t>农村金融改革</w:t>
      </w:r>
      <w:r>
        <w:rPr>
          <w:rFonts w:hint="eastAsia" w:ascii="仿宋_GB2312" w:hAnsi="仿宋_GB2312" w:eastAsia="仿宋_GB2312" w:cs="仿宋_GB2312"/>
          <w:color w:val="auto"/>
          <w:sz w:val="32"/>
          <w:szCs w:val="32"/>
        </w:rPr>
        <w:t>示范</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推动农村金融改革，引导金融支持乡村振兴发展。立足</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val="en-US" w:eastAsia="zh-CN"/>
        </w:rPr>
        <w:t>产业、涉农</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农村各类创业</w:t>
      </w:r>
      <w:r>
        <w:rPr>
          <w:rFonts w:hint="eastAsia" w:ascii="仿宋_GB2312" w:hAnsi="仿宋_GB2312" w:eastAsia="仿宋_GB2312" w:cs="仿宋_GB2312"/>
          <w:color w:val="auto"/>
          <w:sz w:val="32"/>
          <w:szCs w:val="32"/>
        </w:rPr>
        <w:t>群体的融资需求，</w:t>
      </w:r>
      <w:r>
        <w:rPr>
          <w:rFonts w:hint="eastAsia" w:ascii="仿宋_GB2312" w:hAnsi="仿宋_GB2312" w:eastAsia="仿宋_GB2312" w:cs="仿宋_GB2312"/>
          <w:color w:val="auto"/>
          <w:sz w:val="32"/>
          <w:szCs w:val="32"/>
          <w:lang w:val="en-US" w:eastAsia="zh-CN"/>
        </w:rPr>
        <w:t>推动全市农村创新农村金融产品和服务机制，稳步推进农村产权抵质押贷款和流转交易，</w:t>
      </w:r>
      <w:r>
        <w:rPr>
          <w:rFonts w:hint="eastAsia" w:ascii="仿宋_GB2312" w:hAnsi="仿宋_GB2312" w:eastAsia="仿宋_GB2312" w:cs="仿宋_GB2312"/>
          <w:color w:val="auto"/>
          <w:sz w:val="32"/>
          <w:szCs w:val="32"/>
        </w:rPr>
        <w:t>盘活农村资产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助力乡村振兴发展。</w:t>
      </w:r>
      <w:r>
        <w:rPr>
          <w:rFonts w:hint="eastAsia" w:ascii="仿宋_GB2312" w:hAnsi="仿宋_GB2312" w:eastAsia="仿宋_GB2312" w:cs="仿宋_GB2312"/>
          <w:color w:val="auto"/>
          <w:sz w:val="32"/>
          <w:szCs w:val="32"/>
          <w:lang w:val="en-US" w:eastAsia="zh-CN"/>
        </w:rPr>
        <w:t>2021年底，完成海丰、陆河两县的农村金融改革示范区创建，全面铺开全市农村金融改革，推进金融支持乡村振兴攻坚行动。到2025年，全市农村金融基础设施和服务配套基本完善，金融支持乡村振兴发展初见成效，农村金融信贷产品不断丰富，金融服务更加深入到位，农村地区信贷需求得到有效满足，促进农村产业加快发展。</w:t>
      </w:r>
    </w:p>
    <w:bookmarkEnd w:id="138"/>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ascii="仿宋_GB2312" w:hAnsi="仿宋_GB2312" w:cs="仿宋_GB2312"/>
          <w:color w:val="auto"/>
        </w:rPr>
      </w:pPr>
      <w:r>
        <w:rPr>
          <w:rStyle w:val="44"/>
          <w:color w:val="auto"/>
        </w:rPr>
        <w:t>探索设立乡村振兴基金</w:t>
      </w:r>
      <w:r>
        <w:rPr>
          <w:rFonts w:hint="eastAsia" w:ascii="楷体" w:hAnsi="楷体" w:eastAsia="楷体" w:cs="楷体"/>
          <w:b/>
          <w:bCs/>
          <w:color w:val="auto"/>
          <w:lang w:eastAsia="zh-CN"/>
        </w:rPr>
        <w:t>。</w:t>
      </w:r>
      <w:r>
        <w:rPr>
          <w:rFonts w:hint="eastAsia" w:ascii="仿宋_GB2312" w:hAnsi="仿宋_GB2312" w:cs="仿宋_GB2312"/>
          <w:color w:val="auto"/>
        </w:rPr>
        <w:t>在汕尾市产业发展投资基金基础上，充分对接</w:t>
      </w:r>
      <w:r>
        <w:rPr>
          <w:rFonts w:hint="eastAsia" w:ascii="仿宋_GB2312" w:hAnsi="仿宋_GB2312" w:cs="仿宋_GB2312"/>
          <w:color w:val="auto"/>
          <w:lang w:val="en-US" w:eastAsia="zh-CN"/>
        </w:rPr>
        <w:t>全市</w:t>
      </w:r>
      <w:r>
        <w:rPr>
          <w:rFonts w:hint="eastAsia" w:ascii="仿宋_GB2312" w:hAnsi="仿宋_GB2312" w:cs="仿宋_GB2312"/>
          <w:color w:val="auto"/>
        </w:rPr>
        <w:t>乡村振兴发展项目库，积极谋划设立美丽乡村振兴发展产业投资子基金的可行性，</w:t>
      </w:r>
      <w:r>
        <w:rPr>
          <w:rFonts w:hint="eastAsia" w:ascii="仿宋_GB2312" w:hAnsi="仿宋_GB2312" w:eastAsia="仿宋_GB2312" w:cs="仿宋_GB2312"/>
          <w:color w:val="auto"/>
          <w:szCs w:val="40"/>
        </w:rPr>
        <w:t>引导金融资本、社会资本投入现代农业创新试点项目，推动农业产业整合和转型升级</w:t>
      </w:r>
      <w:r>
        <w:rPr>
          <w:rFonts w:hint="default" w:ascii="仿宋_GB2312" w:hAnsi="仿宋_GB2312" w:cs="仿宋_GB2312"/>
          <w:color w:val="auto"/>
        </w:rPr>
        <w:t>。</w:t>
      </w:r>
      <w:r>
        <w:rPr>
          <w:rFonts w:hint="eastAsia" w:ascii="仿宋_GB2312" w:hAnsi="仿宋_GB2312" w:cs="仿宋_GB2312"/>
          <w:color w:val="auto"/>
        </w:rPr>
        <w:t>争取省市共建并设立广东乡村振兴（汕尾）基金，不断拓展农业产业投资领域，全力推进汕尾美丽乡村、农业产业园、村级工业园整治、特色优势农业培育等项目建设，助推汕尾农业全面升级、农村全面进步。</w:t>
      </w:r>
    </w:p>
    <w:p>
      <w:pPr>
        <w:rPr>
          <w:rFonts w:hint="eastAsia" w:ascii="仿宋_GB2312" w:hAnsi="仿宋_GB2312" w:eastAsia="仿宋_GB2312" w:cs="仿宋_GB2312"/>
          <w:color w:val="auto"/>
          <w:sz w:val="32"/>
          <w:szCs w:val="32"/>
        </w:rPr>
      </w:pPr>
      <w:bookmarkStart w:id="139" w:name="_Toc1561"/>
      <w:r>
        <w:rPr>
          <w:rStyle w:val="44"/>
          <w:rFonts w:hint="eastAsia"/>
          <w:color w:val="auto"/>
        </w:rPr>
        <w:t>拓展农村土地金融业务</w:t>
      </w:r>
      <w:bookmarkEnd w:id="139"/>
      <w:r>
        <w:rPr>
          <w:rStyle w:val="44"/>
          <w:rFonts w:hint="default"/>
          <w:color w:val="auto"/>
        </w:rPr>
        <w:t>。</w:t>
      </w:r>
      <w:r>
        <w:rPr>
          <w:rFonts w:hint="eastAsia" w:ascii="仿宋_GB2312" w:hAnsi="仿宋_GB2312" w:eastAsia="仿宋_GB2312" w:cs="仿宋_GB2312"/>
          <w:color w:val="auto"/>
          <w:szCs w:val="32"/>
        </w:rPr>
        <w:t>围绕土地开发整理，根据自主自愿原则，鼓励农民或居民将在征地过程中获得的部分征地补偿款以村镇政府或农民专业合作社的形式集体投资，并以农民专业合作社作为信托计划的委托人及受益人，将所募资金投向汕尾土地开发建设和基础设施建设，推动城市建设过程中资金的需求方和资金的供给方</w:t>
      </w:r>
      <w:r>
        <w:rPr>
          <w:rFonts w:hint="eastAsia" w:ascii="仿宋_GB2312" w:hAnsi="仿宋_GB2312" w:cs="仿宋_GB2312"/>
          <w:color w:val="auto"/>
          <w:szCs w:val="32"/>
          <w:lang w:val="en-US" w:eastAsia="zh-CN"/>
        </w:rPr>
        <w:t>有效对接</w:t>
      </w:r>
      <w:r>
        <w:rPr>
          <w:rFonts w:hint="eastAsia" w:ascii="仿宋_GB2312" w:hAnsi="仿宋_GB2312" w:eastAsia="仿宋_GB2312" w:cs="仿宋_GB2312"/>
          <w:color w:val="auto"/>
          <w:szCs w:val="32"/>
        </w:rPr>
        <w:t>。加强与大湾区信托公司或资产管理公司合作，推动信托资金参与土地开发整理</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通过信托公司对信托财产专业</w:t>
      </w:r>
      <w:r>
        <w:rPr>
          <w:rFonts w:hint="eastAsia" w:ascii="仿宋_GB2312" w:hAnsi="仿宋_GB2312" w:eastAsia="仿宋_GB2312" w:cs="仿宋_GB2312"/>
          <w:color w:val="auto"/>
          <w:sz w:val="32"/>
          <w:szCs w:val="32"/>
        </w:rPr>
        <w:t>化的管理与运用，解决汕尾城市建设中资金缺口的问题，同时与征地赔偿者分享城市建设收益，实现资产的保值增值。</w:t>
      </w:r>
    </w:p>
    <w:p>
      <w:pPr>
        <w:pStyle w:val="4"/>
        <w:rPr>
          <w:color w:val="auto"/>
          <w:lang w:val="en-US" w:eastAsia="zh-CN"/>
        </w:rPr>
      </w:pPr>
      <w:bookmarkStart w:id="140" w:name="_Toc5257"/>
      <w:bookmarkStart w:id="141" w:name="_Toc25581"/>
      <w:bookmarkStart w:id="142" w:name="_Toc25194"/>
      <w:r>
        <w:rPr>
          <w:rFonts w:hint="eastAsia"/>
          <w:color w:val="auto"/>
          <w:lang w:val="en-US" w:eastAsia="zh-CN"/>
        </w:rPr>
        <w:t>第二节 建立健全农村金融服务体系</w:t>
      </w:r>
      <w:bookmarkEnd w:id="140"/>
      <w:bookmarkEnd w:id="141"/>
      <w:bookmarkEnd w:id="142"/>
    </w:p>
    <w:p>
      <w:pPr>
        <w:pageBreakBefore w:val="0"/>
        <w:widowControl/>
        <w:kinsoku/>
        <w:wordWrap/>
        <w:overflowPunct/>
        <w:topLinePunct w:val="0"/>
        <w:autoSpaceDE/>
        <w:autoSpaceDN/>
        <w:bidi w:val="0"/>
        <w:adjustRightInd/>
        <w:snapToGrid/>
        <w:ind w:firstLine="643" w:firstLineChars="200"/>
        <w:textAlignment w:val="auto"/>
        <w:rPr>
          <w:rFonts w:hint="default"/>
          <w:color w:val="auto"/>
          <w:lang w:val="en-US" w:eastAsia="zh-CN"/>
        </w:rPr>
      </w:pPr>
      <w:r>
        <w:rPr>
          <w:rStyle w:val="44"/>
          <w:rFonts w:hint="eastAsia" w:eastAsia="楷体"/>
          <w:color w:val="auto"/>
          <w:lang w:val="en-US" w:eastAsia="zh-CN"/>
        </w:rPr>
        <w:t>完善</w:t>
      </w:r>
      <w:r>
        <w:rPr>
          <w:rStyle w:val="44"/>
          <w:color w:val="auto"/>
        </w:rPr>
        <w:t>现代农村金融组织体系</w:t>
      </w:r>
      <w:r>
        <w:rPr>
          <w:rFonts w:hint="eastAsia" w:ascii="楷体" w:hAnsi="楷体" w:eastAsia="楷体" w:cs="楷体"/>
          <w:b/>
          <w:color w:val="auto"/>
          <w:lang w:eastAsia="zh-CN"/>
        </w:rPr>
        <w:t>。</w:t>
      </w:r>
      <w:r>
        <w:rPr>
          <w:rFonts w:hint="eastAsia"/>
          <w:color w:val="auto"/>
          <w:lang w:val="en-US" w:eastAsia="zh-CN"/>
        </w:rPr>
        <w:t>充分发挥农发行、农业银行、邮储银行等涉农金融机构的重要作用，下沉县域、镇区金融服务，拓展基层农村的金融服务辐射。推进涉农商业银行设立农村金融事业部，加强“三农”专营服务机构建设。</w:t>
      </w:r>
      <w:r>
        <w:rPr>
          <w:rFonts w:hint="eastAsia"/>
          <w:color w:val="auto"/>
          <w:lang w:eastAsia="zh-CN"/>
        </w:rPr>
        <w:t>支持粤财普惠金融（汕尾）融资担保公司加强与农村商业银行机构深度合作，依托“信保基金”在全辖开展“见贷即保”“见保即贷”业务模式</w:t>
      </w:r>
      <w:r>
        <w:rPr>
          <w:rFonts w:hint="eastAsia" w:ascii="仿宋_GB2312" w:hAnsi="仿宋_GB2312" w:eastAsia="仿宋_GB2312" w:cs="仿宋_GB2312"/>
          <w:color w:val="auto"/>
          <w:szCs w:val="32"/>
        </w:rPr>
        <w:t>。探索成立区域性农产品交易中心，通过信息、物流、金融三大服务，将汕尾特色农产品生产、加工、销售三大环节联于一体，形成贯穿整个大宗农产品产业链的服务体系。</w:t>
      </w:r>
      <w:r>
        <w:rPr>
          <w:rFonts w:hint="eastAsia"/>
          <w:color w:val="auto"/>
          <w:lang w:eastAsia="zh-CN"/>
        </w:rPr>
        <w:t>深化农村“生产、经营、信用”三位一体发展体系，支持“农合联”建立“银行+农合联+社员”的信用合作模式。</w:t>
      </w:r>
      <w:r>
        <w:rPr>
          <w:rFonts w:hint="eastAsia"/>
          <w:color w:val="auto"/>
          <w:lang w:val="en-US" w:eastAsia="zh-CN"/>
        </w:rPr>
        <w:t>到2025年末，全市县级“农合联”全面设立，各类特色农业“农合联”不少于20个，“农合联”组织与银行机构合作并成功融资余额超过1亿元。</w:t>
      </w:r>
    </w:p>
    <w:p>
      <w:pPr>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color w:val="auto"/>
          <w:sz w:val="32"/>
          <w:szCs w:val="32"/>
        </w:rPr>
      </w:pPr>
      <w:r>
        <w:rPr>
          <w:rStyle w:val="44"/>
          <w:color w:val="auto"/>
        </w:rPr>
        <w:t>创新涉农信用贷款融资模式</w:t>
      </w:r>
      <w:r>
        <w:rPr>
          <w:rFonts w:hint="eastAsia" w:ascii="华文楷体" w:hAnsi="华文楷体" w:eastAsia="华文楷体" w:cs="华文楷体"/>
          <w:b/>
          <w:color w:val="auto"/>
          <w:lang w:val="en-US" w:eastAsia="zh-CN"/>
        </w:rPr>
        <w:t>。</w:t>
      </w:r>
      <w:r>
        <w:rPr>
          <w:rFonts w:hint="eastAsia" w:ascii="仿宋_GB2312" w:hAnsi="仿宋_GB2312" w:eastAsia="仿宋_GB2312" w:cs="仿宋_GB2312"/>
          <w:color w:val="auto"/>
          <w:sz w:val="32"/>
          <w:szCs w:val="32"/>
        </w:rPr>
        <w:t>持续做好“互联网+信用+三农”融资创新工作，深入推进与网商银行的陆河县“普惠金融+智慧县域”合作项目，逐步扩大放贷规模和客户群体，拓宽农民农户的金融服务广度。支持海丰、陆河县稳妥开展“龙头企业+农业合作社+农户”“村委信用+农户信用”等信用贷款业务试点。</w:t>
      </w:r>
      <w:bookmarkStart w:id="143" w:name="_Toc4991"/>
    </w:p>
    <w:p>
      <w:pPr>
        <w:pageBreakBefore w:val="0"/>
        <w:widowControl w:val="0"/>
        <w:kinsoku/>
        <w:wordWrap/>
        <w:overflowPunct/>
        <w:topLinePunct w:val="0"/>
        <w:autoSpaceDE/>
        <w:autoSpaceDN/>
        <w:bidi w:val="0"/>
        <w:adjustRightInd/>
        <w:snapToGrid/>
        <w:ind w:firstLine="643" w:firstLineChars="200"/>
        <w:textAlignment w:val="auto"/>
        <w:rPr>
          <w:rFonts w:hint="eastAsia"/>
          <w:color w:val="auto"/>
          <w:lang w:val="en-US" w:eastAsia="zh-CN"/>
        </w:rPr>
      </w:pPr>
      <w:r>
        <w:rPr>
          <w:rStyle w:val="44"/>
          <w:color w:val="auto"/>
        </w:rPr>
        <w:t>鼓励银行机构开展两权抵押贷款</w:t>
      </w:r>
      <w:r>
        <w:rPr>
          <w:rFonts w:hint="eastAsia" w:ascii="仿宋_GB2312" w:hAnsi="仿宋_GB2312" w:eastAsia="仿宋_GB2312" w:cs="仿宋_GB2312"/>
          <w:color w:val="auto"/>
          <w:sz w:val="32"/>
          <w:szCs w:val="32"/>
        </w:rPr>
        <w:t>。</w:t>
      </w:r>
      <w:bookmarkEnd w:id="143"/>
      <w:r>
        <w:rPr>
          <w:rFonts w:hint="eastAsia" w:ascii="仿宋_GB2312" w:hAnsi="仿宋_GB2312" w:eastAsia="仿宋_GB2312" w:cs="仿宋_GB2312"/>
          <w:color w:val="auto"/>
          <w:sz w:val="32"/>
          <w:szCs w:val="32"/>
        </w:rPr>
        <w:t>在农村产权确权、登记和资产受托业务指引等各项条件成熟的前提下，引导银行机构积极开展农村承包土地的经营权和农民住房财产权抵押贷款试点，探索推出农村承包土地的经营权+多种经营权组合抵押贷款、农村承包土地的经营权+担保组合抵押贷款等多种模式。</w:t>
      </w:r>
    </w:p>
    <w:p>
      <w:pPr>
        <w:keepNext w:val="0"/>
        <w:keepLines w:val="0"/>
        <w:widowControl/>
        <w:suppressLineNumbers w:val="0"/>
        <w:ind w:firstLine="643" w:firstLineChars="200"/>
        <w:jc w:val="left"/>
        <w:rPr>
          <w:rFonts w:hint="eastAsia" w:ascii="仿宋_GB2312" w:hAnsi="仿宋_GB2312" w:eastAsia="仿宋_GB2312" w:cs="仿宋_GB2312"/>
          <w:color w:val="auto"/>
          <w:szCs w:val="32"/>
        </w:rPr>
      </w:pPr>
      <w:bookmarkStart w:id="144" w:name="_Toc27220"/>
      <w:r>
        <w:rPr>
          <w:rFonts w:hint="eastAsia" w:ascii="楷体" w:hAnsi="楷体" w:eastAsia="楷体" w:cs="楷体"/>
          <w:b/>
          <w:color w:val="auto"/>
          <w:lang w:val="en-US" w:eastAsia="zh-Hans"/>
        </w:rPr>
        <w:t>推动涉农</w:t>
      </w:r>
      <w:r>
        <w:rPr>
          <w:rFonts w:hint="eastAsia" w:ascii="楷体" w:hAnsi="楷体" w:eastAsia="楷体" w:cs="楷体"/>
          <w:b/>
          <w:color w:val="auto"/>
        </w:rPr>
        <w:t>保险</w:t>
      </w:r>
      <w:r>
        <w:rPr>
          <w:rFonts w:hint="eastAsia" w:ascii="楷体" w:hAnsi="楷体" w:eastAsia="楷体" w:cs="楷体"/>
          <w:b/>
          <w:color w:val="auto"/>
          <w:lang w:val="en-US" w:eastAsia="zh-Hans"/>
        </w:rPr>
        <w:t>产品创新</w:t>
      </w:r>
      <w:bookmarkEnd w:id="144"/>
      <w:r>
        <w:rPr>
          <w:rFonts w:hint="default" w:ascii="楷体" w:hAnsi="楷体" w:eastAsia="楷体" w:cs="楷体"/>
          <w:b/>
          <w:color w:val="auto"/>
        </w:rPr>
        <w:t>。</w:t>
      </w:r>
      <w:r>
        <w:rPr>
          <w:rFonts w:hint="eastAsia"/>
          <w:color w:val="auto"/>
        </w:rPr>
        <w:t>充分发挥</w:t>
      </w:r>
      <w:r>
        <w:rPr>
          <w:rFonts w:hint="eastAsia"/>
          <w:color w:val="auto"/>
          <w:lang w:val="en-US" w:eastAsia="zh-CN"/>
        </w:rPr>
        <w:t>保险</w:t>
      </w:r>
      <w:r>
        <w:rPr>
          <w:rFonts w:hint="eastAsia"/>
          <w:color w:val="auto"/>
        </w:rPr>
        <w:t>金融机构的</w:t>
      </w:r>
      <w:r>
        <w:rPr>
          <w:rFonts w:hint="eastAsia"/>
          <w:color w:val="auto"/>
          <w:lang w:val="en-US" w:eastAsia="zh-CN"/>
        </w:rPr>
        <w:t>保障</w:t>
      </w:r>
      <w:r>
        <w:rPr>
          <w:rFonts w:hint="eastAsia"/>
          <w:color w:val="auto"/>
        </w:rPr>
        <w:t>作用</w:t>
      </w:r>
      <w:r>
        <w:rPr>
          <w:rFonts w:hint="eastAsia"/>
          <w:color w:val="auto"/>
          <w:lang w:eastAsia="zh-CN"/>
        </w:rPr>
        <w:t>，</w:t>
      </w:r>
      <w:r>
        <w:rPr>
          <w:rFonts w:hint="eastAsia"/>
          <w:color w:val="auto"/>
        </w:rPr>
        <w:t>提升农业保险覆盖面，</w:t>
      </w:r>
      <w:r>
        <w:rPr>
          <w:color w:val="auto"/>
        </w:rPr>
        <w:t>推动农业保险</w:t>
      </w:r>
      <w:r>
        <w:rPr>
          <w:rFonts w:hint="eastAsia"/>
          <w:color w:val="auto"/>
        </w:rPr>
        <w:t>“</w:t>
      </w:r>
      <w:r>
        <w:rPr>
          <w:color w:val="auto"/>
        </w:rPr>
        <w:t>扩面、增品、提标</w:t>
      </w:r>
      <w:r>
        <w:rPr>
          <w:rFonts w:hint="eastAsia"/>
          <w:color w:val="auto"/>
        </w:rPr>
        <w:t>”</w:t>
      </w:r>
      <w:r>
        <w:rPr>
          <w:color w:val="auto"/>
        </w:rPr>
        <w:t>。</w:t>
      </w:r>
      <w:r>
        <w:rPr>
          <w:rFonts w:hint="eastAsia"/>
          <w:color w:val="auto"/>
        </w:rPr>
        <w:t>稳步推广开发区域产量、价格、收入、气象指数等保险产品，支持围绕青梅、荔枝、龙眼等岭南水果和本地特色养殖水产品开展“保险+期货”试点。创新开展农村环境污染责任险、农产品质量保证险、农民短期意外伤害险、渔业保险、森林保险等涉农保险。开发满足新型农业生产经营主体和小农户需求的保险产品，探索开展一揽子综合险，逐步将农业机械、农机大棚、农房仓库等农业生产设施设备纳入保障范围。</w:t>
      </w:r>
    </w:p>
    <w:p>
      <w:pPr>
        <w:pStyle w:val="4"/>
        <w:rPr>
          <w:rFonts w:hint="eastAsia"/>
          <w:color w:val="auto"/>
          <w:lang w:val="en-US" w:eastAsia="zh-CN"/>
        </w:rPr>
      </w:pPr>
      <w:bookmarkStart w:id="145" w:name="_Toc30664"/>
      <w:bookmarkStart w:id="146" w:name="_Toc10457"/>
      <w:bookmarkStart w:id="147" w:name="_Toc16892"/>
      <w:r>
        <w:rPr>
          <w:rFonts w:hint="eastAsia"/>
          <w:color w:val="auto"/>
          <w:lang w:val="en-US" w:eastAsia="zh-CN"/>
        </w:rPr>
        <w:t>第三节 推动</w:t>
      </w:r>
      <w:r>
        <w:rPr>
          <w:rFonts w:hint="eastAsia"/>
          <w:color w:val="auto"/>
          <w:lang w:val="en-US" w:eastAsia="zh-Hans"/>
        </w:rPr>
        <w:t>金融</w:t>
      </w:r>
      <w:r>
        <w:rPr>
          <w:rFonts w:hint="eastAsia"/>
          <w:color w:val="auto"/>
          <w:lang w:val="en-US" w:eastAsia="zh-CN"/>
        </w:rPr>
        <w:t>支持</w:t>
      </w:r>
      <w:r>
        <w:rPr>
          <w:rFonts w:hint="eastAsia"/>
          <w:color w:val="auto"/>
          <w:lang w:val="en-US" w:eastAsia="zh-Hans"/>
        </w:rPr>
        <w:t>农业</w:t>
      </w:r>
      <w:r>
        <w:rPr>
          <w:rFonts w:hint="eastAsia"/>
          <w:color w:val="auto"/>
          <w:lang w:val="en-US" w:eastAsia="zh-CN"/>
        </w:rPr>
        <w:t>供给侧改革</w:t>
      </w:r>
      <w:bookmarkEnd w:id="145"/>
      <w:bookmarkEnd w:id="146"/>
      <w:bookmarkEnd w:id="147"/>
    </w:p>
    <w:p>
      <w:pPr>
        <w:pageBreakBefore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华文楷体" w:hAnsi="华文楷体" w:eastAsia="华文楷体" w:cs="华文楷体"/>
          <w:b/>
          <w:color w:val="auto"/>
          <w:lang w:val="en-US" w:eastAsia="zh-Hans"/>
        </w:rPr>
      </w:pPr>
      <w:bookmarkStart w:id="148" w:name="_Toc2345"/>
      <w:r>
        <w:rPr>
          <w:rStyle w:val="44"/>
          <w:rFonts w:hint="eastAsia" w:ascii="楷体" w:hAnsi="楷体" w:eastAsia="楷体" w:cs="楷体"/>
          <w:b/>
          <w:color w:val="auto"/>
          <w:kern w:val="2"/>
          <w:sz w:val="32"/>
          <w:szCs w:val="24"/>
          <w:lang w:val="en-US" w:eastAsia="zh-Hans" w:bidi="ar-SA"/>
        </w:rPr>
        <w:t>增加</w:t>
      </w:r>
      <w:r>
        <w:rPr>
          <w:rStyle w:val="44"/>
          <w:rFonts w:hint="eastAsia" w:ascii="楷体" w:hAnsi="楷体" w:eastAsia="楷体" w:cs="楷体"/>
          <w:b/>
          <w:color w:val="auto"/>
          <w:kern w:val="2"/>
          <w:sz w:val="32"/>
          <w:szCs w:val="24"/>
          <w:lang w:val="en-US" w:eastAsia="zh-CN" w:bidi="ar-SA"/>
        </w:rPr>
        <w:t>农村</w:t>
      </w:r>
      <w:r>
        <w:rPr>
          <w:rStyle w:val="44"/>
          <w:rFonts w:hint="eastAsia" w:ascii="楷体" w:hAnsi="楷体" w:eastAsia="楷体" w:cs="楷体"/>
          <w:b/>
          <w:color w:val="auto"/>
          <w:kern w:val="2"/>
          <w:sz w:val="32"/>
          <w:szCs w:val="24"/>
          <w:lang w:val="en-US" w:eastAsia="zh-Hans" w:bidi="ar-SA"/>
        </w:rPr>
        <w:t>金融有效供给</w:t>
      </w:r>
      <w:r>
        <w:rPr>
          <w:rFonts w:hint="default" w:ascii="楷体" w:hAnsi="楷体" w:eastAsia="楷体" w:cs="楷体"/>
          <w:b/>
          <w:color w:val="auto"/>
          <w:kern w:val="2"/>
          <w:sz w:val="32"/>
          <w:szCs w:val="24"/>
          <w:lang w:eastAsia="zh-Hans" w:bidi="ar-SA"/>
        </w:rPr>
        <w:t>。</w:t>
      </w:r>
      <w:r>
        <w:rPr>
          <w:rFonts w:hint="eastAsia"/>
          <w:color w:val="auto"/>
        </w:rPr>
        <w:t>支持中国银行汕尾分行积极推广“中银惠农通宝”产品，鼓励建设银行汕尾分行做大“县域振兴贷”“惠农贷”等产品业务规模</w:t>
      </w:r>
      <w:r>
        <w:rPr>
          <w:rFonts w:hint="eastAsia"/>
          <w:color w:val="auto"/>
          <w:lang w:eastAsia="zh-CN"/>
        </w:rPr>
        <w:t>。</w:t>
      </w:r>
      <w:r>
        <w:rPr>
          <w:rFonts w:hint="eastAsia"/>
          <w:color w:val="auto"/>
        </w:rPr>
        <w:t>支持农业银行汕尾分行积极与农业银行广东省分行沟通，借鉴在茂名高州、云浮罗定等试点地区开展的风貌提升贷款信用户专项产品模式，推动“风貌贷”信贷产品在海丰县、陆河县开展试点。</w:t>
      </w:r>
      <w:r>
        <w:rPr>
          <w:rFonts w:hint="eastAsia"/>
          <w:color w:val="auto"/>
          <w:lang w:val="en-US" w:eastAsia="zh-CN"/>
        </w:rPr>
        <w:t>在农村产权确权、登记和资产受托业务指引等各项条件成熟的前提下，引导银行机构积极开展农村承包土地的经营权和农民住房财产权抵押贷款试点，探索推出农村承包土地的经营权+多种经营权组合抵押贷款、农村承包土地的经营权+担保组合抵押贷款等多种模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00"/>
        <w:jc w:val="both"/>
        <w:textAlignment w:val="auto"/>
        <w:rPr>
          <w:rFonts w:hint="eastAsia" w:ascii="仿宋_GB2312" w:hAnsi="仿宋_GB2312" w:eastAsia="仿宋_GB2312" w:cs="仿宋_GB2312"/>
          <w:color w:val="auto"/>
          <w:szCs w:val="32"/>
        </w:rPr>
      </w:pPr>
      <w:r>
        <w:rPr>
          <w:rFonts w:hint="eastAsia" w:ascii="华文楷体" w:hAnsi="华文楷体" w:eastAsia="华文楷体" w:cs="华文楷体"/>
          <w:b/>
          <w:color w:val="auto"/>
          <w:lang w:val="en-US" w:eastAsia="zh-Hans"/>
        </w:rPr>
        <w:t>强化农业产融对接</w:t>
      </w:r>
      <w:r>
        <w:rPr>
          <w:rFonts w:hint="default" w:ascii="华文楷体" w:hAnsi="华文楷体" w:eastAsia="华文楷体" w:cs="华文楷体"/>
          <w:b/>
          <w:color w:val="auto"/>
          <w:lang w:eastAsia="zh-Hans"/>
        </w:rPr>
        <w:t>。</w:t>
      </w:r>
      <w:r>
        <w:rPr>
          <w:rFonts w:hint="eastAsia" w:ascii="仿宋_GB2312" w:hAnsi="仿宋_GB2312" w:eastAsia="仿宋_GB2312" w:cs="仿宋_GB2312"/>
          <w:color w:val="auto"/>
          <w:szCs w:val="32"/>
        </w:rPr>
        <w:t>以</w:t>
      </w:r>
      <w:r>
        <w:rPr>
          <w:rFonts w:hint="eastAsia" w:ascii="仿宋_GB2312" w:hAnsi="仿宋_GB2312" w:cs="仿宋_GB2312"/>
          <w:color w:val="auto"/>
          <w:szCs w:val="32"/>
          <w:lang w:val="en-US" w:eastAsia="zh-CN"/>
        </w:rPr>
        <w:t>支持农村</w:t>
      </w:r>
      <w:r>
        <w:rPr>
          <w:rFonts w:hint="eastAsia" w:ascii="仿宋_GB2312" w:hAnsi="仿宋_GB2312" w:eastAsia="仿宋_GB2312" w:cs="仿宋_GB2312"/>
          <w:color w:val="auto"/>
          <w:szCs w:val="32"/>
        </w:rPr>
        <w:t>产业</w:t>
      </w:r>
      <w:r>
        <w:rPr>
          <w:rFonts w:hint="eastAsia" w:ascii="仿宋_GB2312" w:hAnsi="仿宋_GB2312" w:cs="仿宋_GB2312"/>
          <w:color w:val="auto"/>
          <w:szCs w:val="32"/>
          <w:lang w:val="en-US" w:eastAsia="zh-CN"/>
        </w:rPr>
        <w:t>转型升级为重点</w:t>
      </w:r>
      <w:r>
        <w:rPr>
          <w:rFonts w:hint="eastAsia" w:ascii="仿宋_GB2312" w:hAnsi="仿宋_GB2312" w:eastAsia="仿宋_GB2312" w:cs="仿宋_GB2312"/>
          <w:color w:val="auto"/>
          <w:szCs w:val="32"/>
        </w:rPr>
        <w:t>，引导金融机构支持</w:t>
      </w:r>
      <w:r>
        <w:rPr>
          <w:rFonts w:hint="eastAsia" w:ascii="仿宋_GB2312" w:hAnsi="仿宋_GB2312" w:cs="仿宋_GB2312"/>
          <w:color w:val="auto"/>
          <w:szCs w:val="32"/>
          <w:lang w:val="en-US" w:eastAsia="zh-CN"/>
        </w:rPr>
        <w:t>各县</w:t>
      </w:r>
      <w:r>
        <w:rPr>
          <w:rFonts w:hint="eastAsia" w:ascii="仿宋_GB2312" w:hAnsi="仿宋_GB2312" w:eastAsia="仿宋_GB2312" w:cs="仿宋_GB2312"/>
          <w:color w:val="auto"/>
          <w:szCs w:val="32"/>
        </w:rPr>
        <w:t>乡村主导产业、特色产业</w:t>
      </w:r>
      <w:r>
        <w:rPr>
          <w:rFonts w:hint="eastAsia" w:ascii="仿宋_GB2312" w:hAnsi="仿宋_GB2312" w:cs="仿宋_GB2312"/>
          <w:color w:val="auto"/>
          <w:szCs w:val="32"/>
          <w:lang w:val="en-US" w:eastAsia="zh-CN"/>
        </w:rPr>
        <w:t>现代化</w:t>
      </w:r>
      <w:r>
        <w:rPr>
          <w:rFonts w:hint="eastAsia" w:ascii="仿宋_GB2312" w:hAnsi="仿宋_GB2312" w:eastAsia="仿宋_GB2312" w:cs="仿宋_GB2312"/>
          <w:color w:val="auto"/>
          <w:szCs w:val="32"/>
        </w:rPr>
        <w:t>发展</w:t>
      </w:r>
      <w:r>
        <w:rPr>
          <w:rFonts w:hint="default" w:ascii="仿宋_GB2312" w:hAnsi="仿宋_GB2312" w:eastAsia="仿宋_GB2312" w:cs="仿宋_GB2312"/>
          <w:color w:val="auto"/>
          <w:szCs w:val="40"/>
          <w:lang w:val="en-US" w:eastAsia="zh-Hans"/>
        </w:rPr>
        <w:t>。</w:t>
      </w:r>
      <w:r>
        <w:rPr>
          <w:rFonts w:hint="eastAsia" w:ascii="仿宋_GB2312" w:hAnsi="仿宋_GB2312" w:eastAsia="仿宋_GB2312" w:cs="仿宋_GB2312"/>
          <w:color w:val="auto"/>
          <w:kern w:val="2"/>
          <w:szCs w:val="40"/>
          <w:lang w:val="en-US" w:eastAsia="zh-Hans" w:bidi="ar-SA"/>
        </w:rPr>
        <w:t>加强市县联动和部门协作，发挥“政府搭台、企业唱戏”的平台作用，引导各县结合本地农村农业特色举办项目融资洽谈会</w:t>
      </w:r>
      <w:r>
        <w:rPr>
          <w:rFonts w:hint="eastAsia" w:ascii="仿宋_GB2312" w:hAnsi="仿宋_GB2312" w:cs="仿宋_GB2312"/>
          <w:color w:val="auto"/>
          <w:kern w:val="2"/>
          <w:szCs w:val="40"/>
          <w:lang w:val="en-US" w:eastAsia="zh-CN" w:bidi="ar-SA"/>
        </w:rPr>
        <w:t>和</w:t>
      </w:r>
      <w:r>
        <w:rPr>
          <w:rFonts w:hint="eastAsia" w:ascii="仿宋_GB2312" w:hAnsi="仿宋_GB2312" w:eastAsia="仿宋_GB2312" w:cs="仿宋_GB2312"/>
          <w:color w:val="auto"/>
          <w:kern w:val="2"/>
          <w:szCs w:val="40"/>
          <w:lang w:val="en-US" w:eastAsia="zh-Hans" w:bidi="ar-SA"/>
        </w:rPr>
        <w:t>产融对接活动，</w:t>
      </w:r>
      <w:r>
        <w:rPr>
          <w:rFonts w:hint="eastAsia" w:ascii="仿宋_GB2312" w:hAnsi="仿宋_GB2312" w:cs="仿宋_GB2312"/>
          <w:color w:val="auto"/>
          <w:kern w:val="2"/>
          <w:szCs w:val="40"/>
          <w:lang w:val="en-US" w:eastAsia="zh-CN" w:bidi="ar-SA"/>
        </w:rPr>
        <w:t>统筹多方金融资源，</w:t>
      </w:r>
      <w:r>
        <w:rPr>
          <w:rFonts w:hint="eastAsia" w:ascii="仿宋_GB2312" w:hAnsi="仿宋_GB2312" w:eastAsia="仿宋_GB2312" w:cs="仿宋_GB2312"/>
          <w:color w:val="auto"/>
          <w:kern w:val="2"/>
          <w:szCs w:val="40"/>
          <w:lang w:val="en-US" w:eastAsia="zh-Hans" w:bidi="ar-SA"/>
        </w:rPr>
        <w:t>打通农业企业和金融资本的对接渠道。</w:t>
      </w:r>
      <w:bookmarkEnd w:id="148"/>
      <w:r>
        <w:rPr>
          <w:rFonts w:hint="eastAsia" w:ascii="仿宋_GB2312" w:hAnsi="仿宋_GB2312" w:eastAsia="仿宋_GB2312" w:cs="仿宋_GB2312"/>
          <w:color w:val="auto"/>
          <w:szCs w:val="32"/>
        </w:rPr>
        <w:t>探索构建以龙头农业企业为核心的融资主体，通过农业龙头企业积累的客户大数据，构建渗透农业产业链上下游客户的信贷融资模式。</w:t>
      </w:r>
    </w:p>
    <w:p>
      <w:pPr>
        <w:pStyle w:val="4"/>
        <w:rPr>
          <w:rFonts w:hint="eastAsia"/>
          <w:color w:val="auto"/>
          <w:lang w:val="en-US" w:eastAsia="zh-CN"/>
        </w:rPr>
      </w:pPr>
      <w:bookmarkStart w:id="149" w:name="_Toc19051"/>
      <w:bookmarkStart w:id="150" w:name="_Toc19794"/>
      <w:bookmarkStart w:id="151" w:name="_Toc16142"/>
      <w:r>
        <w:rPr>
          <w:rFonts w:hint="eastAsia"/>
          <w:color w:val="auto"/>
          <w:lang w:val="en-US" w:eastAsia="zh-CN"/>
        </w:rPr>
        <w:t>第四节 加强</w:t>
      </w:r>
      <w:r>
        <w:rPr>
          <w:rFonts w:hint="eastAsia"/>
          <w:color w:val="auto"/>
          <w:lang w:val="en-US" w:eastAsia="zh-Hans"/>
        </w:rPr>
        <w:t>金融</w:t>
      </w:r>
      <w:r>
        <w:rPr>
          <w:rFonts w:hint="eastAsia"/>
          <w:color w:val="auto"/>
          <w:lang w:val="en-US" w:eastAsia="zh-CN"/>
        </w:rPr>
        <w:t>支持美丽乡村</w:t>
      </w:r>
      <w:bookmarkEnd w:id="149"/>
      <w:r>
        <w:rPr>
          <w:rFonts w:hint="eastAsia"/>
          <w:color w:val="auto"/>
          <w:lang w:val="en-US" w:eastAsia="zh-Hans"/>
        </w:rPr>
        <w:t>建设</w:t>
      </w:r>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eastAsia="仿宋_GB2312" w:cs="仿宋_GB2312"/>
          <w:color w:val="auto"/>
          <w:kern w:val="2"/>
          <w:szCs w:val="32"/>
          <w:lang w:val="en-US" w:eastAsia="zh-CN" w:bidi="ar-SA"/>
        </w:rPr>
      </w:pPr>
      <w:bookmarkStart w:id="152" w:name="_Toc7000"/>
      <w:r>
        <w:rPr>
          <w:rFonts w:hint="eastAsia" w:ascii="楷体" w:hAnsi="楷体" w:eastAsia="楷体" w:cs="楷体"/>
          <w:b/>
          <w:color w:val="auto"/>
          <w:szCs w:val="32"/>
        </w:rPr>
        <w:t>加大</w:t>
      </w:r>
      <w:r>
        <w:rPr>
          <w:rFonts w:hint="eastAsia" w:ascii="楷体" w:hAnsi="楷体" w:eastAsia="楷体" w:cs="楷体"/>
          <w:b/>
          <w:color w:val="auto"/>
          <w:szCs w:val="32"/>
          <w:lang w:val="en-US" w:eastAsia="zh-CN"/>
        </w:rPr>
        <w:t>农村文旅</w:t>
      </w:r>
      <w:r>
        <w:rPr>
          <w:rFonts w:hint="eastAsia" w:ascii="楷体" w:hAnsi="楷体" w:eastAsia="楷体" w:cs="楷体"/>
          <w:b/>
          <w:color w:val="auto"/>
          <w:szCs w:val="32"/>
        </w:rPr>
        <w:t>金融支持</w:t>
      </w:r>
      <w:bookmarkEnd w:id="152"/>
      <w:r>
        <w:rPr>
          <w:rFonts w:hint="default" w:ascii="楷体" w:hAnsi="楷体" w:eastAsia="楷体" w:cs="楷体"/>
          <w:b/>
          <w:color w:val="auto"/>
          <w:szCs w:val="32"/>
        </w:rPr>
        <w:t>。</w:t>
      </w:r>
      <w:r>
        <w:rPr>
          <w:rFonts w:hint="eastAsia" w:ascii="仿宋_GB2312" w:hAnsi="仿宋_GB2312" w:eastAsia="仿宋_GB2312" w:cs="仿宋_GB2312"/>
          <w:color w:val="auto"/>
          <w:kern w:val="2"/>
          <w:szCs w:val="32"/>
          <w:lang w:val="en-US" w:eastAsia="zh-CN" w:bidi="ar-SA"/>
        </w:rPr>
        <w:t>鼓励金融机构支持各类乡村休闲旅游经营主体发展</w:t>
      </w:r>
      <w:r>
        <w:rPr>
          <w:rFonts w:hint="eastAsia" w:ascii="仿宋_GB2312" w:hAnsi="仿宋_GB2312" w:cs="仿宋_GB2312"/>
          <w:color w:val="auto"/>
          <w:kern w:val="2"/>
          <w:szCs w:val="32"/>
          <w:lang w:val="en-US" w:eastAsia="zh-CN" w:bidi="ar-SA"/>
        </w:rPr>
        <w:t>红色旅游、</w:t>
      </w:r>
      <w:r>
        <w:rPr>
          <w:rFonts w:hint="eastAsia" w:ascii="仿宋_GB2312" w:hAnsi="仿宋_GB2312" w:eastAsia="仿宋_GB2312" w:cs="仿宋_GB2312"/>
          <w:color w:val="auto"/>
          <w:kern w:val="2"/>
          <w:szCs w:val="32"/>
          <w:lang w:val="en-US" w:eastAsia="zh-CN" w:bidi="ar-SA"/>
        </w:rPr>
        <w:t>田园观光、农事体验、休闲度假、特色餐饮、民俗体验、乡村民宿等多种业态，</w:t>
      </w:r>
      <w:r>
        <w:rPr>
          <w:rFonts w:hint="eastAsia" w:ascii="仿宋_GB2312" w:hAnsi="仿宋_GB2312" w:cs="仿宋_GB2312"/>
          <w:color w:val="auto"/>
          <w:kern w:val="2"/>
          <w:szCs w:val="32"/>
          <w:lang w:val="en-US" w:eastAsia="zh-CN" w:bidi="ar-SA"/>
        </w:rPr>
        <w:t>争取国家级和省级产业基金、长期信贷资金</w:t>
      </w:r>
      <w:r>
        <w:rPr>
          <w:rFonts w:hint="eastAsia" w:ascii="仿宋_GB2312" w:hAnsi="仿宋_GB2312" w:eastAsia="仿宋_GB2312" w:cs="仿宋_GB2312"/>
          <w:color w:val="auto"/>
          <w:kern w:val="2"/>
          <w:szCs w:val="32"/>
          <w:lang w:val="en-US" w:eastAsia="zh-CN" w:bidi="ar-SA"/>
        </w:rPr>
        <w:t>支持汕尾市海陆丰革命根据地红色旅游发展，</w:t>
      </w:r>
      <w:r>
        <w:rPr>
          <w:rFonts w:hint="eastAsia" w:ascii="仿宋_GB2312" w:hAnsi="仿宋_GB2312" w:cs="仿宋_GB2312"/>
          <w:color w:val="auto"/>
          <w:kern w:val="2"/>
          <w:szCs w:val="32"/>
          <w:lang w:val="en-US" w:eastAsia="zh-CN" w:bidi="ar-SA"/>
        </w:rPr>
        <w:t>引入社会资本投资建设红海湾滨海旅游产业园，推动金融支持旅游园区的</w:t>
      </w:r>
      <w:r>
        <w:rPr>
          <w:rFonts w:hint="eastAsia" w:ascii="仿宋_GB2312" w:hAnsi="仿宋_GB2312" w:eastAsia="仿宋_GB2312" w:cs="仿宋_GB2312"/>
          <w:color w:val="auto"/>
          <w:kern w:val="2"/>
          <w:szCs w:val="32"/>
          <w:lang w:val="en-US" w:eastAsia="zh-CN" w:bidi="ar-SA"/>
        </w:rPr>
        <w:t>水电路讯网等基础设施和配套设施建设。探索门票收费权质押、景区经营权质押等信贷产品创新。聚焦乡村休闲旅游精品工程，对乡村休闲旅游产业链上经营主体提供全链条金融服务。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楷体" w:hAnsi="楷体" w:eastAsia="楷体" w:cs="楷体"/>
          <w:b/>
          <w:color w:val="auto"/>
          <w:highlight w:val="none"/>
          <w:lang w:val="en-US" w:eastAsia="zh-CN"/>
        </w:rPr>
        <w:t>打造高效便捷的农村</w:t>
      </w:r>
      <w:r>
        <w:rPr>
          <w:rFonts w:hint="eastAsia" w:ascii="楷体" w:hAnsi="楷体" w:eastAsia="楷体" w:cs="楷体"/>
          <w:b/>
          <w:color w:val="auto"/>
          <w:lang w:val="en-US" w:eastAsia="zh-CN"/>
        </w:rPr>
        <w:t>支付体系</w:t>
      </w:r>
      <w:r>
        <w:rPr>
          <w:rFonts w:hint="default" w:ascii="楷体" w:hAnsi="楷体" w:eastAsia="楷体" w:cs="楷体"/>
          <w:b/>
          <w:color w:val="auto"/>
        </w:rPr>
        <w:t>。</w:t>
      </w:r>
      <w:r>
        <w:rPr>
          <w:rFonts w:hint="eastAsia" w:ascii="Calibri" w:hAnsi="Calibri" w:eastAsia="仿宋_GB2312" w:cs="Times New Roman"/>
          <w:color w:val="auto"/>
          <w:kern w:val="2"/>
          <w:sz w:val="32"/>
          <w:szCs w:val="24"/>
          <w:lang w:val="en-US" w:eastAsia="zh-CN" w:bidi="ar-SA"/>
        </w:rPr>
        <w:t>建立以银行机构内部支付系统为基础，以网上银行、银行卡、电子支付等非现金支付工具为发展方向的农村支付结算体系。加大银行卡在农村地区的营销力度，</w:t>
      </w:r>
      <w:r>
        <w:rPr>
          <w:rFonts w:hint="eastAsia" w:cs="Times New Roman"/>
          <w:color w:val="auto"/>
          <w:kern w:val="2"/>
          <w:sz w:val="32"/>
          <w:szCs w:val="24"/>
          <w:lang w:val="en-US" w:eastAsia="zh-CN" w:bidi="ar-SA"/>
        </w:rPr>
        <w:t>适当</w:t>
      </w:r>
      <w:r>
        <w:rPr>
          <w:rFonts w:hint="eastAsia" w:ascii="Calibri" w:hAnsi="Calibri" w:eastAsia="仿宋_GB2312" w:cs="Times New Roman"/>
          <w:color w:val="auto"/>
          <w:kern w:val="2"/>
          <w:sz w:val="32"/>
          <w:szCs w:val="24"/>
          <w:lang w:val="en-US" w:eastAsia="zh-CN" w:bidi="ar-SA"/>
        </w:rPr>
        <w:t>增加ATM和POS机具的布放，大力推广应用网上银行、</w:t>
      </w:r>
      <w:r>
        <w:rPr>
          <w:rFonts w:hint="eastAsia" w:cs="Times New Roman"/>
          <w:color w:val="auto"/>
          <w:kern w:val="2"/>
          <w:sz w:val="32"/>
          <w:szCs w:val="24"/>
          <w:lang w:val="en-US" w:eastAsia="zh-CN" w:bidi="ar-SA"/>
        </w:rPr>
        <w:t>手机</w:t>
      </w:r>
      <w:r>
        <w:rPr>
          <w:rFonts w:hint="eastAsia" w:ascii="Calibri" w:hAnsi="Calibri" w:eastAsia="仿宋_GB2312" w:cs="Times New Roman"/>
          <w:color w:val="auto"/>
          <w:kern w:val="2"/>
          <w:sz w:val="32"/>
          <w:szCs w:val="24"/>
          <w:lang w:val="en-US" w:eastAsia="zh-CN" w:bidi="ar-SA"/>
        </w:rPr>
        <w:t>银行等支付工具，满足生活缴费、政府资金补贴等与百姓生活密切相关的支付功能。积极开展“支付+”生态圈建设，从零售、交通、医疗、教育、政务等多个场景加载移动支付应用，进一步提升移动支付的覆盖面与渗透率。</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Calibri" w:hAnsi="Calibri" w:eastAsia="仿宋_GB2312" w:cs="Times New Roman"/>
          <w:color w:val="auto"/>
          <w:kern w:val="2"/>
          <w:szCs w:val="24"/>
          <w:lang w:val="en-US" w:eastAsia="zh-CN" w:bidi="ar-SA"/>
        </w:rPr>
      </w:pPr>
      <w:r>
        <w:rPr>
          <w:rFonts w:hint="eastAsia" w:ascii="楷体" w:hAnsi="楷体" w:eastAsia="楷体" w:cs="楷体"/>
          <w:b/>
          <w:color w:val="auto"/>
          <w:kern w:val="2"/>
          <w:szCs w:val="24"/>
          <w:lang w:val="en-US" w:eastAsia="zh-Hans" w:bidi="ar-SA"/>
        </w:rPr>
        <w:t>增强农村信用体系建设</w:t>
      </w:r>
      <w:r>
        <w:rPr>
          <w:rFonts w:hint="default" w:ascii="楷体" w:hAnsi="楷体" w:eastAsia="楷体" w:cs="楷体"/>
          <w:b/>
          <w:color w:val="auto"/>
          <w:kern w:val="2"/>
          <w:szCs w:val="24"/>
          <w:lang w:eastAsia="zh-Hans" w:bidi="ar-SA"/>
        </w:rPr>
        <w:t>。</w:t>
      </w:r>
      <w:r>
        <w:rPr>
          <w:rFonts w:hint="eastAsia" w:ascii="仿宋_GB2312" w:hAnsi="仿宋_GB2312" w:eastAsia="仿宋_GB2312" w:cs="仿宋_GB2312"/>
          <w:color w:val="auto"/>
          <w:kern w:val="2"/>
          <w:szCs w:val="40"/>
          <w:lang w:val="en-US" w:eastAsia="zh-Hans" w:bidi="ar-SA"/>
        </w:rPr>
        <w:t>持续推进农村信用镇（村）、信用农户创建活动，建立完善农户、农村新型经营主体信用档案</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探索建立适合汕尾农村实际的信用评价体系，促进信息、信用与信贷联动</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增强农民和农村经济主体的诚信意识和风险意识</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助力“信用汕尾”建设</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探索</w:t>
      </w:r>
      <w:r>
        <w:rPr>
          <w:rFonts w:hint="eastAsia" w:ascii="仿宋_GB2312" w:hAnsi="仿宋_GB2312" w:eastAsia="仿宋_GB2312" w:cs="仿宋_GB2312"/>
          <w:color w:val="auto"/>
          <w:szCs w:val="32"/>
        </w:rPr>
        <w:t>建立健全与农村金融发展相匹配的专业性中介服务体系和第三方评级评估机构</w:t>
      </w:r>
      <w:r>
        <w:rPr>
          <w:rFonts w:hint="default" w:ascii="仿宋_GB2312" w:hAnsi="仿宋_GB2312" w:eastAsia="仿宋_GB2312" w:cs="仿宋_GB2312"/>
          <w:color w:val="auto"/>
          <w:szCs w:val="32"/>
        </w:rPr>
        <w:t>，</w:t>
      </w:r>
      <w:r>
        <w:rPr>
          <w:rFonts w:hint="eastAsia" w:ascii="仿宋_GB2312" w:hAnsi="仿宋_GB2312" w:eastAsia="仿宋_GB2312" w:cs="仿宋_GB2312"/>
          <w:color w:val="auto"/>
          <w:kern w:val="2"/>
          <w:szCs w:val="40"/>
          <w:lang w:val="en-US" w:eastAsia="zh-Hans" w:bidi="ar-SA"/>
        </w:rPr>
        <w:t>为金融支持乡村振兴创造良好的信用环境</w:t>
      </w:r>
      <w:r>
        <w:rPr>
          <w:rFonts w:hint="default" w:ascii="仿宋_GB2312" w:hAnsi="仿宋_GB2312" w:eastAsia="仿宋_GB2312" w:cs="仿宋_GB2312"/>
          <w:color w:val="auto"/>
          <w:kern w:val="2"/>
          <w:szCs w:val="40"/>
          <w:lang w:eastAsia="zh-Hans" w:bidi="ar-SA"/>
        </w:rPr>
        <w:t>。</w:t>
      </w:r>
    </w:p>
    <w:p>
      <w:pPr>
        <w:pStyle w:val="3"/>
        <w:rPr>
          <w:rFonts w:hint="eastAsia"/>
          <w:color w:val="auto"/>
        </w:rPr>
      </w:pPr>
      <w:bookmarkStart w:id="153" w:name="_Toc31689"/>
      <w:bookmarkStart w:id="154" w:name="_Toc5536"/>
      <w:bookmarkStart w:id="155" w:name="_Toc3781"/>
      <w:r>
        <w:rPr>
          <w:rFonts w:hint="eastAsia"/>
          <w:color w:val="auto"/>
        </w:rPr>
        <w:t>第</w:t>
      </w:r>
      <w:r>
        <w:rPr>
          <w:rFonts w:hint="eastAsia"/>
          <w:color w:val="auto"/>
          <w:lang w:val="en-US" w:eastAsia="zh-CN"/>
        </w:rPr>
        <w:t>六</w:t>
      </w:r>
      <w:r>
        <w:rPr>
          <w:rFonts w:hint="eastAsia"/>
          <w:color w:val="auto"/>
        </w:rPr>
        <w:t xml:space="preserve">章 </w:t>
      </w:r>
      <w:r>
        <w:rPr>
          <w:rFonts w:hint="eastAsia"/>
          <w:color w:val="auto"/>
          <w:lang w:val="en-US" w:eastAsia="zh-CN"/>
        </w:rPr>
        <w:t>创新</w:t>
      </w:r>
      <w:r>
        <w:rPr>
          <w:rFonts w:hint="eastAsia"/>
          <w:color w:val="auto"/>
        </w:rPr>
        <w:t>发展绿色金融</w:t>
      </w:r>
      <w:bookmarkEnd w:id="153"/>
      <w:bookmarkEnd w:id="154"/>
      <w:r>
        <w:rPr>
          <w:rFonts w:hint="eastAsia"/>
          <w:color w:val="auto"/>
          <w:lang w:eastAsia="zh-CN"/>
        </w:rPr>
        <w:t>，</w:t>
      </w:r>
      <w:r>
        <w:rPr>
          <w:rFonts w:hint="eastAsia"/>
          <w:color w:val="auto"/>
          <w:lang w:eastAsia="zh-CN"/>
        </w:rPr>
        <w:fldChar w:fldCharType="begin"/>
      </w:r>
      <w:r>
        <w:rPr>
          <w:rFonts w:hint="eastAsia"/>
          <w:color w:val="auto"/>
          <w:lang w:eastAsia="zh-CN"/>
        </w:rPr>
        <w:instrText xml:space="preserve"> HYPERLINK "https://www.sogou.com/link?url=CrexC2hj5_5jlcRDgOlF6OSw3CPgdtIQVcIjELGr7Dhcw2c1aJmZP6nUx-krcO0h_2NIUswp4fud1z-qAIYbC9M7Xe6uZ5eq" \t "https://www.sogou.com/_blank" </w:instrText>
      </w:r>
      <w:r>
        <w:rPr>
          <w:rFonts w:hint="eastAsia"/>
          <w:color w:val="auto"/>
          <w:lang w:eastAsia="zh-CN"/>
        </w:rPr>
        <w:fldChar w:fldCharType="separate"/>
      </w:r>
      <w:r>
        <w:rPr>
          <w:rFonts w:hint="eastAsia"/>
          <w:color w:val="auto"/>
          <w:lang w:val="en-US" w:eastAsia="zh-CN"/>
        </w:rPr>
        <w:t>促进</w:t>
      </w:r>
      <w:r>
        <w:rPr>
          <w:rFonts w:hint="eastAsia"/>
          <w:color w:val="auto"/>
          <w:lang w:eastAsia="zh-CN"/>
        </w:rPr>
        <w:t>绿色低碳发展</w:t>
      </w:r>
      <w:r>
        <w:rPr>
          <w:rFonts w:hint="eastAsia"/>
          <w:color w:val="auto"/>
          <w:lang w:eastAsia="zh-CN"/>
        </w:rPr>
        <w:fldChar w:fldCharType="end"/>
      </w:r>
      <w:bookmarkEnd w:id="155"/>
    </w:p>
    <w:p>
      <w:pPr>
        <w:pStyle w:val="4"/>
        <w:keepNext/>
        <w:keepLines/>
        <w:pageBreakBefore w:val="0"/>
        <w:widowControl w:val="0"/>
        <w:kinsoku/>
        <w:wordWrap/>
        <w:overflowPunct/>
        <w:topLinePunct w:val="0"/>
        <w:autoSpaceDE/>
        <w:autoSpaceDN/>
        <w:bidi w:val="0"/>
        <w:adjustRightInd/>
        <w:snapToGrid/>
        <w:spacing w:before="93" w:beforeLines="30" w:after="93" w:afterLines="30" w:line="360" w:lineRule="auto"/>
        <w:ind w:firstLine="0" w:firstLineChars="0"/>
        <w:jc w:val="center"/>
        <w:textAlignment w:val="auto"/>
        <w:outlineLvl w:val="1"/>
        <w:rPr>
          <w:color w:val="auto"/>
          <w:lang w:val="en-US" w:eastAsia="zh-CN"/>
        </w:rPr>
      </w:pPr>
      <w:bookmarkStart w:id="156" w:name="_Toc1357"/>
      <w:r>
        <w:rPr>
          <w:rFonts w:hint="eastAsia"/>
          <w:color w:val="auto"/>
          <w:lang w:val="en-US" w:eastAsia="zh-CN"/>
        </w:rPr>
        <w:t>第一节 加大对绿色产业的金融支持</w:t>
      </w:r>
      <w:bookmarkEnd w:id="156"/>
    </w:p>
    <w:p>
      <w:pPr>
        <w:rPr>
          <w:rFonts w:hint="eastAsia"/>
          <w:color w:val="auto"/>
        </w:rPr>
      </w:pPr>
      <w:r>
        <w:rPr>
          <w:rFonts w:hint="eastAsia"/>
          <w:color w:val="auto"/>
          <w:lang w:val="en-US" w:eastAsia="zh-CN"/>
        </w:rPr>
        <w:t>加大汕尾临港工业</w:t>
      </w:r>
      <w:r>
        <w:rPr>
          <w:rFonts w:hint="eastAsia"/>
          <w:color w:val="auto"/>
          <w:lang w:eastAsia="zh-CN"/>
        </w:rPr>
        <w:t>园建设</w:t>
      </w:r>
      <w:r>
        <w:rPr>
          <w:rFonts w:hint="eastAsia"/>
          <w:color w:val="auto"/>
          <w:lang w:val="en-US" w:eastAsia="zh-CN"/>
        </w:rPr>
        <w:t>的金融</w:t>
      </w:r>
      <w:r>
        <w:rPr>
          <w:rFonts w:hint="eastAsia"/>
          <w:color w:val="auto"/>
          <w:lang w:eastAsia="zh-CN"/>
        </w:rPr>
        <w:t>支持</w:t>
      </w:r>
      <w:r>
        <w:rPr>
          <w:rFonts w:hint="eastAsia"/>
          <w:color w:val="auto"/>
          <w:lang w:val="en-US" w:eastAsia="zh-CN"/>
        </w:rPr>
        <w:t>力度</w:t>
      </w:r>
      <w:r>
        <w:rPr>
          <w:rFonts w:hint="eastAsia"/>
          <w:color w:val="auto"/>
          <w:lang w:eastAsia="zh-CN"/>
        </w:rPr>
        <w:t>，</w:t>
      </w:r>
      <w:r>
        <w:rPr>
          <w:rFonts w:hint="eastAsia"/>
          <w:color w:val="auto"/>
        </w:rPr>
        <w:t>鼓励</w:t>
      </w:r>
      <w:r>
        <w:rPr>
          <w:rFonts w:hint="eastAsia"/>
          <w:color w:val="auto"/>
          <w:lang w:eastAsia="zh-CN"/>
        </w:rPr>
        <w:t>金融机构加强核电</w:t>
      </w:r>
      <w:r>
        <w:rPr>
          <w:rFonts w:hint="eastAsia"/>
          <w:color w:val="auto"/>
          <w:lang w:val="en-US" w:eastAsia="zh-CN"/>
        </w:rPr>
        <w:t>和海上风电</w:t>
      </w:r>
      <w:r>
        <w:rPr>
          <w:rFonts w:hint="eastAsia"/>
          <w:color w:val="auto"/>
          <w:lang w:eastAsia="zh-CN"/>
        </w:rPr>
        <w:t>产业链融资服务</w:t>
      </w:r>
      <w:r>
        <w:rPr>
          <w:rFonts w:hint="eastAsia"/>
          <w:color w:val="auto"/>
          <w:lang w:val="en-US" w:eastAsia="zh-CN"/>
        </w:rPr>
        <w:t>。</w:t>
      </w:r>
      <w:r>
        <w:rPr>
          <w:rFonts w:hint="eastAsia"/>
          <w:color w:val="auto"/>
        </w:rPr>
        <w:t>鼓励各</w:t>
      </w:r>
      <w:r>
        <w:rPr>
          <w:rFonts w:hint="eastAsia"/>
          <w:color w:val="auto"/>
          <w:lang w:eastAsia="zh-CN"/>
        </w:rPr>
        <w:t>金融</w:t>
      </w:r>
      <w:r>
        <w:rPr>
          <w:rFonts w:hint="eastAsia"/>
          <w:color w:val="auto"/>
        </w:rPr>
        <w:t>机构优先支持</w:t>
      </w:r>
      <w:r>
        <w:rPr>
          <w:rFonts w:hint="eastAsia"/>
          <w:color w:val="auto"/>
          <w:lang w:val="en-US" w:eastAsia="zh-CN"/>
        </w:rPr>
        <w:t>电子信息、食品药品、生物医药、新能源新材料等绿色产业发展，加大力度支持珠宝、服装等</w:t>
      </w:r>
      <w:r>
        <w:rPr>
          <w:rFonts w:hint="eastAsia"/>
          <w:color w:val="auto"/>
          <w:lang w:eastAsia="zh-CN"/>
        </w:rPr>
        <w:t>传统优势产业绿色化改造。</w:t>
      </w:r>
      <w:r>
        <w:rPr>
          <w:rFonts w:hint="eastAsia"/>
          <w:color w:val="auto"/>
        </w:rPr>
        <w:t>鼓励各</w:t>
      </w:r>
      <w:r>
        <w:rPr>
          <w:rFonts w:hint="eastAsia"/>
          <w:color w:val="auto"/>
          <w:lang w:eastAsia="zh-CN"/>
        </w:rPr>
        <w:t>金融机构</w:t>
      </w:r>
      <w:r>
        <w:rPr>
          <w:rFonts w:hint="eastAsia"/>
          <w:color w:val="auto"/>
        </w:rPr>
        <w:t>积极对接</w:t>
      </w:r>
      <w:r>
        <w:rPr>
          <w:rFonts w:hint="eastAsia"/>
          <w:color w:val="auto"/>
          <w:lang w:val="en-US" w:eastAsia="zh-CN"/>
        </w:rPr>
        <w:t>全市</w:t>
      </w:r>
      <w:r>
        <w:rPr>
          <w:rFonts w:hint="eastAsia"/>
          <w:color w:val="auto"/>
          <w:lang w:eastAsia="zh-CN"/>
        </w:rPr>
        <w:t>大气、水、土壤、农村环境等领域整治工程，</w:t>
      </w:r>
      <w:r>
        <w:rPr>
          <w:rFonts w:hint="eastAsia"/>
          <w:color w:val="auto"/>
        </w:rPr>
        <w:t>满足重要生态系统保护和修复重大工程建设融资需求，支持生态环境质量改善</w:t>
      </w:r>
      <w:r>
        <w:rPr>
          <w:rFonts w:hint="eastAsia"/>
          <w:color w:val="auto"/>
          <w:lang w:eastAsia="zh-CN"/>
        </w:rPr>
        <w:t>，</w:t>
      </w:r>
      <w:r>
        <w:rPr>
          <w:rFonts w:hint="eastAsia"/>
          <w:color w:val="auto"/>
        </w:rPr>
        <w:t>持续提升生态环境质量。</w:t>
      </w:r>
      <w:r>
        <w:rPr>
          <w:rFonts w:hint="eastAsia"/>
          <w:color w:val="auto"/>
          <w:lang w:eastAsia="zh-CN"/>
        </w:rPr>
        <w:t>继续</w:t>
      </w:r>
      <w:r>
        <w:rPr>
          <w:rFonts w:hint="eastAsia"/>
          <w:color w:val="auto"/>
        </w:rPr>
        <w:t>加大中长期贷款投放力度，支持园林绿化、智慧城市、污水处理厂建设改造、垃圾收运和处置、美丽乡村建设、</w:t>
      </w:r>
      <w:r>
        <w:rPr>
          <w:rFonts w:hint="eastAsia"/>
          <w:color w:val="auto"/>
          <w:lang w:eastAsia="zh-CN"/>
        </w:rPr>
        <w:t>旧城区</w:t>
      </w:r>
      <w:r>
        <w:rPr>
          <w:rFonts w:hint="eastAsia"/>
          <w:color w:val="auto"/>
        </w:rPr>
        <w:t>改造、</w:t>
      </w:r>
      <w:r>
        <w:rPr>
          <w:rFonts w:hint="eastAsia"/>
          <w:color w:val="auto"/>
          <w:lang w:eastAsia="zh-CN"/>
        </w:rPr>
        <w:t>乡村人居环境</w:t>
      </w:r>
      <w:r>
        <w:rPr>
          <w:rFonts w:hint="eastAsia"/>
          <w:color w:val="auto"/>
        </w:rPr>
        <w:t>整治等项目</w:t>
      </w:r>
      <w:r>
        <w:rPr>
          <w:rFonts w:hint="eastAsia"/>
          <w:color w:val="auto"/>
          <w:lang w:eastAsia="zh-CN"/>
        </w:rPr>
        <w:t>。</w:t>
      </w:r>
    </w:p>
    <w:p>
      <w:pPr>
        <w:pStyle w:val="4"/>
        <w:rPr>
          <w:rFonts w:hint="eastAsia"/>
          <w:color w:val="auto"/>
        </w:rPr>
      </w:pPr>
      <w:bookmarkStart w:id="157" w:name="_Toc351"/>
      <w:r>
        <w:rPr>
          <w:rFonts w:hint="default"/>
          <w:color w:val="auto"/>
          <w:lang w:val="en-US" w:eastAsia="zh-CN"/>
        </w:rPr>
        <w:t>第</w:t>
      </w:r>
      <w:r>
        <w:rPr>
          <w:rFonts w:hint="eastAsia"/>
          <w:color w:val="auto"/>
          <w:lang w:val="en-US" w:eastAsia="zh-CN"/>
        </w:rPr>
        <w:t>二</w:t>
      </w:r>
      <w:r>
        <w:rPr>
          <w:rFonts w:hint="default"/>
          <w:color w:val="auto"/>
          <w:lang w:val="en-US" w:eastAsia="zh-CN"/>
        </w:rPr>
        <w:t xml:space="preserve">节 </w:t>
      </w:r>
      <w:r>
        <w:rPr>
          <w:rFonts w:hint="eastAsia"/>
          <w:color w:val="auto"/>
          <w:lang w:val="en-US" w:eastAsia="zh-CN"/>
        </w:rPr>
        <w:t>创新绿色金融产品服务</w:t>
      </w:r>
      <w:bookmarkEnd w:id="157"/>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color w:val="auto"/>
        </w:rPr>
      </w:pPr>
      <w:r>
        <w:rPr>
          <w:rFonts w:hint="eastAsia"/>
          <w:color w:val="auto"/>
        </w:rPr>
        <w:t>坚持市场化操作，在风险可控、商业可持续的情况下，引导银行业金融机构</w:t>
      </w:r>
      <w:r>
        <w:rPr>
          <w:rFonts w:hint="eastAsia"/>
          <w:color w:val="auto"/>
          <w:lang w:val="en-US" w:eastAsia="zh-CN"/>
        </w:rPr>
        <w:t>探索</w:t>
      </w:r>
      <w:r>
        <w:rPr>
          <w:rFonts w:hint="eastAsia"/>
          <w:color w:val="auto"/>
        </w:rPr>
        <w:t>绿色信贷资产证券化、合同环境服务质押贷款、合同能源管理未来收益权质押贷款、特许经营权质押</w:t>
      </w:r>
      <w:r>
        <w:rPr>
          <w:rFonts w:hint="eastAsia"/>
          <w:color w:val="auto"/>
          <w:lang w:val="en-US" w:eastAsia="zh-CN"/>
        </w:rPr>
        <w:t>贷款</w:t>
      </w:r>
      <w:r>
        <w:rPr>
          <w:rFonts w:hint="eastAsia"/>
          <w:color w:val="auto"/>
        </w:rPr>
        <w:t>、排污权质押贷款、收费权质押</w:t>
      </w:r>
      <w:r>
        <w:rPr>
          <w:rFonts w:hint="eastAsia"/>
          <w:color w:val="auto"/>
          <w:lang w:val="en-US" w:eastAsia="zh-CN"/>
        </w:rPr>
        <w:t>贷款</w:t>
      </w:r>
      <w:r>
        <w:rPr>
          <w:rFonts w:hint="eastAsia"/>
          <w:color w:val="auto"/>
        </w:rPr>
        <w:t>、碳排放权融资、节能减排融资等金融工具和服务。鼓励金融法人机构发行绿色金融债，支持绿色企业或绿色项目发行绿色资产支持证券、绿色收益支持证券、绿色公司债、绿色企业债</w:t>
      </w:r>
      <w:r>
        <w:rPr>
          <w:rFonts w:hint="eastAsia"/>
          <w:color w:val="auto"/>
          <w:lang w:eastAsia="zh-CN"/>
        </w:rPr>
        <w:t>，</w:t>
      </w:r>
      <w:r>
        <w:rPr>
          <w:color w:val="auto"/>
        </w:rPr>
        <w:t>支持符合条件的绿色产业企业上市</w:t>
      </w:r>
      <w:r>
        <w:rPr>
          <w:rFonts w:hint="eastAsia"/>
          <w:color w:val="auto"/>
          <w:lang w:val="en-US" w:eastAsia="zh-CN"/>
        </w:rPr>
        <w:t>挂牌</w:t>
      </w:r>
      <w:r>
        <w:rPr>
          <w:color w:val="auto"/>
        </w:rPr>
        <w:t>融资。</w:t>
      </w:r>
      <w:r>
        <w:rPr>
          <w:rFonts w:hint="eastAsia"/>
          <w:color w:val="auto"/>
          <w:lang w:val="en-US" w:eastAsia="zh-CN"/>
        </w:rPr>
        <w:t>探索</w:t>
      </w:r>
      <w:r>
        <w:rPr>
          <w:rFonts w:hint="eastAsia" w:ascii="仿宋_GB2312" w:hAnsi="仿宋_GB2312" w:cs="仿宋_GB2312"/>
          <w:color w:val="auto"/>
          <w:szCs w:val="32"/>
          <w:lang w:val="en-US" w:eastAsia="zh-CN"/>
        </w:rPr>
        <w:t>成立</w:t>
      </w:r>
      <w:r>
        <w:rPr>
          <w:rFonts w:hint="eastAsia" w:ascii="仿宋_GB2312" w:hAnsi="仿宋_GB2312" w:eastAsia="仿宋_GB2312" w:cs="仿宋_GB2312"/>
          <w:color w:val="auto"/>
          <w:szCs w:val="32"/>
        </w:rPr>
        <w:t>绿色产业投资基金，</w:t>
      </w:r>
      <w:r>
        <w:rPr>
          <w:rFonts w:hint="eastAsia"/>
          <w:color w:val="auto"/>
        </w:rPr>
        <w:t>积极扶持环境改善、应对环境整治、气候变化和资源节约高效利用的经济活动</w:t>
      </w:r>
      <w:r>
        <w:rPr>
          <w:rFonts w:hint="eastAsia"/>
          <w:color w:val="auto"/>
          <w:lang w:eastAsia="zh-CN"/>
        </w:rPr>
        <w:t>。鼓励和支持保险公司创新绿色保险产品和服务，发挥保险费率调节机制作用，依法推进环境污染责任保险工作，拓宽环境污染责任保险覆盖面。</w:t>
      </w:r>
      <w:r>
        <w:rPr>
          <w:rFonts w:hint="eastAsia"/>
          <w:color w:val="auto"/>
        </w:rPr>
        <w:t xml:space="preserve"> </w:t>
      </w:r>
    </w:p>
    <w:p>
      <w:pPr>
        <w:pStyle w:val="4"/>
        <w:rPr>
          <w:rFonts w:hint="default"/>
          <w:color w:val="auto"/>
          <w:lang w:val="en-US" w:eastAsia="zh-CN"/>
        </w:rPr>
      </w:pPr>
      <w:bookmarkStart w:id="158" w:name="_Toc31768"/>
      <w:r>
        <w:rPr>
          <w:rFonts w:hint="default"/>
          <w:color w:val="auto"/>
          <w:lang w:val="en-US" w:eastAsia="zh-CN"/>
        </w:rPr>
        <w:t>第</w:t>
      </w:r>
      <w:r>
        <w:rPr>
          <w:rFonts w:hint="eastAsia"/>
          <w:color w:val="auto"/>
          <w:lang w:val="en-US" w:eastAsia="zh-CN"/>
        </w:rPr>
        <w:t>三</w:t>
      </w:r>
      <w:r>
        <w:rPr>
          <w:rFonts w:hint="default"/>
          <w:color w:val="auto"/>
          <w:lang w:val="en-US" w:eastAsia="zh-CN"/>
        </w:rPr>
        <w:t>节 完善绿色</w:t>
      </w:r>
      <w:r>
        <w:rPr>
          <w:rFonts w:hint="eastAsia"/>
          <w:color w:val="auto"/>
          <w:lang w:val="en-US" w:eastAsia="zh-CN"/>
        </w:rPr>
        <w:t>金融配套机制</w:t>
      </w:r>
      <w:bookmarkEnd w:id="158"/>
    </w:p>
    <w:p>
      <w:pPr>
        <w:keepNext w:val="0"/>
        <w:keepLines w:val="0"/>
        <w:pageBreakBefore w:val="0"/>
        <w:kinsoku/>
        <w:wordWrap/>
        <w:overflowPunct/>
        <w:topLinePunct w:val="0"/>
        <w:autoSpaceDE/>
        <w:autoSpaceDN/>
        <w:bidi w:val="0"/>
        <w:adjustRightInd/>
        <w:snapToGrid/>
        <w:ind w:firstLine="643" w:firstLineChars="200"/>
        <w:textAlignment w:val="auto"/>
        <w:outlineLvl w:val="9"/>
        <w:rPr>
          <w:rFonts w:hint="default"/>
          <w:color w:val="auto"/>
        </w:rPr>
      </w:pPr>
      <w:r>
        <w:rPr>
          <w:rFonts w:hint="eastAsia" w:ascii="楷体" w:hAnsi="楷体" w:eastAsia="楷体" w:cs="楷体"/>
          <w:b/>
          <w:color w:val="auto"/>
          <w:lang w:val="en-US" w:eastAsia="zh-CN"/>
        </w:rPr>
        <w:t>制定</w:t>
      </w:r>
      <w:r>
        <w:rPr>
          <w:rFonts w:hint="eastAsia" w:ascii="楷体" w:hAnsi="楷体" w:eastAsia="楷体" w:cs="楷体"/>
          <w:b/>
          <w:color w:val="auto"/>
        </w:rPr>
        <w:t>绿色</w:t>
      </w:r>
      <w:r>
        <w:rPr>
          <w:rFonts w:hint="eastAsia" w:ascii="楷体" w:hAnsi="楷体" w:eastAsia="楷体" w:cs="楷体"/>
          <w:b/>
          <w:color w:val="auto"/>
          <w:lang w:val="en-US" w:eastAsia="zh-CN"/>
        </w:rPr>
        <w:t>企业名录</w:t>
      </w:r>
      <w:r>
        <w:rPr>
          <w:rFonts w:hint="default" w:ascii="楷体" w:hAnsi="楷体" w:eastAsia="楷体" w:cs="楷体"/>
          <w:b/>
          <w:color w:val="auto"/>
        </w:rPr>
        <w:t>。</w:t>
      </w:r>
      <w:r>
        <w:rPr>
          <w:rFonts w:hint="eastAsia"/>
          <w:color w:val="auto"/>
        </w:rPr>
        <w:t>根据国家</w:t>
      </w:r>
      <w:r>
        <w:rPr>
          <w:rFonts w:hint="eastAsia"/>
          <w:color w:val="auto"/>
          <w:lang w:val="en-US" w:eastAsia="zh-CN"/>
        </w:rPr>
        <w:t>绿色</w:t>
      </w:r>
      <w:r>
        <w:rPr>
          <w:rFonts w:hint="eastAsia"/>
          <w:color w:val="auto"/>
        </w:rPr>
        <w:t>产业政策和最新的《绿色产业指导目录》，梳理形成</w:t>
      </w:r>
      <w:r>
        <w:rPr>
          <w:rFonts w:hint="eastAsia"/>
          <w:color w:val="auto"/>
          <w:lang w:val="en-US" w:eastAsia="zh-CN"/>
        </w:rPr>
        <w:t>汕尾</w:t>
      </w:r>
      <w:r>
        <w:rPr>
          <w:rFonts w:hint="eastAsia"/>
          <w:color w:val="auto"/>
        </w:rPr>
        <w:t>绿色及相关产业企业名录并定期更新，不断提升金融服务绿色产业的精准性。指定辖内1—2家金融机构为绿色金融推广专门信贷机构，按照企业基本条件评价、生产与管理评价、环境管理与污染防治评价、企业社会责任评价等四个维度，明确绿色企业的认定规范。</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firstLine="643" w:firstLineChars="200"/>
        <w:jc w:val="both"/>
        <w:textAlignment w:val="auto"/>
        <w:outlineLvl w:val="9"/>
        <w:rPr>
          <w:rFonts w:hint="eastAsia"/>
          <w:color w:val="auto"/>
        </w:rPr>
      </w:pPr>
      <w:r>
        <w:rPr>
          <w:rFonts w:hint="eastAsia" w:ascii="楷体" w:hAnsi="楷体" w:eastAsia="楷体" w:cs="楷体"/>
          <w:b/>
          <w:color w:val="auto"/>
        </w:rPr>
        <w:t>建立有效的绿色信贷激励机制。</w:t>
      </w:r>
      <w:r>
        <w:rPr>
          <w:rFonts w:hint="eastAsia"/>
          <w:color w:val="auto"/>
          <w:lang w:val="en-US" w:eastAsia="zh-CN"/>
        </w:rPr>
        <w:t>探索</w:t>
      </w:r>
      <w:r>
        <w:rPr>
          <w:rFonts w:hint="eastAsia"/>
          <w:color w:val="auto"/>
        </w:rPr>
        <w:t>绿色金融贷款财政贴息支持</w:t>
      </w:r>
      <w:r>
        <w:rPr>
          <w:rFonts w:hint="eastAsia"/>
          <w:color w:val="auto"/>
          <w:lang w:val="en-US" w:eastAsia="zh-CN"/>
        </w:rPr>
        <w:t>政策</w:t>
      </w:r>
      <w:r>
        <w:rPr>
          <w:rFonts w:hint="eastAsia"/>
          <w:color w:val="auto"/>
        </w:rPr>
        <w:t>。</w:t>
      </w:r>
      <w:r>
        <w:rPr>
          <w:rFonts w:hint="eastAsia"/>
          <w:color w:val="auto"/>
          <w:lang w:val="en-US" w:eastAsia="zh-CN"/>
        </w:rPr>
        <w:t>推动</w:t>
      </w:r>
      <w:r>
        <w:rPr>
          <w:rFonts w:hint="eastAsia"/>
          <w:color w:val="auto"/>
        </w:rPr>
        <w:t>将绿色信贷指标纳入金融机构内部考核体系，加强绿色信贷业绩评价的跟踪监测，积极探索拓展评价结果的应用方式，引导金融机构进行绿色投融资，形成政策驱动与市场化发展相结合的绿色金融发展路径，增强对绿色金融发展的激励约束</w:t>
      </w:r>
      <w:r>
        <w:rPr>
          <w:rFonts w:hint="eastAsia"/>
          <w:color w:val="auto"/>
          <w:lang w:eastAsia="zh-CN"/>
        </w:rPr>
        <w:t>。</w:t>
      </w:r>
      <w:r>
        <w:rPr>
          <w:rFonts w:hint="eastAsia"/>
          <w:color w:val="auto"/>
          <w:lang w:val="en-US" w:eastAsia="zh-Hans"/>
        </w:rPr>
        <w:t>引导金融</w:t>
      </w:r>
      <w:r>
        <w:rPr>
          <w:rFonts w:hint="eastAsia"/>
          <w:color w:val="auto"/>
        </w:rPr>
        <w:t>机构建立适合绿色项目授信特点的高效审批机制，</w:t>
      </w:r>
      <w:r>
        <w:rPr>
          <w:rFonts w:hint="eastAsia"/>
          <w:color w:val="auto"/>
          <w:lang w:val="en-US" w:eastAsia="zh-CN"/>
        </w:rPr>
        <w:t>优化</w:t>
      </w:r>
      <w:r>
        <w:rPr>
          <w:rFonts w:hint="eastAsia"/>
          <w:color w:val="auto"/>
        </w:rPr>
        <w:t>绿色信贷流程、产品和服务创新</w:t>
      </w:r>
      <w:r>
        <w:rPr>
          <w:rFonts w:hint="default"/>
          <w:color w:val="auto"/>
        </w:rPr>
        <w:t>。</w:t>
      </w:r>
    </w:p>
    <w:p>
      <w:pPr>
        <w:pStyle w:val="3"/>
        <w:rPr>
          <w:rFonts w:hint="eastAsia" w:eastAsia="方正小标宋简体"/>
          <w:color w:val="auto"/>
          <w:lang w:eastAsia="zh-CN"/>
        </w:rPr>
      </w:pPr>
      <w:bookmarkStart w:id="159" w:name="_Toc15164"/>
      <w:bookmarkStart w:id="160" w:name="_Toc14320"/>
      <w:bookmarkStart w:id="161" w:name="_Toc21839"/>
      <w:r>
        <w:rPr>
          <w:rFonts w:hint="eastAsia"/>
          <w:color w:val="auto"/>
        </w:rPr>
        <w:t>第</w:t>
      </w:r>
      <w:r>
        <w:rPr>
          <w:rFonts w:hint="eastAsia"/>
          <w:color w:val="auto"/>
          <w:lang w:val="en-US" w:eastAsia="zh-CN"/>
        </w:rPr>
        <w:t>七</w:t>
      </w:r>
      <w:r>
        <w:rPr>
          <w:rFonts w:hint="eastAsia"/>
          <w:color w:val="auto"/>
        </w:rPr>
        <w:t xml:space="preserve">章 </w:t>
      </w:r>
      <w:r>
        <w:rPr>
          <w:rFonts w:hint="eastAsia"/>
          <w:color w:val="auto"/>
          <w:lang w:val="en-US" w:eastAsia="zh-CN"/>
        </w:rPr>
        <w:t>加快</w:t>
      </w:r>
      <w:r>
        <w:rPr>
          <w:rFonts w:hint="eastAsia"/>
          <w:color w:val="auto"/>
        </w:rPr>
        <w:t>发展科技金融</w:t>
      </w:r>
      <w:bookmarkEnd w:id="159"/>
      <w:bookmarkEnd w:id="160"/>
      <w:r>
        <w:rPr>
          <w:rFonts w:hint="eastAsia"/>
          <w:color w:val="auto"/>
          <w:lang w:eastAsia="zh-CN"/>
        </w:rPr>
        <w:t>，助推科技创新</w:t>
      </w:r>
      <w:bookmarkEnd w:id="161"/>
    </w:p>
    <w:p>
      <w:pPr>
        <w:keepNext/>
        <w:keepLines/>
        <w:widowControl w:val="0"/>
        <w:spacing w:before="93" w:beforeLines="30" w:after="93" w:afterLines="30" w:line="360" w:lineRule="auto"/>
        <w:ind w:firstLine="0" w:firstLineChars="0"/>
        <w:jc w:val="center"/>
        <w:outlineLvl w:val="1"/>
        <w:rPr>
          <w:rFonts w:hint="eastAsia" w:ascii="楷体" w:hAnsi="楷体" w:eastAsia="楷体" w:cs="楷体"/>
          <w:b/>
          <w:bCs w:val="0"/>
          <w:color w:val="auto"/>
        </w:rPr>
      </w:pPr>
      <w:bookmarkStart w:id="162" w:name="_Toc27382"/>
      <w:bookmarkStart w:id="163" w:name="_Toc29193"/>
      <w:bookmarkStart w:id="164" w:name="_Toc6579"/>
      <w:r>
        <w:rPr>
          <w:rFonts w:hint="eastAsia" w:ascii="Arial" w:hAnsi="Arial" w:eastAsia="黑体" w:cs="Times New Roman"/>
          <w:b/>
          <w:bCs w:val="0"/>
          <w:color w:val="auto"/>
          <w:kern w:val="2"/>
          <w:sz w:val="32"/>
          <w:szCs w:val="24"/>
          <w:lang w:val="en-US" w:eastAsia="zh-CN" w:bidi="ar-SA"/>
        </w:rPr>
        <w:t>第一节 促进科技创新和资本市场深度融合</w:t>
      </w:r>
      <w:bookmarkEnd w:id="162"/>
    </w:p>
    <w:p>
      <w:pPr>
        <w:keepNext w:val="0"/>
        <w:keepLines w:val="0"/>
        <w:ind w:firstLine="640"/>
        <w:outlineLvl w:val="9"/>
        <w:rPr>
          <w:rFonts w:hint="eastAsia" w:ascii="仿宋_GB2312" w:hAnsi="仿宋_GB2312" w:cs="仿宋_GB2312"/>
          <w:color w:val="auto"/>
          <w:kern w:val="2"/>
          <w:szCs w:val="40"/>
          <w:lang w:val="en-US" w:eastAsia="zh-CN" w:bidi="ar-SA"/>
        </w:rPr>
      </w:pPr>
      <w:r>
        <w:rPr>
          <w:rFonts w:hint="eastAsia"/>
          <w:bCs/>
          <w:color w:val="auto"/>
          <w:lang w:val="en-US" w:eastAsia="zh-Hans"/>
        </w:rPr>
        <w:t>积极引入产业资本</w:t>
      </w:r>
      <w:r>
        <w:rPr>
          <w:rFonts w:hint="default"/>
          <w:bCs/>
          <w:color w:val="auto"/>
          <w:lang w:eastAsia="zh-Hans"/>
        </w:rPr>
        <w:t>、</w:t>
      </w:r>
      <w:r>
        <w:rPr>
          <w:rFonts w:hint="eastAsia"/>
          <w:bCs/>
          <w:color w:val="auto"/>
          <w:lang w:val="en-US" w:eastAsia="zh-Hans"/>
        </w:rPr>
        <w:t>风险投资基金和投融资机构</w:t>
      </w:r>
      <w:r>
        <w:rPr>
          <w:rFonts w:hint="default"/>
          <w:bCs/>
          <w:color w:val="auto"/>
          <w:lang w:eastAsia="zh-Hans"/>
        </w:rPr>
        <w:t>，</w:t>
      </w:r>
      <w:r>
        <w:rPr>
          <w:rFonts w:hint="eastAsia"/>
          <w:bCs/>
          <w:color w:val="auto"/>
          <w:lang w:val="en-US" w:eastAsia="zh-Hans"/>
        </w:rPr>
        <w:t>创新融资模式</w:t>
      </w:r>
      <w:r>
        <w:rPr>
          <w:rFonts w:hint="default"/>
          <w:bCs/>
          <w:color w:val="auto"/>
          <w:lang w:eastAsia="zh-Hans"/>
        </w:rPr>
        <w:t>，</w:t>
      </w:r>
      <w:r>
        <w:rPr>
          <w:rFonts w:hint="eastAsia"/>
          <w:bCs/>
          <w:color w:val="auto"/>
          <w:lang w:val="en-US" w:eastAsia="zh-Hans"/>
        </w:rPr>
        <w:t>推动科技与金融的融合</w:t>
      </w:r>
      <w:r>
        <w:rPr>
          <w:rFonts w:hint="default"/>
          <w:bCs/>
          <w:color w:val="auto"/>
          <w:lang w:eastAsia="zh-Hans"/>
        </w:rPr>
        <w:t>，</w:t>
      </w:r>
      <w:r>
        <w:rPr>
          <w:rFonts w:hint="eastAsia"/>
          <w:bCs/>
          <w:color w:val="auto"/>
          <w:lang w:val="en-US" w:eastAsia="zh-Hans"/>
        </w:rPr>
        <w:t>实现科技资源</w:t>
      </w:r>
      <w:r>
        <w:rPr>
          <w:rFonts w:hint="default"/>
          <w:bCs/>
          <w:color w:val="auto"/>
          <w:lang w:eastAsia="zh-Hans"/>
        </w:rPr>
        <w:t>、</w:t>
      </w:r>
      <w:r>
        <w:rPr>
          <w:rFonts w:hint="eastAsia"/>
          <w:bCs/>
          <w:color w:val="auto"/>
          <w:lang w:val="en-US" w:eastAsia="zh-Hans"/>
        </w:rPr>
        <w:t>金融资源有效对接</w:t>
      </w:r>
      <w:r>
        <w:rPr>
          <w:rFonts w:hint="default"/>
          <w:bCs/>
          <w:color w:val="auto"/>
          <w:lang w:eastAsia="zh-Hans"/>
        </w:rPr>
        <w:t>，引导</w:t>
      </w:r>
      <w:r>
        <w:rPr>
          <w:rFonts w:hint="eastAsia"/>
          <w:bCs/>
          <w:color w:val="auto"/>
          <w:lang w:val="en-US" w:eastAsia="zh-CN"/>
        </w:rPr>
        <w:t>市内外金融</w:t>
      </w:r>
      <w:r>
        <w:rPr>
          <w:rFonts w:hint="default"/>
          <w:bCs/>
          <w:color w:val="auto"/>
          <w:lang w:eastAsia="zh-Hans"/>
        </w:rPr>
        <w:t>资本</w:t>
      </w:r>
      <w:r>
        <w:rPr>
          <w:rFonts w:hint="eastAsia"/>
          <w:bCs/>
          <w:color w:val="auto"/>
          <w:lang w:val="en-US" w:eastAsia="zh-CN"/>
        </w:rPr>
        <w:t>支持汕尾</w:t>
      </w:r>
      <w:r>
        <w:rPr>
          <w:rFonts w:hint="default"/>
          <w:bCs/>
          <w:color w:val="auto"/>
          <w:lang w:eastAsia="zh-Hans"/>
        </w:rPr>
        <w:t>科技</w:t>
      </w:r>
      <w:r>
        <w:rPr>
          <w:rFonts w:hint="eastAsia"/>
          <w:bCs/>
          <w:color w:val="auto"/>
          <w:lang w:val="en-US" w:eastAsia="zh-CN"/>
        </w:rPr>
        <w:t>产业发展</w:t>
      </w:r>
      <w:r>
        <w:rPr>
          <w:rFonts w:hint="eastAsia"/>
          <w:bCs/>
          <w:color w:val="auto"/>
          <w:lang w:eastAsia="zh-CN"/>
        </w:rPr>
        <w:t>。</w:t>
      </w:r>
      <w:r>
        <w:rPr>
          <w:rFonts w:hint="eastAsia" w:ascii="Calibri" w:hAnsi="Calibri" w:eastAsia="仿宋_GB2312" w:cs="Times New Roman"/>
          <w:color w:val="auto"/>
          <w:kern w:val="2"/>
          <w:szCs w:val="24"/>
          <w:lang w:val="en-US" w:eastAsia="zh-CN" w:bidi="ar-SA"/>
        </w:rPr>
        <w:t>把握科创板注册制试点良机，</w:t>
      </w:r>
      <w:r>
        <w:rPr>
          <w:rFonts w:hint="eastAsia" w:cs="Times New Roman"/>
          <w:color w:val="auto"/>
          <w:kern w:val="2"/>
          <w:szCs w:val="24"/>
          <w:lang w:val="en-US" w:eastAsia="zh-Hans" w:bidi="ar-SA"/>
        </w:rPr>
        <w:t>引导</w:t>
      </w:r>
      <w:r>
        <w:rPr>
          <w:rFonts w:hint="eastAsia" w:ascii="Calibri" w:hAnsi="Calibri" w:eastAsia="仿宋_GB2312" w:cs="Times New Roman"/>
          <w:color w:val="auto"/>
          <w:kern w:val="2"/>
          <w:szCs w:val="24"/>
          <w:lang w:val="en-US" w:eastAsia="zh-CN" w:bidi="ar-SA"/>
        </w:rPr>
        <w:t>科技型企业到</w:t>
      </w:r>
      <w:r>
        <w:rPr>
          <w:rFonts w:hint="eastAsia" w:cs="Times New Roman"/>
          <w:color w:val="auto"/>
          <w:kern w:val="2"/>
          <w:szCs w:val="24"/>
          <w:lang w:val="en-US" w:eastAsia="zh-Hans" w:bidi="ar-SA"/>
        </w:rPr>
        <w:t>“</w:t>
      </w:r>
      <w:r>
        <w:rPr>
          <w:rFonts w:hint="eastAsia" w:ascii="Calibri" w:hAnsi="Calibri" w:eastAsia="仿宋_GB2312" w:cs="Times New Roman"/>
          <w:color w:val="auto"/>
          <w:kern w:val="2"/>
          <w:szCs w:val="24"/>
          <w:lang w:val="en-US" w:eastAsia="zh-CN" w:bidi="ar-SA"/>
        </w:rPr>
        <w:t>新三板</w:t>
      </w:r>
      <w:r>
        <w:rPr>
          <w:rFonts w:hint="eastAsia" w:cs="Times New Roman"/>
          <w:color w:val="auto"/>
          <w:kern w:val="2"/>
          <w:szCs w:val="24"/>
          <w:lang w:val="en-US" w:eastAsia="zh-Hans" w:bidi="ar-SA"/>
        </w:rPr>
        <w:t>”</w:t>
      </w:r>
      <w:r>
        <w:rPr>
          <w:rFonts w:hint="default" w:cs="Times New Roman"/>
          <w:color w:val="auto"/>
          <w:kern w:val="2"/>
          <w:szCs w:val="24"/>
          <w:lang w:eastAsia="zh-CN" w:bidi="ar-SA"/>
        </w:rPr>
        <w:t>、</w:t>
      </w:r>
      <w:r>
        <w:rPr>
          <w:rFonts w:hint="eastAsia" w:cs="Times New Roman"/>
          <w:color w:val="auto"/>
          <w:kern w:val="2"/>
          <w:szCs w:val="24"/>
          <w:lang w:val="en-US" w:eastAsia="zh-CN" w:bidi="ar-SA"/>
        </w:rPr>
        <w:t>北交所、</w:t>
      </w:r>
      <w:r>
        <w:rPr>
          <w:rFonts w:hint="eastAsia" w:cs="Times New Roman"/>
          <w:color w:val="auto"/>
          <w:kern w:val="2"/>
          <w:szCs w:val="24"/>
          <w:lang w:eastAsia="zh-Hans" w:bidi="ar-SA"/>
        </w:rPr>
        <w:t>“</w:t>
      </w:r>
      <w:r>
        <w:rPr>
          <w:rFonts w:hint="eastAsia" w:cs="Times New Roman"/>
          <w:color w:val="auto"/>
          <w:kern w:val="2"/>
          <w:szCs w:val="24"/>
          <w:lang w:val="en-US" w:eastAsia="zh-Hans" w:bidi="ar-SA"/>
        </w:rPr>
        <w:t>科创板”</w:t>
      </w:r>
      <w:r>
        <w:rPr>
          <w:rFonts w:hint="eastAsia" w:ascii="Calibri" w:hAnsi="Calibri" w:eastAsia="仿宋_GB2312" w:cs="Times New Roman"/>
          <w:color w:val="auto"/>
          <w:kern w:val="2"/>
          <w:szCs w:val="24"/>
          <w:lang w:val="en-US" w:eastAsia="zh-CN" w:bidi="ar-SA"/>
        </w:rPr>
        <w:t>或广东股权交易中心科技创新专版</w:t>
      </w:r>
      <w:r>
        <w:rPr>
          <w:rFonts w:hint="eastAsia" w:cs="Times New Roman"/>
          <w:color w:val="auto"/>
          <w:kern w:val="2"/>
          <w:szCs w:val="24"/>
          <w:lang w:val="en-US" w:eastAsia="zh-CN" w:bidi="ar-SA"/>
        </w:rPr>
        <w:t>上市</w:t>
      </w:r>
      <w:r>
        <w:rPr>
          <w:rFonts w:hint="eastAsia" w:ascii="Calibri" w:hAnsi="Calibri" w:eastAsia="仿宋_GB2312" w:cs="Times New Roman"/>
          <w:color w:val="auto"/>
          <w:kern w:val="2"/>
          <w:szCs w:val="24"/>
          <w:lang w:val="en-US" w:eastAsia="zh-CN" w:bidi="ar-SA"/>
        </w:rPr>
        <w:t>挂牌</w:t>
      </w:r>
      <w:r>
        <w:rPr>
          <w:rFonts w:hint="default" w:cs="Times New Roman"/>
          <w:color w:val="auto"/>
          <w:kern w:val="2"/>
          <w:szCs w:val="24"/>
          <w:lang w:eastAsia="zh-CN" w:bidi="ar-SA"/>
        </w:rPr>
        <w:t>，</w:t>
      </w:r>
      <w:r>
        <w:rPr>
          <w:rFonts w:hint="eastAsia" w:ascii="Calibri" w:hAnsi="Calibri" w:eastAsia="仿宋_GB2312" w:cs="Times New Roman"/>
          <w:color w:val="auto"/>
          <w:kern w:val="2"/>
          <w:szCs w:val="24"/>
          <w:lang w:val="en-US" w:eastAsia="zh-CN" w:bidi="ar-SA"/>
        </w:rPr>
        <w:t>提升资本市场服务科技创新的成效。</w:t>
      </w:r>
      <w:r>
        <w:rPr>
          <w:rFonts w:hint="eastAsia" w:ascii="仿宋_GB2312" w:hAnsi="仿宋_GB2312" w:cs="仿宋_GB2312"/>
          <w:color w:val="auto"/>
          <w:kern w:val="2"/>
          <w:szCs w:val="40"/>
          <w:lang w:val="en-US" w:eastAsia="zh-CN" w:bidi="ar-SA"/>
        </w:rPr>
        <w:t>推动广东股权交易中心汕尾运营中心加快业务发展，培育优质企业，为科技企业提供挂牌展示、路演培训、股份制改造、上市培育等服务。</w:t>
      </w:r>
    </w:p>
    <w:bookmarkEnd w:id="163"/>
    <w:p>
      <w:pPr>
        <w:pStyle w:val="4"/>
        <w:rPr>
          <w:rFonts w:hint="eastAsia"/>
          <w:color w:val="auto"/>
          <w:lang w:val="en-US" w:eastAsia="zh-CN"/>
        </w:rPr>
      </w:pPr>
      <w:bookmarkStart w:id="165" w:name="_Toc19142"/>
      <w:bookmarkStart w:id="166" w:name="_Toc3527"/>
      <w:r>
        <w:rPr>
          <w:rFonts w:hint="default" w:ascii="Arial" w:hAnsi="Arial" w:eastAsia="黑体" w:cs="Times New Roman"/>
          <w:b/>
          <w:bCs w:val="0"/>
          <w:color w:val="auto"/>
          <w:kern w:val="2"/>
          <w:sz w:val="32"/>
          <w:szCs w:val="24"/>
          <w:lang w:val="en-US" w:eastAsia="zh-CN" w:bidi="ar-SA"/>
        </w:rPr>
        <w:t>第二节</w:t>
      </w:r>
      <w:r>
        <w:rPr>
          <w:rFonts w:hint="eastAsia" w:ascii="Arial" w:hAnsi="Arial" w:eastAsia="黑体" w:cs="Times New Roman"/>
          <w:b/>
          <w:bCs w:val="0"/>
          <w:color w:val="auto"/>
          <w:kern w:val="2"/>
          <w:sz w:val="32"/>
          <w:szCs w:val="24"/>
          <w:lang w:eastAsia="zh-CN" w:bidi="ar-SA"/>
        </w:rPr>
        <w:t xml:space="preserve"> </w:t>
      </w:r>
      <w:r>
        <w:rPr>
          <w:rFonts w:hint="eastAsia"/>
          <w:color w:val="auto"/>
          <w:lang w:val="en-US" w:eastAsia="zh-CN"/>
        </w:rPr>
        <w:t>建立覆盖创新全过程的科技创新投融资机制</w:t>
      </w:r>
      <w:bookmarkEnd w:id="165"/>
      <w:bookmarkEnd w:id="166"/>
    </w:p>
    <w:p>
      <w:pPr>
        <w:widowControl/>
        <w:numPr>
          <w:ilvl w:val="0"/>
          <w:numId w:val="0"/>
        </w:numPr>
        <w:spacing w:line="240" w:lineRule="auto"/>
        <w:ind w:firstLine="640"/>
        <w:rPr>
          <w:b/>
          <w:color w:val="auto"/>
        </w:rPr>
      </w:pPr>
      <w:r>
        <w:rPr>
          <w:rFonts w:hint="eastAsia"/>
          <w:color w:val="auto"/>
        </w:rPr>
        <w:t>围绕电子信息、新能源汽车产业创新链布局资金链，完善银行支撑、创投优先、财政扶持的“三位一体”科技金融运行机制。引导金融机构加大对国家高新技术企业、科技型中小企业的授信力度，支持市属产业发展基金与各类外地私募股权基金为科技型企业提供从初创期到成长期不同发展阶段的融资支持。</w:t>
      </w:r>
      <w:r>
        <w:rPr>
          <w:rFonts w:hint="eastAsia"/>
          <w:color w:val="auto"/>
          <w:lang w:val="en-US" w:eastAsia="zh-CN"/>
        </w:rPr>
        <w:t>加快</w:t>
      </w:r>
      <w:r>
        <w:rPr>
          <w:rFonts w:hint="eastAsia"/>
          <w:color w:val="auto"/>
        </w:rPr>
        <w:t>形成多元化科技创新投融资体系</w:t>
      </w:r>
      <w:r>
        <w:rPr>
          <w:rFonts w:hint="default"/>
          <w:color w:val="auto"/>
        </w:rPr>
        <w:t>。</w:t>
      </w:r>
      <w:r>
        <w:rPr>
          <w:rFonts w:hint="eastAsia"/>
          <w:color w:val="auto"/>
        </w:rPr>
        <w:t>成立</w:t>
      </w:r>
      <w:r>
        <w:rPr>
          <w:rFonts w:hint="eastAsia"/>
          <w:color w:val="auto"/>
          <w:lang w:val="en-US" w:eastAsia="zh-CN"/>
        </w:rPr>
        <w:t>汕尾</w:t>
      </w:r>
      <w:r>
        <w:rPr>
          <w:rFonts w:hint="eastAsia"/>
          <w:color w:val="auto"/>
        </w:rPr>
        <w:t>科技创新风险投资基金，积极引导各类资本进入科技创新领域。健全知识产权质押融资风险补偿</w:t>
      </w:r>
      <w:r>
        <w:rPr>
          <w:rFonts w:hint="eastAsia"/>
          <w:color w:val="auto"/>
          <w:lang w:val="en-US" w:eastAsia="zh-CN"/>
        </w:rPr>
        <w:t>资金</w:t>
      </w:r>
      <w:r>
        <w:rPr>
          <w:rFonts w:hint="eastAsia"/>
          <w:color w:val="auto"/>
        </w:rPr>
        <w:t>机制建设，</w:t>
      </w:r>
      <w:r>
        <w:rPr>
          <w:rFonts w:hint="eastAsia"/>
          <w:color w:val="auto"/>
          <w:lang w:val="en-US" w:eastAsia="zh-CN"/>
        </w:rPr>
        <w:t>充分发挥财政资金的引导和激励效应，实现知识产权市场价值，解决科技型企业融资难问题</w:t>
      </w:r>
      <w:r>
        <w:rPr>
          <w:rFonts w:hint="eastAsia"/>
          <w:color w:val="auto"/>
        </w:rPr>
        <w:t>。</w:t>
      </w:r>
    </w:p>
    <w:p>
      <w:pPr>
        <w:pStyle w:val="4"/>
        <w:rPr>
          <w:color w:val="auto"/>
          <w:lang w:val="en-US" w:eastAsia="zh-CN"/>
        </w:rPr>
      </w:pPr>
      <w:bookmarkStart w:id="167" w:name="_Toc16144"/>
      <w:bookmarkStart w:id="168" w:name="_Toc25332"/>
      <w:r>
        <w:rPr>
          <w:rFonts w:hint="eastAsia"/>
          <w:color w:val="auto"/>
          <w:lang w:val="en-US" w:eastAsia="zh-CN"/>
        </w:rPr>
        <w:t>第</w:t>
      </w:r>
      <w:r>
        <w:rPr>
          <w:rFonts w:hint="eastAsia"/>
          <w:color w:val="auto"/>
          <w:lang w:val="en-US" w:eastAsia="zh-Hans"/>
        </w:rPr>
        <w:t>三</w:t>
      </w:r>
      <w:r>
        <w:rPr>
          <w:rFonts w:hint="eastAsia"/>
          <w:color w:val="auto"/>
          <w:lang w:val="en-US" w:eastAsia="zh-CN"/>
        </w:rPr>
        <w:t>节 创新科技金融产品和服务</w:t>
      </w:r>
      <w:bookmarkEnd w:id="167"/>
      <w:bookmarkEnd w:id="168"/>
    </w:p>
    <w:p>
      <w:pPr>
        <w:ind w:firstLine="640"/>
        <w:rPr>
          <w:rFonts w:hint="default" w:ascii="仿宋_GB2312" w:hAnsi="仿宋_GB2312" w:cs="仿宋_GB2312"/>
          <w:b w:val="0"/>
          <w:bCs/>
          <w:color w:val="auto"/>
        </w:rPr>
      </w:pPr>
      <w:r>
        <w:rPr>
          <w:rFonts w:hint="eastAsia" w:ascii="楷体" w:hAnsi="楷体" w:eastAsia="楷体" w:cs="楷体"/>
          <w:b/>
          <w:bCs w:val="0"/>
          <w:color w:val="auto"/>
          <w:lang w:val="en-US" w:eastAsia="zh-CN"/>
        </w:rPr>
        <w:t>优化</w:t>
      </w:r>
      <w:r>
        <w:rPr>
          <w:rFonts w:hint="eastAsia" w:ascii="楷体" w:hAnsi="楷体" w:eastAsia="楷体" w:cs="楷体"/>
          <w:b/>
          <w:bCs w:val="0"/>
          <w:color w:val="auto"/>
          <w:lang w:val="en-US" w:eastAsia="zh-Hans"/>
        </w:rPr>
        <w:t>科技信贷</w:t>
      </w:r>
      <w:r>
        <w:rPr>
          <w:rFonts w:hint="eastAsia" w:ascii="楷体" w:hAnsi="楷体" w:eastAsia="楷体" w:cs="楷体"/>
          <w:b/>
          <w:bCs w:val="0"/>
          <w:color w:val="auto"/>
          <w:lang w:val="en-US" w:eastAsia="zh-CN"/>
        </w:rPr>
        <w:t>服务</w:t>
      </w:r>
      <w:r>
        <w:rPr>
          <w:rFonts w:hint="default" w:ascii="楷体" w:hAnsi="楷体" w:eastAsia="楷体" w:cs="楷体"/>
          <w:b/>
          <w:bCs w:val="0"/>
          <w:color w:val="auto"/>
          <w:lang w:eastAsia="zh-Hans"/>
        </w:rPr>
        <w:t>。</w:t>
      </w:r>
      <w:r>
        <w:rPr>
          <w:rFonts w:hint="eastAsia"/>
          <w:color w:val="auto"/>
        </w:rPr>
        <w:t>引导银行机构</w:t>
      </w:r>
      <w:r>
        <w:rPr>
          <w:rFonts w:hint="eastAsia"/>
          <w:color w:val="auto"/>
          <w:lang w:val="en-US" w:eastAsia="zh-CN"/>
        </w:rPr>
        <w:t>为科技企业</w:t>
      </w:r>
      <w:r>
        <w:rPr>
          <w:rFonts w:hint="eastAsia"/>
          <w:color w:val="auto"/>
        </w:rPr>
        <w:t>提供知识产权、股权、信用、科研设备、科研用地等多样化融资贷款产品</w:t>
      </w:r>
      <w:r>
        <w:rPr>
          <w:rFonts w:hint="default"/>
          <w:color w:val="auto"/>
        </w:rPr>
        <w:t>，</w:t>
      </w:r>
      <w:r>
        <w:rPr>
          <w:rFonts w:hint="eastAsia"/>
          <w:color w:val="auto"/>
          <w:lang w:val="en-US" w:eastAsia="zh-Hans"/>
        </w:rPr>
        <w:t>并</w:t>
      </w:r>
      <w:r>
        <w:rPr>
          <w:rFonts w:hint="eastAsia"/>
          <w:color w:val="auto"/>
        </w:rPr>
        <w:t>对创新型项目和企业贷款在贷款市场报价利率LPR基础上实行优惠利率</w:t>
      </w:r>
      <w:r>
        <w:rPr>
          <w:rFonts w:hint="default"/>
          <w:color w:val="auto"/>
        </w:rPr>
        <w:t>。</w:t>
      </w:r>
      <w:r>
        <w:rPr>
          <w:rFonts w:hint="eastAsia"/>
          <w:color w:val="auto"/>
          <w:lang w:val="en-US" w:eastAsia="zh-Hans"/>
        </w:rPr>
        <w:t>鼓励银行机构</w:t>
      </w:r>
      <w:r>
        <w:rPr>
          <w:rFonts w:hint="eastAsia"/>
          <w:color w:val="auto"/>
        </w:rPr>
        <w:t>以科技为准入，以成长为坐标</w:t>
      </w:r>
      <w:r>
        <w:rPr>
          <w:rFonts w:hint="eastAsia"/>
          <w:color w:val="auto"/>
          <w:lang w:eastAsia="zh-CN"/>
        </w:rPr>
        <w:t>，</w:t>
      </w:r>
      <w:r>
        <w:rPr>
          <w:rFonts w:hint="eastAsia"/>
          <w:color w:val="auto"/>
        </w:rPr>
        <w:t>将科技含量作为贷款的主要衡量标准，优化信用贷款标准，扩大信用贷款额度</w:t>
      </w:r>
      <w:r>
        <w:rPr>
          <w:rFonts w:hint="default"/>
          <w:color w:val="auto"/>
        </w:rPr>
        <w:t>。</w:t>
      </w:r>
      <w:r>
        <w:rPr>
          <w:rFonts w:hint="eastAsia" w:ascii="仿宋_GB2312" w:hAnsi="仿宋_GB2312" w:eastAsia="仿宋_GB2312" w:cs="仿宋_GB2312"/>
          <w:b w:val="0"/>
          <w:bCs/>
          <w:color w:val="auto"/>
        </w:rPr>
        <w:t>持银行机构建立科技贷款专属评级授信模型、专项信贷政策、</w:t>
      </w:r>
      <w:r>
        <w:rPr>
          <w:rFonts w:hint="eastAsia" w:ascii="仿宋_GB2312" w:hAnsi="仿宋_GB2312" w:eastAsia="仿宋_GB2312" w:cs="仿宋_GB2312"/>
          <w:b w:val="0"/>
          <w:bCs/>
          <w:color w:val="auto"/>
          <w:lang w:val="en-US" w:eastAsia="zh-Hans"/>
        </w:rPr>
        <w:t>专门融资</w:t>
      </w:r>
      <w:r>
        <w:rPr>
          <w:rFonts w:hint="eastAsia" w:ascii="仿宋_GB2312" w:hAnsi="仿宋_GB2312" w:eastAsia="仿宋_GB2312" w:cs="仿宋_GB2312"/>
          <w:b w:val="0"/>
          <w:bCs/>
          <w:color w:val="auto"/>
        </w:rPr>
        <w:t>绿色通道，简化科技</w:t>
      </w:r>
      <w:r>
        <w:rPr>
          <w:rFonts w:hint="eastAsia" w:ascii="仿宋_GB2312" w:hAnsi="仿宋_GB2312" w:eastAsia="仿宋_GB2312" w:cs="仿宋_GB2312"/>
          <w:b w:val="0"/>
          <w:bCs/>
          <w:color w:val="auto"/>
          <w:lang w:val="en-US" w:eastAsia="zh-Hans"/>
        </w:rPr>
        <w:t>信贷</w:t>
      </w:r>
      <w:r>
        <w:rPr>
          <w:rFonts w:hint="eastAsia" w:ascii="仿宋_GB2312" w:hAnsi="仿宋_GB2312" w:eastAsia="仿宋_GB2312" w:cs="仿宋_GB2312"/>
          <w:b w:val="0"/>
          <w:bCs/>
          <w:color w:val="auto"/>
        </w:rPr>
        <w:t>业务审批手续，提高科技</w:t>
      </w:r>
      <w:r>
        <w:rPr>
          <w:rFonts w:hint="eastAsia" w:ascii="仿宋_GB2312" w:hAnsi="仿宋_GB2312" w:eastAsia="仿宋_GB2312" w:cs="仿宋_GB2312"/>
          <w:b w:val="0"/>
          <w:bCs/>
          <w:color w:val="auto"/>
          <w:lang w:val="en-US" w:eastAsia="zh-Hans"/>
        </w:rPr>
        <w:t>信贷</w:t>
      </w:r>
      <w:r>
        <w:rPr>
          <w:rFonts w:hint="eastAsia" w:ascii="仿宋_GB2312" w:hAnsi="仿宋_GB2312" w:eastAsia="仿宋_GB2312" w:cs="仿宋_GB2312"/>
          <w:b w:val="0"/>
          <w:bCs/>
          <w:color w:val="auto"/>
        </w:rPr>
        <w:t>审批效率。鼓励银行机构完善内部激励约束机制，探索建立适合科技型企业的商业银行信贷考核体系，落实授信尽职免责机制</w:t>
      </w:r>
      <w:r>
        <w:rPr>
          <w:rFonts w:hint="default" w:ascii="仿宋_GB2312" w:hAnsi="仿宋_GB2312" w:cs="仿宋_GB2312"/>
          <w:b w:val="0"/>
          <w:bCs/>
          <w:color w:val="auto"/>
        </w:rPr>
        <w:t>。</w:t>
      </w:r>
    </w:p>
    <w:p>
      <w:pPr>
        <w:pageBreakBefore w:val="0"/>
        <w:widowControl w:val="0"/>
        <w:kinsoku/>
        <w:wordWrap/>
        <w:overflowPunct/>
        <w:topLinePunct w:val="0"/>
        <w:autoSpaceDE/>
        <w:autoSpaceDN/>
        <w:bidi w:val="0"/>
        <w:adjustRightInd/>
        <w:snapToGrid/>
        <w:spacing w:line="360" w:lineRule="auto"/>
        <w:ind w:firstLine="640"/>
        <w:textAlignment w:val="auto"/>
        <w:outlineLvl w:val="9"/>
        <w:rPr>
          <w:rFonts w:hint="default"/>
          <w:color w:val="auto"/>
        </w:rPr>
      </w:pPr>
      <w:r>
        <w:rPr>
          <w:rFonts w:hint="eastAsia" w:ascii="楷体" w:hAnsi="楷体" w:eastAsia="楷体" w:cs="楷体"/>
          <w:b/>
          <w:bCs w:val="0"/>
          <w:color w:val="auto"/>
          <w:lang w:val="en-US" w:eastAsia="zh-Hans"/>
        </w:rPr>
        <w:t>积极发展</w:t>
      </w:r>
      <w:r>
        <w:rPr>
          <w:rFonts w:hint="eastAsia" w:ascii="楷体" w:hAnsi="楷体" w:eastAsia="楷体" w:cs="楷体"/>
          <w:b/>
          <w:bCs w:val="0"/>
          <w:color w:val="auto"/>
          <w:lang w:val="en-US" w:eastAsia="zh-CN"/>
        </w:rPr>
        <w:t>科技</w:t>
      </w:r>
      <w:r>
        <w:rPr>
          <w:rFonts w:hint="eastAsia" w:ascii="楷体" w:hAnsi="楷体" w:eastAsia="楷体" w:cs="楷体"/>
          <w:b/>
          <w:bCs w:val="0"/>
          <w:color w:val="auto"/>
          <w:lang w:val="en-US" w:eastAsia="zh-Hans"/>
        </w:rPr>
        <w:t>保险</w:t>
      </w:r>
      <w:r>
        <w:rPr>
          <w:rFonts w:hint="eastAsia" w:ascii="楷体" w:hAnsi="楷体" w:eastAsia="楷体" w:cs="楷体"/>
          <w:b/>
          <w:bCs w:val="0"/>
          <w:color w:val="auto"/>
          <w:lang w:val="en-US" w:eastAsia="zh-CN"/>
        </w:rPr>
        <w:t>。</w:t>
      </w:r>
      <w:r>
        <w:rPr>
          <w:rFonts w:hint="eastAsia"/>
          <w:color w:val="auto"/>
          <w:lang w:eastAsia="zh-CN"/>
        </w:rPr>
        <w:t>探索在财产险、人身险和保险资金领域为</w:t>
      </w:r>
      <w:r>
        <w:rPr>
          <w:rFonts w:hint="eastAsia"/>
          <w:color w:val="auto"/>
          <w:lang w:val="en-US" w:eastAsia="zh-CN"/>
        </w:rPr>
        <w:t>科技</w:t>
      </w:r>
      <w:r>
        <w:rPr>
          <w:rFonts w:hint="eastAsia"/>
          <w:color w:val="auto"/>
          <w:lang w:eastAsia="zh-CN"/>
        </w:rPr>
        <w:t>企业</w:t>
      </w:r>
      <w:r>
        <w:rPr>
          <w:rFonts w:hint="eastAsia"/>
          <w:color w:val="auto"/>
          <w:lang w:val="en-US" w:eastAsia="zh-CN"/>
        </w:rPr>
        <w:t>和</w:t>
      </w:r>
      <w:r>
        <w:rPr>
          <w:rFonts w:hint="eastAsia"/>
          <w:color w:val="auto"/>
          <w:lang w:eastAsia="zh-CN"/>
        </w:rPr>
        <w:t>项目提供综合性保障服务，</w:t>
      </w:r>
      <w:r>
        <w:rPr>
          <w:rFonts w:hint="eastAsia"/>
          <w:color w:val="auto"/>
        </w:rPr>
        <w:t>鼓励保险机构开发和完善首台（套）重大技术装备、关键研发设备财产保险、产品责任保险、专利保险等产品</w:t>
      </w:r>
      <w:r>
        <w:rPr>
          <w:rFonts w:hint="eastAsia"/>
          <w:color w:val="auto"/>
          <w:lang w:eastAsia="zh-CN"/>
        </w:rPr>
        <w:t>。</w:t>
      </w:r>
      <w:r>
        <w:rPr>
          <w:rFonts w:hint="eastAsia"/>
          <w:color w:val="auto"/>
          <w:lang w:val="en-US" w:eastAsia="zh-CN"/>
        </w:rPr>
        <w:t>加强</w:t>
      </w:r>
      <w:r>
        <w:rPr>
          <w:rFonts w:hint="eastAsia"/>
          <w:color w:val="auto"/>
          <w:lang w:eastAsia="zh-CN"/>
        </w:rPr>
        <w:t>研发</w:t>
      </w:r>
      <w:r>
        <w:rPr>
          <w:rFonts w:hint="eastAsia"/>
          <w:color w:val="auto"/>
          <w:lang w:val="en-US" w:eastAsia="zh-CN"/>
        </w:rPr>
        <w:t>科技</w:t>
      </w:r>
      <w:r>
        <w:rPr>
          <w:rFonts w:hint="eastAsia"/>
          <w:color w:val="auto"/>
          <w:lang w:eastAsia="zh-CN"/>
        </w:rPr>
        <w:t>人员的团体寿险、意外险、健康险。</w:t>
      </w:r>
      <w:r>
        <w:rPr>
          <w:rFonts w:hint="eastAsia"/>
          <w:color w:val="auto"/>
        </w:rPr>
        <w:t>支持保险资金以股权、基金、债权、资产支持计划等形式，为重大</w:t>
      </w:r>
      <w:r>
        <w:rPr>
          <w:rFonts w:hint="eastAsia"/>
          <w:color w:val="auto"/>
          <w:lang w:val="en-US" w:eastAsia="zh-CN"/>
        </w:rPr>
        <w:t>科技创新</w:t>
      </w:r>
      <w:r>
        <w:rPr>
          <w:rFonts w:hint="eastAsia"/>
          <w:color w:val="auto"/>
        </w:rPr>
        <w:t>项目提供长期、稳定的资金支持</w:t>
      </w:r>
      <w:r>
        <w:rPr>
          <w:rFonts w:hint="eastAsia"/>
          <w:color w:val="auto"/>
          <w:lang w:eastAsia="zh-CN"/>
        </w:rPr>
        <w:t>。</w:t>
      </w:r>
    </w:p>
    <w:bookmarkEnd w:id="164"/>
    <w:p>
      <w:pPr>
        <w:pStyle w:val="3"/>
        <w:spacing w:before="0" w:after="0"/>
        <w:rPr>
          <w:rFonts w:hint="eastAsia"/>
          <w:color w:val="auto"/>
          <w:lang w:eastAsia="zh-CN"/>
        </w:rPr>
      </w:pPr>
      <w:bookmarkStart w:id="169" w:name="_Toc4148"/>
      <w:bookmarkStart w:id="170" w:name="_Toc12520"/>
      <w:bookmarkStart w:id="171" w:name="_Toc12223"/>
      <w:r>
        <w:rPr>
          <w:rFonts w:hint="eastAsia"/>
          <w:color w:val="auto"/>
        </w:rPr>
        <w:t>第</w:t>
      </w:r>
      <w:r>
        <w:rPr>
          <w:rFonts w:hint="eastAsia"/>
          <w:color w:val="auto"/>
          <w:lang w:val="en-US" w:eastAsia="zh-CN"/>
        </w:rPr>
        <w:t>八</w:t>
      </w:r>
      <w:r>
        <w:rPr>
          <w:rFonts w:hint="eastAsia"/>
          <w:color w:val="auto"/>
        </w:rPr>
        <w:t xml:space="preserve">章 </w:t>
      </w:r>
      <w:r>
        <w:rPr>
          <w:rFonts w:hint="eastAsia"/>
          <w:color w:val="auto"/>
          <w:lang w:val="en-US" w:eastAsia="zh-CN"/>
        </w:rPr>
        <w:t>积极</w:t>
      </w:r>
      <w:r>
        <w:rPr>
          <w:rFonts w:hint="eastAsia"/>
          <w:color w:val="auto"/>
        </w:rPr>
        <w:t>发展保险金融</w:t>
      </w:r>
      <w:bookmarkEnd w:id="169"/>
      <w:bookmarkEnd w:id="170"/>
      <w:r>
        <w:rPr>
          <w:rFonts w:hint="eastAsia"/>
          <w:color w:val="auto"/>
          <w:lang w:eastAsia="zh-CN"/>
        </w:rPr>
        <w:t>，</w:t>
      </w:r>
      <w:r>
        <w:rPr>
          <w:rFonts w:hint="eastAsia"/>
          <w:color w:val="auto"/>
          <w:lang w:val="en-US" w:eastAsia="zh-CN"/>
        </w:rPr>
        <w:t>促进</w:t>
      </w:r>
      <w:r>
        <w:rPr>
          <w:rFonts w:hint="eastAsia"/>
          <w:color w:val="auto"/>
          <w:lang w:eastAsia="zh-CN"/>
        </w:rPr>
        <w:fldChar w:fldCharType="begin"/>
      </w:r>
      <w:r>
        <w:rPr>
          <w:rFonts w:hint="eastAsia"/>
          <w:color w:val="auto"/>
          <w:lang w:eastAsia="zh-CN"/>
        </w:rPr>
        <w:instrText xml:space="preserve"> HYPERLINK "https://www.sogou.com/link?url=a8xlm0X2uvd7-u-nR9n-upU2WhLNU-EkWxeQDWjy8IO7V_KvKOxLjhmfy_uj9Gr_PXl2CLB_DaU4d2X6F0SQYA.." \t "https://www.sogou.com/_blank" </w:instrText>
      </w:r>
      <w:r>
        <w:rPr>
          <w:rFonts w:hint="eastAsia"/>
          <w:color w:val="auto"/>
          <w:lang w:eastAsia="zh-CN"/>
        </w:rPr>
        <w:fldChar w:fldCharType="separate"/>
      </w:r>
      <w:r>
        <w:rPr>
          <w:rFonts w:hint="eastAsia"/>
          <w:color w:val="auto"/>
          <w:lang w:eastAsia="zh-CN"/>
        </w:rPr>
        <w:t>加强社会保障</w:t>
      </w:r>
      <w:r>
        <w:rPr>
          <w:rFonts w:hint="eastAsia"/>
          <w:color w:val="auto"/>
          <w:lang w:eastAsia="zh-CN"/>
        </w:rPr>
        <w:fldChar w:fldCharType="end"/>
      </w:r>
      <w:bookmarkEnd w:id="171"/>
    </w:p>
    <w:p>
      <w:pPr>
        <w:pStyle w:val="4"/>
        <w:rPr>
          <w:color w:val="auto"/>
          <w:lang w:val="en-US" w:eastAsia="zh-CN"/>
        </w:rPr>
      </w:pPr>
      <w:bookmarkStart w:id="172" w:name="_Toc5338"/>
      <w:bookmarkStart w:id="173" w:name="_Toc21598"/>
      <w:bookmarkStart w:id="174" w:name="_Toc21820"/>
      <w:r>
        <w:rPr>
          <w:rFonts w:hint="default" w:ascii="Arial" w:hAnsi="Arial" w:eastAsia="黑体" w:cs="Times New Roman"/>
          <w:b/>
          <w:bCs w:val="0"/>
          <w:color w:val="auto"/>
          <w:kern w:val="2"/>
          <w:sz w:val="32"/>
          <w:szCs w:val="24"/>
          <w:lang w:val="en-US" w:eastAsia="zh-CN" w:bidi="ar-SA"/>
        </w:rPr>
        <w:t>第</w:t>
      </w:r>
      <w:r>
        <w:rPr>
          <w:rFonts w:hint="eastAsia" w:cs="Times New Roman"/>
          <w:b/>
          <w:bCs w:val="0"/>
          <w:color w:val="auto"/>
          <w:kern w:val="2"/>
          <w:sz w:val="32"/>
          <w:szCs w:val="24"/>
          <w:lang w:val="en-US" w:eastAsia="zh-CN" w:bidi="ar-SA"/>
        </w:rPr>
        <w:t>一</w:t>
      </w:r>
      <w:r>
        <w:rPr>
          <w:rFonts w:hint="default" w:ascii="Arial" w:hAnsi="Arial" w:eastAsia="黑体" w:cs="Times New Roman"/>
          <w:b/>
          <w:bCs w:val="0"/>
          <w:color w:val="auto"/>
          <w:kern w:val="2"/>
          <w:sz w:val="32"/>
          <w:szCs w:val="24"/>
          <w:lang w:val="en-US" w:eastAsia="zh-CN" w:bidi="ar-SA"/>
        </w:rPr>
        <w:t>节 做大做强保险业</w:t>
      </w:r>
      <w:bookmarkEnd w:id="172"/>
      <w:bookmarkEnd w:id="173"/>
      <w:bookmarkEnd w:id="174"/>
    </w:p>
    <w:p>
      <w:pPr>
        <w:rPr>
          <w:color w:val="auto"/>
        </w:rPr>
      </w:pPr>
      <w:bookmarkStart w:id="175" w:name="_Toc20401"/>
      <w:r>
        <w:rPr>
          <w:rFonts w:hint="eastAsia" w:ascii="楷体" w:hAnsi="楷体" w:eastAsia="楷体" w:cs="楷体"/>
          <w:b/>
          <w:color w:val="auto"/>
        </w:rPr>
        <w:t>积极引培保险机构</w:t>
      </w:r>
      <w:bookmarkEnd w:id="175"/>
      <w:r>
        <w:rPr>
          <w:rFonts w:hint="default" w:ascii="楷体" w:hAnsi="楷体" w:eastAsia="楷体" w:cs="楷体"/>
          <w:b/>
          <w:color w:val="auto"/>
        </w:rPr>
        <w:t>。</w:t>
      </w:r>
      <w:r>
        <w:rPr>
          <w:rFonts w:hint="eastAsia"/>
          <w:color w:val="auto"/>
        </w:rPr>
        <w:t>支持</w:t>
      </w:r>
      <w:r>
        <w:rPr>
          <w:rFonts w:hint="eastAsia"/>
          <w:color w:val="auto"/>
          <w:lang w:val="en-US" w:eastAsia="zh-CN"/>
        </w:rPr>
        <w:t>国内外</w:t>
      </w:r>
      <w:r>
        <w:rPr>
          <w:rFonts w:hint="eastAsia"/>
          <w:color w:val="auto"/>
        </w:rPr>
        <w:t>大型保险机构在汕尾设立分支机构</w:t>
      </w:r>
      <w:r>
        <w:rPr>
          <w:rFonts w:hint="default"/>
          <w:color w:val="auto"/>
        </w:rPr>
        <w:t>。</w:t>
      </w:r>
      <w:r>
        <w:rPr>
          <w:rFonts w:hint="eastAsia"/>
          <w:color w:val="auto"/>
        </w:rPr>
        <w:t>出台保险产业专项扶持政策，加大财政扶持力度，综合推出保险产业聚集、保险人才引进、保险产品创新等一系列政策扶持措施</w:t>
      </w:r>
      <w:r>
        <w:rPr>
          <w:rFonts w:hint="default"/>
          <w:color w:val="auto"/>
        </w:rPr>
        <w:t>。</w:t>
      </w:r>
      <w:r>
        <w:rPr>
          <w:rFonts w:hint="eastAsia"/>
          <w:color w:val="auto"/>
          <w:lang w:val="en-US" w:eastAsia="zh-Hans"/>
        </w:rPr>
        <w:t>积极</w:t>
      </w:r>
      <w:r>
        <w:rPr>
          <w:rFonts w:hint="eastAsia"/>
          <w:color w:val="auto"/>
        </w:rPr>
        <w:t>对接国内各大保险公司，签订战略合作框架协议，并向其推荐健康卫生、康养医疗等重点项目，吸引更多资金量大、投资期长的保险资金投资参与汕尾重点项目建设。</w:t>
      </w:r>
      <w:r>
        <w:rPr>
          <w:rFonts w:hint="eastAsia"/>
          <w:color w:val="auto"/>
          <w:lang w:val="en-US" w:eastAsia="zh-CN"/>
        </w:rPr>
        <w:t>积极引入外资保险机构到汕尾展业。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color w:val="auto"/>
        </w:rPr>
      </w:pPr>
      <w:r>
        <w:rPr>
          <w:rFonts w:hint="eastAsia" w:ascii="楷体" w:hAnsi="楷体" w:eastAsia="楷体" w:cs="楷体"/>
          <w:b/>
          <w:color w:val="auto"/>
          <w:highlight w:val="none"/>
          <w:lang w:val="en-US" w:eastAsia="zh-CN"/>
        </w:rPr>
        <w:t>探索设立各类保险机构</w:t>
      </w:r>
      <w:r>
        <w:rPr>
          <w:rFonts w:hint="default" w:ascii="楷体" w:hAnsi="楷体" w:eastAsia="楷体" w:cs="楷体"/>
          <w:b/>
          <w:color w:val="auto"/>
          <w:highlight w:val="none"/>
        </w:rPr>
        <w:t>。</w:t>
      </w:r>
      <w:r>
        <w:rPr>
          <w:rFonts w:hint="eastAsia"/>
          <w:color w:val="auto"/>
          <w:lang w:val="en-US" w:eastAsia="zh-Hans"/>
        </w:rPr>
        <w:t>探索</w:t>
      </w:r>
      <w:r>
        <w:rPr>
          <w:color w:val="auto"/>
        </w:rPr>
        <w:t>组建</w:t>
      </w:r>
      <w:r>
        <w:rPr>
          <w:rFonts w:hint="eastAsia"/>
          <w:color w:val="auto"/>
          <w:lang w:val="en-US" w:eastAsia="zh-Hans"/>
        </w:rPr>
        <w:t>保险</w:t>
      </w:r>
      <w:r>
        <w:rPr>
          <w:color w:val="auto"/>
        </w:rPr>
        <w:t>资产管理公司</w:t>
      </w:r>
      <w:r>
        <w:rPr>
          <w:rFonts w:hint="eastAsia"/>
          <w:color w:val="auto"/>
          <w:lang w:val="en-US" w:eastAsia="zh-Hans"/>
        </w:rPr>
        <w:t>或与国内大型资产管理公司合作</w:t>
      </w:r>
      <w:r>
        <w:rPr>
          <w:color w:val="auto"/>
        </w:rPr>
        <w:t>进行</w:t>
      </w:r>
      <w:r>
        <w:rPr>
          <w:color w:val="auto"/>
        </w:rPr>
        <w:fldChar w:fldCharType="begin"/>
      </w:r>
      <w:r>
        <w:rPr>
          <w:color w:val="auto"/>
        </w:rPr>
        <w:instrText xml:space="preserve"> HYPERLINK "https://baike.so.com/doc/6596874-6810657.html" \t "_blank" </w:instrText>
      </w:r>
      <w:r>
        <w:rPr>
          <w:color w:val="auto"/>
        </w:rPr>
        <w:fldChar w:fldCharType="separate"/>
      </w:r>
      <w:r>
        <w:rPr>
          <w:color w:val="auto"/>
        </w:rPr>
        <w:t>保险资金</w:t>
      </w:r>
      <w:r>
        <w:rPr>
          <w:color w:val="auto"/>
        </w:rPr>
        <w:fldChar w:fldCharType="end"/>
      </w:r>
      <w:r>
        <w:rPr>
          <w:color w:val="auto"/>
        </w:rPr>
        <w:t>的</w:t>
      </w:r>
      <w:r>
        <w:rPr>
          <w:color w:val="auto"/>
        </w:rPr>
        <w:fldChar w:fldCharType="begin"/>
      </w:r>
      <w:r>
        <w:rPr>
          <w:color w:val="auto"/>
        </w:rPr>
        <w:instrText xml:space="preserve"> HYPERLINK "https://baike.so.com/doc/5877148-6090015.html" \t "_blank" </w:instrText>
      </w:r>
      <w:r>
        <w:rPr>
          <w:color w:val="auto"/>
        </w:rPr>
        <w:fldChar w:fldCharType="separate"/>
      </w:r>
      <w:r>
        <w:rPr>
          <w:color w:val="auto"/>
        </w:rPr>
        <w:t>专业化</w:t>
      </w:r>
      <w:r>
        <w:rPr>
          <w:color w:val="auto"/>
        </w:rPr>
        <w:fldChar w:fldCharType="end"/>
      </w:r>
      <w:r>
        <w:rPr>
          <w:color w:val="auto"/>
        </w:rPr>
        <w:t>运作，</w:t>
      </w:r>
      <w:r>
        <w:rPr>
          <w:rFonts w:hint="eastAsia"/>
          <w:color w:val="auto"/>
          <w:lang w:val="en-US" w:eastAsia="zh-Hans"/>
        </w:rPr>
        <w:t>探索组建</w:t>
      </w:r>
      <w:r>
        <w:rPr>
          <w:color w:val="auto"/>
        </w:rPr>
        <w:t>保险销售代理公司，</w:t>
      </w:r>
      <w:r>
        <w:rPr>
          <w:rFonts w:hint="eastAsia"/>
          <w:color w:val="auto"/>
          <w:lang w:val="en-US" w:eastAsia="zh-CN"/>
        </w:rPr>
        <w:t>争取</w:t>
      </w:r>
      <w:r>
        <w:rPr>
          <w:color w:val="auto"/>
        </w:rPr>
        <w:t>组建</w:t>
      </w:r>
      <w:r>
        <w:rPr>
          <w:rFonts w:hint="eastAsia"/>
          <w:color w:val="auto"/>
          <w:lang w:val="en-US" w:eastAsia="zh-CN"/>
        </w:rPr>
        <w:t>或引入</w:t>
      </w:r>
      <w:r>
        <w:rPr>
          <w:color w:val="auto"/>
        </w:rPr>
        <w:t>风险评估、保险方案设计和客户服务的经纪公司，</w:t>
      </w:r>
      <w:r>
        <w:rPr>
          <w:rFonts w:hint="eastAsia"/>
          <w:color w:val="auto"/>
          <w:lang w:val="en-US" w:eastAsia="zh-Hans"/>
        </w:rPr>
        <w:t>探索组建</w:t>
      </w:r>
      <w:r>
        <w:rPr>
          <w:rFonts w:hint="eastAsia"/>
          <w:color w:val="auto"/>
          <w:lang w:val="en-US" w:eastAsia="zh-CN"/>
        </w:rPr>
        <w:t>或引入</w:t>
      </w:r>
      <w:r>
        <w:rPr>
          <w:color w:val="auto"/>
        </w:rPr>
        <w:t>提供保险损失勘查、责任认定和赔款理算的公估公司。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加强保险供给侧改革。</w:t>
      </w:r>
      <w:r>
        <w:rPr>
          <w:rFonts w:hint="eastAsia" w:ascii="仿宋_GB2312" w:hAnsi="仿宋_GB2312" w:cs="仿宋_GB2312"/>
          <w:b w:val="0"/>
          <w:bCs w:val="0"/>
          <w:color w:val="auto"/>
          <w:sz w:val="32"/>
          <w:szCs w:val="32"/>
          <w:lang w:val="en-US" w:eastAsia="zh-CN"/>
        </w:rPr>
        <w:t>保险</w:t>
      </w:r>
      <w:r>
        <w:rPr>
          <w:rFonts w:hint="eastAsia" w:ascii="仿宋_GB2312" w:hAnsi="仿宋_GB2312" w:eastAsia="仿宋_GB2312" w:cs="仿宋_GB2312"/>
          <w:b w:val="0"/>
          <w:bCs w:val="0"/>
          <w:color w:val="auto"/>
          <w:sz w:val="32"/>
          <w:szCs w:val="32"/>
          <w:lang w:val="en-US" w:eastAsia="zh-CN"/>
        </w:rPr>
        <w:t>供给主体应</w:t>
      </w:r>
      <w:r>
        <w:rPr>
          <w:rFonts w:hint="eastAsia" w:ascii="仿宋_GB2312" w:hAnsi="仿宋_GB2312" w:cs="仿宋_GB2312"/>
          <w:b w:val="0"/>
          <w:bCs w:val="0"/>
          <w:color w:val="auto"/>
          <w:sz w:val="32"/>
          <w:szCs w:val="32"/>
          <w:lang w:val="en-US" w:eastAsia="zh-CN"/>
        </w:rPr>
        <w:t>注重科技创新</w:t>
      </w:r>
      <w:r>
        <w:rPr>
          <w:rFonts w:hint="eastAsia" w:ascii="仿宋_GB2312" w:hAnsi="仿宋_GB2312" w:eastAsia="仿宋_GB2312" w:cs="仿宋_GB2312"/>
          <w:b w:val="0"/>
          <w:bCs w:val="0"/>
          <w:color w:val="auto"/>
          <w:sz w:val="32"/>
          <w:szCs w:val="32"/>
          <w:lang w:val="en-US" w:eastAsia="zh-CN"/>
        </w:rPr>
        <w:t>，加强自身技术力量建设，利用大数据分析手段，分析</w:t>
      </w:r>
      <w:r>
        <w:rPr>
          <w:rFonts w:hint="eastAsia" w:ascii="仿宋_GB2312" w:hAnsi="仿宋_GB2312" w:cs="仿宋_GB2312"/>
          <w:b w:val="0"/>
          <w:bCs w:val="0"/>
          <w:color w:val="auto"/>
          <w:sz w:val="32"/>
          <w:szCs w:val="32"/>
          <w:lang w:val="en-US" w:eastAsia="zh-CN"/>
        </w:rPr>
        <w:t>保户</w:t>
      </w:r>
      <w:r>
        <w:rPr>
          <w:rFonts w:hint="eastAsia" w:ascii="仿宋_GB2312" w:hAnsi="仿宋_GB2312" w:eastAsia="仿宋_GB2312" w:cs="仿宋_GB2312"/>
          <w:b w:val="0"/>
          <w:bCs w:val="0"/>
          <w:color w:val="auto"/>
          <w:sz w:val="32"/>
          <w:szCs w:val="32"/>
          <w:lang w:val="en-US" w:eastAsia="zh-CN"/>
        </w:rPr>
        <w:t>需求，提高服务能力。利用无人机查勘及遥感技术，</w:t>
      </w:r>
      <w:r>
        <w:rPr>
          <w:rFonts w:hint="eastAsia" w:ascii="仿宋_GB2312" w:hAnsi="仿宋_GB2312" w:cs="仿宋_GB2312"/>
          <w:b w:val="0"/>
          <w:bCs w:val="0"/>
          <w:color w:val="auto"/>
          <w:sz w:val="32"/>
          <w:szCs w:val="32"/>
          <w:lang w:val="en-US" w:eastAsia="zh-CN"/>
        </w:rPr>
        <w:t>提高</w:t>
      </w:r>
      <w:r>
        <w:rPr>
          <w:rFonts w:hint="eastAsia" w:ascii="仿宋_GB2312" w:hAnsi="仿宋_GB2312" w:eastAsia="仿宋_GB2312" w:cs="仿宋_GB2312"/>
          <w:b w:val="0"/>
          <w:bCs w:val="0"/>
          <w:color w:val="auto"/>
          <w:sz w:val="32"/>
          <w:szCs w:val="32"/>
          <w:lang w:val="en-US" w:eastAsia="zh-CN"/>
        </w:rPr>
        <w:t>查勘效率。通过5G技术，加强灾害预警。健全风险管控体系，有效控制成本，进行产品创新</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提高</w:t>
      </w:r>
      <w:r>
        <w:rPr>
          <w:rFonts w:hint="eastAsia" w:ascii="仿宋_GB2312" w:hAnsi="仿宋_GB2312" w:cs="仿宋_GB2312"/>
          <w:b w:val="0"/>
          <w:bCs w:val="0"/>
          <w:color w:val="auto"/>
          <w:sz w:val="32"/>
          <w:szCs w:val="32"/>
          <w:lang w:val="en-US" w:eastAsia="zh-CN"/>
        </w:rPr>
        <w:t>保险</w:t>
      </w:r>
      <w:r>
        <w:rPr>
          <w:rFonts w:hint="eastAsia" w:ascii="仿宋_GB2312" w:hAnsi="仿宋_GB2312" w:eastAsia="仿宋_GB2312" w:cs="仿宋_GB2312"/>
          <w:b w:val="0"/>
          <w:bCs w:val="0"/>
          <w:color w:val="auto"/>
          <w:sz w:val="32"/>
          <w:szCs w:val="32"/>
          <w:lang w:val="en-US" w:eastAsia="zh-CN"/>
        </w:rPr>
        <w:t>保障度</w:t>
      </w:r>
      <w:r>
        <w:rPr>
          <w:rFonts w:hint="eastAsia" w:ascii="仿宋_GB2312" w:hAnsi="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val="en-US" w:eastAsia="zh-CN"/>
        </w:rPr>
        <w:t>覆盖率。这对保险公司提出</w:t>
      </w:r>
      <w:r>
        <w:rPr>
          <w:rFonts w:hint="eastAsia" w:ascii="仿宋_GB2312" w:hAnsi="仿宋_GB2312" w:cs="仿宋_GB2312"/>
          <w:b w:val="0"/>
          <w:bCs w:val="0"/>
          <w:color w:val="auto"/>
          <w:sz w:val="32"/>
          <w:szCs w:val="32"/>
          <w:lang w:val="en-US" w:eastAsia="zh-CN"/>
        </w:rPr>
        <w:t>了较高的</w:t>
      </w:r>
      <w:r>
        <w:rPr>
          <w:rFonts w:hint="eastAsia" w:ascii="仿宋_GB2312" w:hAnsi="仿宋_GB2312" w:eastAsia="仿宋_GB2312" w:cs="仿宋_GB2312"/>
          <w:b w:val="0"/>
          <w:bCs w:val="0"/>
          <w:color w:val="auto"/>
          <w:sz w:val="32"/>
          <w:szCs w:val="32"/>
          <w:lang w:val="en-US" w:eastAsia="zh-CN"/>
        </w:rPr>
        <w:t>要求。</w:t>
      </w:r>
    </w:p>
    <w:p>
      <w:pPr>
        <w:pStyle w:val="4"/>
        <w:rPr>
          <w:color w:val="auto"/>
          <w:lang w:val="en-US" w:eastAsia="zh-CN"/>
        </w:rPr>
      </w:pPr>
      <w:bookmarkStart w:id="176" w:name="_Toc12741"/>
      <w:r>
        <w:rPr>
          <w:rFonts w:hint="eastAsia"/>
          <w:color w:val="auto"/>
          <w:lang w:val="en-US" w:eastAsia="zh-CN"/>
        </w:rPr>
        <w:t xml:space="preserve">第二节 </w:t>
      </w:r>
      <w:r>
        <w:rPr>
          <w:rStyle w:val="43"/>
          <w:b/>
          <w:color w:val="auto"/>
        </w:rPr>
        <w:t>扩大保险保障范围</w:t>
      </w:r>
      <w:bookmarkEnd w:id="176"/>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color w:val="auto"/>
        </w:rPr>
      </w:pPr>
      <w:r>
        <w:rPr>
          <w:rFonts w:hint="eastAsia" w:ascii="仿宋_GB2312" w:hAnsi="仿宋_GB2312" w:eastAsia="仿宋_GB2312" w:cs="仿宋_GB2312"/>
          <w:b w:val="0"/>
          <w:bCs/>
          <w:color w:val="auto"/>
        </w:rPr>
        <w:t>深化政策性保险改革，扩大小额贷款保证保险业务规模和覆盖面</w:t>
      </w:r>
      <w:r>
        <w:rPr>
          <w:rFonts w:hint="eastAsia" w:ascii="仿宋_GB2312" w:hAnsi="仿宋_GB2312" w:cs="仿宋_GB2312"/>
          <w:b w:val="0"/>
          <w:bCs/>
          <w:color w:val="auto"/>
          <w:lang w:eastAsia="zh-CN"/>
        </w:rPr>
        <w:t>。</w:t>
      </w:r>
      <w:r>
        <w:rPr>
          <w:rFonts w:hint="eastAsia" w:ascii="仿宋_GB2312" w:hAnsi="仿宋_GB2312" w:eastAsia="仿宋_GB2312" w:cs="仿宋_GB2312"/>
          <w:b w:val="0"/>
          <w:bCs/>
          <w:color w:val="auto"/>
        </w:rPr>
        <w:t>大力推广“政银保”合作信贷产品，为产业发展提供信贷融资支持。</w:t>
      </w:r>
      <w:r>
        <w:rPr>
          <w:color w:val="auto"/>
        </w:rPr>
        <w:t>鼓励保险机构围绕城镇低收入人群、困难人群以及农村贫困人口、创业者的风险保障需要，开发保费低廉、保障适度、保单通俗、核保理赔简单的小额人身保险产品。</w:t>
      </w:r>
      <w:r>
        <w:rPr>
          <w:rFonts w:hint="eastAsia"/>
          <w:color w:val="auto"/>
        </w:rPr>
        <w:t>鼓励保险</w:t>
      </w:r>
      <w:r>
        <w:rPr>
          <w:rFonts w:hint="eastAsia"/>
          <w:color w:val="auto"/>
          <w:lang w:val="en-US" w:eastAsia="zh-Hans"/>
        </w:rPr>
        <w:t>机构</w:t>
      </w:r>
      <w:r>
        <w:rPr>
          <w:rFonts w:hint="eastAsia"/>
          <w:color w:val="auto"/>
        </w:rPr>
        <w:t>发展大病保险、台风暴雨巨灾保险等民生险种。</w:t>
      </w:r>
      <w:r>
        <w:rPr>
          <w:rFonts w:hint="eastAsia"/>
          <w:color w:val="auto"/>
          <w:lang w:val="en-US" w:eastAsia="zh-Hans"/>
        </w:rPr>
        <w:t>鼓励</w:t>
      </w:r>
      <w:r>
        <w:rPr>
          <w:rFonts w:hint="eastAsia"/>
          <w:color w:val="auto"/>
        </w:rPr>
        <w:t>保险机构依托自身业务优势和结合汕尾经济社会发展需求，探索发展养老、健康、责任、信用、绿色和农业等专业保险</w:t>
      </w:r>
      <w:r>
        <w:rPr>
          <w:rFonts w:hint="default"/>
          <w:color w:val="auto"/>
        </w:rPr>
        <w:t>。</w:t>
      </w:r>
      <w:r>
        <w:rPr>
          <w:rFonts w:hint="eastAsia"/>
          <w:color w:val="auto"/>
        </w:rPr>
        <w:t>支持保险行业建设各种综合保险信息平台，拓宽云计算、大数据等电子信息技术在保险行业的应用领域，提升保险业的综合信息化水平和信息技术服务能力。</w:t>
      </w:r>
    </w:p>
    <w:p>
      <w:pPr>
        <w:pStyle w:val="4"/>
        <w:rPr>
          <w:rFonts w:hint="eastAsia"/>
          <w:color w:val="auto"/>
        </w:rPr>
      </w:pPr>
      <w:bookmarkStart w:id="177" w:name="_Toc10815"/>
      <w:r>
        <w:rPr>
          <w:rFonts w:hint="eastAsia"/>
          <w:color w:val="auto"/>
          <w:lang w:val="en-US" w:eastAsia="zh-CN"/>
        </w:rPr>
        <w:t xml:space="preserve">第三节 </w:t>
      </w:r>
      <w:r>
        <w:rPr>
          <w:rFonts w:hint="eastAsia"/>
          <w:color w:val="auto"/>
          <w:lang w:val="en-US" w:eastAsia="zh-Hans"/>
        </w:rPr>
        <w:t>完善产业链保险服务</w:t>
      </w:r>
      <w:bookmarkEnd w:id="177"/>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color w:val="auto"/>
        </w:rPr>
      </w:pPr>
      <w:r>
        <w:rPr>
          <w:rFonts w:hint="eastAsia"/>
          <w:color w:val="auto"/>
          <w:lang w:val="en-US" w:eastAsia="zh-Hans"/>
        </w:rPr>
        <w:t>鼓励保险机构积极发</w:t>
      </w:r>
      <w:r>
        <w:rPr>
          <w:color w:val="auto"/>
        </w:rPr>
        <w:t>展包括小微企业贷款保证保险、出口信用保险、国内贸易信用保险在内的具有融资增信功能的信用保证保险业务，帮助小微企业改善信用状况，增强融资能力。</w:t>
      </w:r>
      <w:r>
        <w:rPr>
          <w:rFonts w:hint="eastAsia"/>
          <w:color w:val="auto"/>
          <w:lang w:val="en-US" w:eastAsia="zh-Hans"/>
        </w:rPr>
        <w:t>鼓励保险机构</w:t>
      </w:r>
      <w:r>
        <w:rPr>
          <w:rFonts w:hint="eastAsia"/>
          <w:color w:val="auto"/>
        </w:rPr>
        <w:t>制定出台安全生产责任险承保方案，推动矿山、危险化学品、烟花爆竹、交通运输、建筑施工、民用爆炸物品、金属冶炼、渔业生产等高危行业领域的生产经营单位按照规定投保，做到应保尽保。</w:t>
      </w:r>
    </w:p>
    <w:p>
      <w:pPr>
        <w:pStyle w:val="3"/>
        <w:spacing w:before="0" w:after="0"/>
        <w:rPr>
          <w:rFonts w:hint="default"/>
          <w:color w:val="auto"/>
          <w:lang w:val="en-US" w:eastAsia="zh-CN"/>
        </w:rPr>
      </w:pPr>
      <w:bookmarkStart w:id="178" w:name="_Toc3766"/>
      <w:bookmarkStart w:id="179" w:name="_Toc20318"/>
      <w:bookmarkStart w:id="180" w:name="_Toc30543"/>
      <w:r>
        <w:rPr>
          <w:rFonts w:hint="eastAsia"/>
          <w:color w:val="auto"/>
        </w:rPr>
        <w:t>第</w:t>
      </w:r>
      <w:r>
        <w:rPr>
          <w:rFonts w:hint="eastAsia"/>
          <w:color w:val="auto"/>
          <w:lang w:val="en-US" w:eastAsia="zh-CN"/>
        </w:rPr>
        <w:t>九</w:t>
      </w:r>
      <w:r>
        <w:rPr>
          <w:rFonts w:hint="eastAsia"/>
          <w:color w:val="auto"/>
        </w:rPr>
        <w:t xml:space="preserve">章 </w:t>
      </w:r>
      <w:r>
        <w:rPr>
          <w:rFonts w:hint="eastAsia"/>
          <w:color w:val="auto"/>
          <w:lang w:val="en-US" w:eastAsia="zh-CN"/>
        </w:rPr>
        <w:t>着力</w:t>
      </w:r>
      <w:r>
        <w:rPr>
          <w:rFonts w:hint="eastAsia"/>
          <w:color w:val="auto"/>
        </w:rPr>
        <w:t>发展贸易金融</w:t>
      </w:r>
      <w:bookmarkEnd w:id="178"/>
      <w:bookmarkEnd w:id="179"/>
      <w:r>
        <w:rPr>
          <w:rFonts w:hint="eastAsia"/>
          <w:color w:val="auto"/>
          <w:lang w:eastAsia="zh-CN"/>
        </w:rPr>
        <w:t>，培育贸易新业态新模式</w:t>
      </w:r>
      <w:bookmarkEnd w:id="180"/>
    </w:p>
    <w:p>
      <w:pPr>
        <w:pStyle w:val="4"/>
        <w:rPr>
          <w:color w:val="auto"/>
          <w:lang w:val="en-US" w:eastAsia="zh-CN"/>
        </w:rPr>
      </w:pPr>
      <w:bookmarkStart w:id="181" w:name="_Toc7089"/>
      <w:bookmarkStart w:id="182" w:name="_Toc16404"/>
      <w:bookmarkStart w:id="183" w:name="_Toc29831"/>
      <w:r>
        <w:rPr>
          <w:rFonts w:hint="eastAsia"/>
          <w:color w:val="auto"/>
          <w:lang w:val="en-US" w:eastAsia="zh-CN"/>
        </w:rPr>
        <w:t>第一节 推动金融支持物流业态发展</w:t>
      </w:r>
      <w:bookmarkEnd w:id="181"/>
      <w:bookmarkEnd w:id="182"/>
      <w:bookmarkEnd w:id="183"/>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color w:val="auto"/>
        </w:rPr>
      </w:pPr>
      <w:bookmarkStart w:id="184" w:name="_Toc25427"/>
      <w:r>
        <w:rPr>
          <w:rFonts w:hint="eastAsia" w:ascii="楷体" w:hAnsi="楷体" w:eastAsia="楷体" w:cs="楷体"/>
          <w:b/>
          <w:bCs w:val="0"/>
          <w:color w:val="auto"/>
          <w:lang w:val="en-US" w:eastAsia="zh-Hans"/>
        </w:rPr>
        <w:t>加大物流基础设施</w:t>
      </w:r>
      <w:r>
        <w:rPr>
          <w:rFonts w:hint="eastAsia" w:ascii="楷体" w:hAnsi="楷体" w:eastAsia="楷体" w:cs="楷体"/>
          <w:b/>
          <w:bCs w:val="0"/>
          <w:color w:val="auto"/>
          <w:lang w:val="en-US" w:eastAsia="zh-CN"/>
        </w:rPr>
        <w:t>金融</w:t>
      </w:r>
      <w:r>
        <w:rPr>
          <w:rFonts w:hint="eastAsia" w:ascii="楷体" w:hAnsi="楷体" w:eastAsia="楷体" w:cs="楷体"/>
          <w:b/>
          <w:bCs w:val="0"/>
          <w:color w:val="auto"/>
          <w:lang w:val="en-US" w:eastAsia="zh-Hans"/>
        </w:rPr>
        <w:t>支持</w:t>
      </w:r>
      <w:r>
        <w:rPr>
          <w:rFonts w:hint="default" w:ascii="楷体" w:hAnsi="楷体" w:eastAsia="楷体" w:cs="楷体"/>
          <w:b/>
          <w:bCs w:val="0"/>
          <w:color w:val="auto"/>
          <w:lang w:eastAsia="zh-Hans"/>
        </w:rPr>
        <w:t>。</w:t>
      </w:r>
      <w:bookmarkEnd w:id="184"/>
      <w:r>
        <w:rPr>
          <w:rFonts w:hint="eastAsia"/>
          <w:color w:val="auto"/>
        </w:rPr>
        <w:t>鼓励符合条件的金融机构或大型物流企业集团等发起物流产业发展投资基金</w:t>
      </w:r>
      <w:r>
        <w:rPr>
          <w:rFonts w:hint="eastAsia"/>
          <w:color w:val="auto"/>
          <w:lang w:val="en-US" w:eastAsia="zh-CN"/>
        </w:rPr>
        <w:t>，</w:t>
      </w:r>
      <w:r>
        <w:rPr>
          <w:rFonts w:hint="eastAsia"/>
          <w:color w:val="auto"/>
        </w:rPr>
        <w:t>积极争取</w:t>
      </w:r>
      <w:r>
        <w:rPr>
          <w:rFonts w:hint="eastAsia"/>
          <w:color w:val="auto"/>
          <w:lang w:val="en-US" w:eastAsia="zh-CN"/>
        </w:rPr>
        <w:t>国家开发银行、</w:t>
      </w:r>
      <w:r>
        <w:rPr>
          <w:rFonts w:hint="eastAsia"/>
          <w:color w:val="auto"/>
        </w:rPr>
        <w:t>国家进出口银行</w:t>
      </w:r>
      <w:r>
        <w:rPr>
          <w:rFonts w:hint="eastAsia"/>
          <w:color w:val="auto"/>
          <w:lang w:val="en-US" w:eastAsia="zh-CN"/>
        </w:rPr>
        <w:t>广东省分行</w:t>
      </w:r>
      <w:r>
        <w:rPr>
          <w:rFonts w:hint="eastAsia"/>
          <w:color w:val="auto"/>
          <w:lang w:val="en-US" w:eastAsia="zh-Hans"/>
        </w:rPr>
        <w:t>对汕尾“三基地、四中心、多节点，两轴带、四通道”总体物流布局体系的信贷支持</w:t>
      </w:r>
      <w:r>
        <w:rPr>
          <w:rFonts w:hint="default"/>
          <w:color w:val="auto"/>
          <w:lang w:eastAsia="zh-Hans"/>
        </w:rPr>
        <w:t>，</w:t>
      </w:r>
      <w:r>
        <w:rPr>
          <w:rFonts w:hint="eastAsia"/>
          <w:color w:val="auto"/>
          <w:lang w:eastAsia="zh-CN"/>
        </w:rPr>
        <w:t>发展商务流通新业态，</w:t>
      </w:r>
      <w:r>
        <w:rPr>
          <w:rFonts w:hint="eastAsia"/>
          <w:color w:val="auto"/>
          <w:lang w:val="en-US" w:eastAsia="zh-CN"/>
        </w:rPr>
        <w:t>助推</w:t>
      </w:r>
      <w:r>
        <w:rPr>
          <w:rFonts w:hint="default"/>
          <w:color w:val="auto"/>
          <w:lang w:val="en-US" w:eastAsia="zh-Hans"/>
        </w:rPr>
        <w:t>汕尾</w:t>
      </w:r>
      <w:r>
        <w:rPr>
          <w:rFonts w:hint="default"/>
          <w:color w:val="auto"/>
        </w:rPr>
        <w:t>申报</w:t>
      </w:r>
      <w:r>
        <w:rPr>
          <w:rFonts w:hint="default"/>
          <w:color w:val="auto"/>
          <w:lang w:val="en-US" w:eastAsia="zh-Hans"/>
        </w:rPr>
        <w:t>综合</w:t>
      </w:r>
      <w:r>
        <w:rPr>
          <w:rFonts w:hint="default"/>
          <w:color w:val="auto"/>
        </w:rPr>
        <w:t>保税区，争取纳入广东自贸</w:t>
      </w:r>
      <w:r>
        <w:rPr>
          <w:rFonts w:hint="eastAsia"/>
          <w:color w:val="auto"/>
          <w:lang w:val="en-US" w:eastAsia="zh-CN"/>
        </w:rPr>
        <w:t>区</w:t>
      </w:r>
      <w:r>
        <w:rPr>
          <w:rFonts w:hint="eastAsia"/>
          <w:color w:val="auto"/>
          <w:lang w:eastAsia="zh-CN"/>
        </w:rPr>
        <w:t>，</w:t>
      </w:r>
      <w:r>
        <w:rPr>
          <w:rFonts w:hint="eastAsia"/>
          <w:color w:val="auto"/>
        </w:rPr>
        <w:t>主动融入“双区”</w:t>
      </w:r>
      <w:r>
        <w:rPr>
          <w:rFonts w:hint="eastAsia"/>
          <w:color w:val="auto"/>
          <w:lang w:val="en-US" w:eastAsia="zh-Hans"/>
        </w:rPr>
        <w:t>建设</w:t>
      </w:r>
      <w:r>
        <w:rPr>
          <w:rFonts w:hint="default"/>
          <w:color w:val="auto"/>
          <w:lang w:eastAsia="zh-Hans"/>
        </w:rPr>
        <w:t>。</w:t>
      </w:r>
      <w:r>
        <w:rPr>
          <w:rFonts w:hint="eastAsia"/>
          <w:color w:val="auto"/>
        </w:rPr>
        <w:t>借助“港仓东移”契机，</w:t>
      </w:r>
      <w:r>
        <w:rPr>
          <w:rFonts w:hint="eastAsia"/>
          <w:color w:val="auto"/>
          <w:lang w:val="en-US" w:eastAsia="zh-Hans"/>
        </w:rPr>
        <w:t>引导金融机构加大对快速</w:t>
      </w:r>
      <w:r>
        <w:rPr>
          <w:rFonts w:hint="default" w:ascii="Arial" w:hAnsi="Arial" w:cs="Arial"/>
          <w:b w:val="0"/>
          <w:i w:val="0"/>
          <w:caps w:val="0"/>
          <w:color w:val="auto"/>
          <w:spacing w:val="0"/>
          <w:sz w:val="32"/>
          <w:szCs w:val="32"/>
          <w:u w:val="none"/>
        </w:rPr>
        <w:t>交通</w:t>
      </w:r>
      <w:r>
        <w:rPr>
          <w:rFonts w:hint="eastAsia" w:ascii="Arial" w:hAnsi="Arial" w:cs="Arial"/>
          <w:b w:val="0"/>
          <w:i w:val="0"/>
          <w:caps w:val="0"/>
          <w:color w:val="auto"/>
          <w:spacing w:val="0"/>
          <w:sz w:val="32"/>
          <w:szCs w:val="32"/>
          <w:u w:val="none"/>
          <w:lang w:val="en-US" w:eastAsia="zh-Hans"/>
        </w:rPr>
        <w:t>路</w:t>
      </w:r>
      <w:r>
        <w:rPr>
          <w:rFonts w:hint="default" w:ascii="Arial" w:hAnsi="Arial" w:cs="Arial"/>
          <w:b w:val="0"/>
          <w:i w:val="0"/>
          <w:caps w:val="0"/>
          <w:color w:val="auto"/>
          <w:spacing w:val="0"/>
          <w:sz w:val="32"/>
          <w:szCs w:val="32"/>
          <w:u w:val="none"/>
        </w:rPr>
        <w:t>网、疏港铁路、物流港航</w:t>
      </w:r>
      <w:r>
        <w:rPr>
          <w:rFonts w:hint="eastAsia" w:ascii="Arial" w:hAnsi="Arial" w:cs="Arial"/>
          <w:b w:val="0"/>
          <w:i w:val="0"/>
          <w:caps w:val="0"/>
          <w:color w:val="auto"/>
          <w:spacing w:val="0"/>
          <w:sz w:val="32"/>
          <w:szCs w:val="32"/>
          <w:u w:val="none"/>
          <w:lang w:val="en-US" w:eastAsia="zh-Hans"/>
        </w:rPr>
        <w:t>等交通设施</w:t>
      </w:r>
      <w:r>
        <w:rPr>
          <w:rFonts w:hint="eastAsia"/>
          <w:color w:val="auto"/>
          <w:lang w:val="en-US" w:eastAsia="zh-Hans"/>
        </w:rPr>
        <w:t>的信贷支持力度</w:t>
      </w:r>
      <w:r>
        <w:rPr>
          <w:rFonts w:hint="default"/>
          <w:color w:val="auto"/>
          <w:lang w:eastAsia="zh-Hans"/>
        </w:rPr>
        <w:t>，</w:t>
      </w:r>
      <w:r>
        <w:rPr>
          <w:rFonts w:hint="eastAsia" w:ascii="Arial" w:hAnsi="Arial" w:cs="Arial"/>
          <w:b w:val="0"/>
          <w:i w:val="0"/>
          <w:caps w:val="0"/>
          <w:color w:val="auto"/>
          <w:spacing w:val="0"/>
          <w:sz w:val="32"/>
          <w:szCs w:val="32"/>
          <w:u w:val="none"/>
          <w:lang w:val="en-US" w:eastAsia="zh-Hans"/>
        </w:rPr>
        <w:t>强化与</w:t>
      </w:r>
      <w:r>
        <w:rPr>
          <w:rFonts w:hint="default" w:ascii="Arial" w:hAnsi="Arial" w:cs="Arial"/>
          <w:b w:val="0"/>
          <w:i w:val="0"/>
          <w:caps w:val="0"/>
          <w:color w:val="auto"/>
          <w:spacing w:val="0"/>
          <w:sz w:val="32"/>
          <w:szCs w:val="32"/>
          <w:u w:val="none"/>
        </w:rPr>
        <w:t>深汕特别合作区、汕潮揭都市圈</w:t>
      </w:r>
      <w:r>
        <w:rPr>
          <w:rFonts w:hint="eastAsia" w:ascii="Arial" w:hAnsi="Arial" w:cs="Arial"/>
          <w:b w:val="0"/>
          <w:i w:val="0"/>
          <w:caps w:val="0"/>
          <w:color w:val="auto"/>
          <w:spacing w:val="0"/>
          <w:sz w:val="32"/>
          <w:szCs w:val="32"/>
          <w:u w:val="none"/>
          <w:lang w:val="en-US" w:eastAsia="zh-Hans"/>
        </w:rPr>
        <w:t>互联互通</w:t>
      </w:r>
      <w:r>
        <w:rPr>
          <w:rFonts w:hint="default" w:ascii="Arial" w:hAnsi="Arial" w:cs="Arial"/>
          <w:b w:val="0"/>
          <w:i w:val="0"/>
          <w:caps w:val="0"/>
          <w:color w:val="auto"/>
          <w:spacing w:val="0"/>
          <w:sz w:val="32"/>
          <w:szCs w:val="32"/>
          <w:u w:val="none"/>
          <w:lang w:eastAsia="zh-Hans"/>
        </w:rPr>
        <w:t>。</w:t>
      </w:r>
      <w:r>
        <w:rPr>
          <w:rFonts w:hint="eastAsia"/>
          <w:color w:val="auto"/>
        </w:rPr>
        <w:t>发挥海陆交通便利条件，合理利用国土空间资源，</w:t>
      </w:r>
      <w:r>
        <w:rPr>
          <w:rFonts w:hint="eastAsia"/>
          <w:color w:val="auto"/>
          <w:lang w:val="en-US" w:eastAsia="zh-CN"/>
        </w:rPr>
        <w:t>吸引大型物流集团和社会资本投资</w:t>
      </w:r>
      <w:r>
        <w:rPr>
          <w:rFonts w:hint="eastAsia"/>
          <w:color w:val="auto"/>
        </w:rPr>
        <w:t>建设大宗产品、重点原料、渔农产品、进口消费品的物流集散中心，</w:t>
      </w:r>
      <w:r>
        <w:rPr>
          <w:rFonts w:hint="eastAsia"/>
          <w:color w:val="auto"/>
          <w:lang w:val="en-US" w:eastAsia="zh-CN"/>
        </w:rPr>
        <w:t>助推</w:t>
      </w:r>
      <w:r>
        <w:rPr>
          <w:rFonts w:hint="eastAsia"/>
          <w:color w:val="auto"/>
        </w:rPr>
        <w:t>构建进出口基地。</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Calibri" w:hAnsi="Calibri" w:eastAsia="宋体" w:cs="Times New Roman"/>
          <w:color w:val="auto"/>
          <w:kern w:val="2"/>
          <w:sz w:val="21"/>
          <w:szCs w:val="24"/>
          <w:lang w:val="en-US" w:eastAsia="zh-CN" w:bidi="ar-SA"/>
        </w:rPr>
      </w:pPr>
      <w:r>
        <w:rPr>
          <w:rFonts w:hint="eastAsia" w:ascii="楷体" w:hAnsi="楷体" w:eastAsia="楷体" w:cs="楷体"/>
          <w:b/>
          <w:bCs w:val="0"/>
          <w:color w:val="auto"/>
          <w:lang w:val="en-US" w:eastAsia="zh-Hans"/>
        </w:rPr>
        <w:t>创新</w:t>
      </w:r>
      <w:r>
        <w:rPr>
          <w:rFonts w:hint="eastAsia" w:ascii="楷体" w:hAnsi="楷体" w:eastAsia="楷体" w:cs="楷体"/>
          <w:b/>
          <w:bCs w:val="0"/>
          <w:color w:val="auto"/>
          <w:lang w:val="en-US" w:eastAsia="zh-CN"/>
        </w:rPr>
        <w:t>贸易</w:t>
      </w:r>
      <w:r>
        <w:rPr>
          <w:rFonts w:hint="eastAsia" w:ascii="楷体" w:hAnsi="楷体" w:eastAsia="楷体" w:cs="楷体"/>
          <w:b/>
          <w:bCs w:val="0"/>
          <w:color w:val="auto"/>
          <w:lang w:val="en-US" w:eastAsia="zh-Hans"/>
        </w:rPr>
        <w:t>金融服务</w:t>
      </w:r>
      <w:r>
        <w:rPr>
          <w:rFonts w:hint="default" w:ascii="楷体" w:hAnsi="楷体" w:eastAsia="楷体" w:cs="楷体"/>
          <w:b/>
          <w:bCs w:val="0"/>
          <w:color w:val="auto"/>
          <w:lang w:eastAsia="zh-Hans"/>
        </w:rPr>
        <w:t>。</w:t>
      </w:r>
      <w:r>
        <w:rPr>
          <w:rFonts w:hint="eastAsia"/>
          <w:color w:val="auto"/>
        </w:rPr>
        <w:t>鼓励银行机构开展信用证、托收、跨境等授信</w:t>
      </w:r>
      <w:r>
        <w:rPr>
          <w:color w:val="auto"/>
        </w:rPr>
        <w:t>融资业务</w:t>
      </w:r>
      <w:r>
        <w:rPr>
          <w:rFonts w:hint="eastAsia"/>
          <w:color w:val="auto"/>
        </w:rPr>
        <w:t>，拓宽进出口企业融资渠道。</w:t>
      </w:r>
      <w:r>
        <w:rPr>
          <w:rFonts w:hint="eastAsia"/>
          <w:color w:val="auto"/>
          <w:lang w:val="en-US" w:eastAsia="zh-Hans"/>
        </w:rPr>
        <w:t>鼓励符合条件的</w:t>
      </w:r>
      <w:r>
        <w:rPr>
          <w:rFonts w:hint="eastAsia"/>
          <w:color w:val="auto"/>
          <w:lang w:val="en-US" w:eastAsia="zh-CN"/>
        </w:rPr>
        <w:t>银行</w:t>
      </w:r>
      <w:r>
        <w:rPr>
          <w:rFonts w:hint="eastAsia"/>
          <w:color w:val="auto"/>
          <w:lang w:val="en-US" w:eastAsia="zh-Hans"/>
        </w:rPr>
        <w:t>机构严格按照国家外汇管理有关规定，认真履行审核、统计等各项管理义务，合规经营结售汇业务</w:t>
      </w:r>
      <w:r>
        <w:rPr>
          <w:rFonts w:hint="default"/>
          <w:color w:val="auto"/>
        </w:rPr>
        <w:t>，</w:t>
      </w:r>
      <w:r>
        <w:rPr>
          <w:rFonts w:hint="eastAsia"/>
          <w:color w:val="auto"/>
        </w:rPr>
        <w:t>优化外汇管理和跨境人民币服务</w:t>
      </w:r>
      <w:r>
        <w:rPr>
          <w:rFonts w:hint="default"/>
          <w:color w:val="auto"/>
        </w:rPr>
        <w:t>，</w:t>
      </w:r>
      <w:r>
        <w:rPr>
          <w:rFonts w:hint="eastAsia"/>
          <w:color w:val="auto"/>
        </w:rPr>
        <w:t>为</w:t>
      </w:r>
      <w:r>
        <w:rPr>
          <w:rFonts w:hint="eastAsia"/>
          <w:color w:val="auto"/>
          <w:lang w:val="en-US" w:eastAsia="zh-Hans"/>
        </w:rPr>
        <w:t>外贸</w:t>
      </w:r>
      <w:r>
        <w:rPr>
          <w:rFonts w:hint="eastAsia"/>
          <w:color w:val="auto"/>
        </w:rPr>
        <w:t>企业量身定制“一揽子”跨境人民币结算和投融资服务方案</w:t>
      </w:r>
      <w:r>
        <w:rPr>
          <w:rFonts w:hint="eastAsia"/>
          <w:color w:val="auto"/>
          <w:lang w:eastAsia="zh-CN"/>
        </w:rPr>
        <w:t>。</w:t>
      </w:r>
      <w:r>
        <w:rPr>
          <w:rFonts w:hint="eastAsia"/>
          <w:color w:val="auto"/>
          <w:lang w:val="en-US" w:eastAsia="zh-CN"/>
        </w:rPr>
        <w:t>支持社会资本在汕尾设立商业保理公司开展贸易金融服务，加强与供应链金融服务机构合作，提升汕尾贸易金融服务能力和水平。</w:t>
      </w:r>
    </w:p>
    <w:p>
      <w:pPr>
        <w:keepNext/>
        <w:keepLines/>
        <w:widowControl w:val="0"/>
        <w:spacing w:before="93" w:beforeLines="30" w:after="93" w:afterLines="30" w:line="360" w:lineRule="auto"/>
        <w:ind w:firstLine="0" w:firstLineChars="0"/>
        <w:jc w:val="center"/>
        <w:outlineLvl w:val="1"/>
        <w:rPr>
          <w:rFonts w:ascii="Arial" w:hAnsi="Arial" w:eastAsia="黑体" w:cs="Times New Roman"/>
          <w:b/>
          <w:color w:val="auto"/>
          <w:kern w:val="2"/>
          <w:sz w:val="32"/>
          <w:szCs w:val="24"/>
          <w:lang w:val="en-US" w:eastAsia="zh-CN" w:bidi="ar-SA"/>
        </w:rPr>
      </w:pPr>
      <w:bookmarkStart w:id="185" w:name="_Toc17163"/>
      <w:bookmarkStart w:id="186" w:name="_Toc7061"/>
      <w:bookmarkStart w:id="187" w:name="_Toc28023"/>
      <w:r>
        <w:rPr>
          <w:rFonts w:hint="eastAsia" w:ascii="Arial" w:hAnsi="Arial" w:eastAsia="黑体" w:cs="Times New Roman"/>
          <w:b/>
          <w:bCs/>
          <w:color w:val="auto"/>
          <w:kern w:val="2"/>
          <w:sz w:val="32"/>
          <w:szCs w:val="24"/>
          <w:lang w:val="en-US" w:eastAsia="zh-CN" w:bidi="ar-SA"/>
        </w:rPr>
        <w:t>第二节 打造供应链金融生态圈</w:t>
      </w:r>
      <w:bookmarkEnd w:id="185"/>
      <w:bookmarkEnd w:id="186"/>
      <w:bookmarkEnd w:id="187"/>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outlineLvl w:val="9"/>
        <w:rPr>
          <w:rFonts w:hint="eastAsia" w:ascii="楷体" w:hAnsi="楷体" w:eastAsia="楷体" w:cs="楷体"/>
          <w:b/>
          <w:bCs w:val="0"/>
          <w:color w:val="auto"/>
        </w:rPr>
      </w:pPr>
      <w:r>
        <w:rPr>
          <w:rFonts w:hint="eastAsia" w:ascii="仿宋_GB2312" w:hAnsi="仿宋_GB2312" w:cs="仿宋_GB2312"/>
          <w:color w:val="auto"/>
          <w:szCs w:val="40"/>
        </w:rPr>
        <w:t>加大对贸易龙头企业的培育和融资支持力度，拓宽龙头企业、核心企业及其上下游企业融资渠道，积极搭建服务贸易企业特别是中小服务贸易企业融资平台</w:t>
      </w:r>
      <w:r>
        <w:rPr>
          <w:rFonts w:hint="eastAsia" w:ascii="仿宋_GB2312" w:hAnsi="仿宋_GB2312" w:cs="仿宋_GB2312"/>
          <w:color w:val="auto"/>
          <w:szCs w:val="40"/>
          <w:lang w:eastAsia="zh-CN"/>
        </w:rPr>
        <w:t>。</w:t>
      </w:r>
      <w:r>
        <w:rPr>
          <w:rFonts w:hint="eastAsia" w:ascii="仿宋_GB2312" w:hAnsi="仿宋_GB2312" w:cs="仿宋_GB2312"/>
          <w:color w:val="auto"/>
          <w:szCs w:val="40"/>
        </w:rPr>
        <w:t>提高服务贸易企业的融资担保能力，依托贸易龙头企业资金、客户、数据、信用等优势，发展基于真实交易背景的票据、应收账款、存货、预付款项融资等供应链金融服务。</w:t>
      </w:r>
      <w:r>
        <w:rPr>
          <w:rFonts w:hint="eastAsia"/>
          <w:color w:val="auto"/>
        </w:rPr>
        <w:t>创新存货质押、仓单质押、保兑仓、统一授信等物流金融产品与服务，为供应链上下游中小微企业提供线上线下高效便捷的融资服务。支持有实力的第三方物流企业或国有企业积极申请设立融资租赁、商业保理等地方金融组织或与金融机构合作，提供支付结算、第三方担保、订单融资、仓储融资、保理融资等创新金融服务。</w:t>
      </w:r>
      <w:bookmarkStart w:id="188" w:name="_Toc28238"/>
    </w:p>
    <w:bookmarkEnd w:id="188"/>
    <w:p>
      <w:pPr>
        <w:pStyle w:val="3"/>
        <w:rPr>
          <w:rFonts w:hint="default" w:eastAsia="方正小标宋简体"/>
          <w:color w:val="auto"/>
          <w:lang w:val="en-US" w:eastAsia="zh-CN"/>
        </w:rPr>
      </w:pPr>
      <w:bookmarkStart w:id="189" w:name="_Toc9662"/>
      <w:bookmarkStart w:id="190" w:name="_Toc29580"/>
      <w:bookmarkStart w:id="191" w:name="_Toc22166"/>
      <w:r>
        <w:rPr>
          <w:rFonts w:hint="eastAsia"/>
          <w:color w:val="auto"/>
        </w:rPr>
        <w:t>第</w:t>
      </w:r>
      <w:r>
        <w:rPr>
          <w:rFonts w:hint="eastAsia"/>
          <w:color w:val="auto"/>
          <w:lang w:val="en-US" w:eastAsia="zh-CN"/>
        </w:rPr>
        <w:t>十</w:t>
      </w:r>
      <w:r>
        <w:rPr>
          <w:rFonts w:hint="eastAsia"/>
          <w:color w:val="auto"/>
        </w:rPr>
        <w:t xml:space="preserve">章 </w:t>
      </w:r>
      <w:r>
        <w:rPr>
          <w:rFonts w:hint="eastAsia"/>
          <w:color w:val="auto"/>
          <w:lang w:val="en-US" w:eastAsia="zh-CN"/>
        </w:rPr>
        <w:t>大力发展</w:t>
      </w:r>
      <w:r>
        <w:rPr>
          <w:rFonts w:hint="eastAsia"/>
          <w:color w:val="auto"/>
        </w:rPr>
        <w:t>国企金融</w:t>
      </w:r>
      <w:bookmarkEnd w:id="189"/>
      <w:bookmarkEnd w:id="190"/>
      <w:r>
        <w:rPr>
          <w:rFonts w:hint="eastAsia"/>
          <w:color w:val="auto"/>
          <w:lang w:eastAsia="zh-CN"/>
        </w:rPr>
        <w:t>，</w:t>
      </w:r>
      <w:r>
        <w:rPr>
          <w:rFonts w:hint="eastAsia"/>
          <w:color w:val="auto"/>
          <w:lang w:val="en-US" w:eastAsia="zh-CN"/>
        </w:rPr>
        <w:t>深化国有企业改革</w:t>
      </w:r>
      <w:bookmarkEnd w:id="191"/>
    </w:p>
    <w:p>
      <w:pPr>
        <w:pStyle w:val="4"/>
        <w:rPr>
          <w:rFonts w:hint="default"/>
          <w:color w:val="auto"/>
          <w:lang w:val="en-US" w:eastAsia="zh-CN"/>
        </w:rPr>
      </w:pPr>
      <w:bookmarkStart w:id="192" w:name="_Toc31249"/>
      <w:bookmarkStart w:id="193" w:name="_Toc12345"/>
      <w:r>
        <w:rPr>
          <w:rFonts w:hint="eastAsia"/>
          <w:color w:val="auto"/>
          <w:lang w:val="en-US" w:eastAsia="zh-CN"/>
        </w:rPr>
        <w:t xml:space="preserve">第一节 </w:t>
      </w:r>
      <w:bookmarkEnd w:id="192"/>
      <w:r>
        <w:rPr>
          <w:rFonts w:hint="eastAsia"/>
          <w:color w:val="auto"/>
          <w:lang w:val="en-US" w:eastAsia="zh-CN"/>
        </w:rPr>
        <w:t>推动国企控股上市公司</w:t>
      </w:r>
      <w:bookmarkEnd w:id="193"/>
    </w:p>
    <w:p>
      <w:pPr>
        <w:pStyle w:val="2"/>
        <w:ind w:firstLine="640" w:firstLineChars="200"/>
        <w:rPr>
          <w:rFonts w:hint="eastAsia"/>
          <w:color w:val="auto"/>
          <w:lang w:val="en-US" w:eastAsia="zh-CN"/>
        </w:rPr>
      </w:pPr>
      <w:r>
        <w:rPr>
          <w:rFonts w:hint="eastAsia" w:ascii="仿宋_GB2312" w:hAnsi="仿宋_GB2312" w:eastAsia="仿宋_GB2312" w:cs="仿宋_GB2312"/>
          <w:b w:val="0"/>
          <w:bCs w:val="0"/>
          <w:color w:val="auto"/>
          <w:sz w:val="32"/>
          <w:lang w:val="en-US" w:eastAsia="zh-CN"/>
        </w:rPr>
        <w:t>以符合汕尾产业发展方向的上市公司为标的，结合上市公司的具体股权情况、业务情况以及融资需求，支持汕尾国企通过增资扩股、协议转让、受让表决权、集合竞价、大宗交易买入、重组并定向增发进行资产注入获取上市公司控制权。推动汕尾国企通过收购优质上市公司，将上市公司注册和经营地迁入汕尾，引导上市公司将核心技术及优势项目引入汕尾，促进汕尾相关产业的发展。</w:t>
      </w:r>
      <w:bookmarkStart w:id="194" w:name="_Toc11822"/>
    </w:p>
    <w:p>
      <w:pPr>
        <w:pStyle w:val="4"/>
        <w:rPr>
          <w:rFonts w:hint="eastAsia"/>
          <w:color w:val="auto"/>
          <w:lang w:val="en-US" w:eastAsia="zh-CN"/>
        </w:rPr>
      </w:pPr>
      <w:bookmarkStart w:id="195" w:name="_Toc6616"/>
      <w:bookmarkStart w:id="196" w:name="_Toc27084"/>
      <w:r>
        <w:rPr>
          <w:rFonts w:hint="eastAsia"/>
          <w:color w:val="auto"/>
          <w:lang w:val="en-US" w:eastAsia="zh-CN"/>
        </w:rPr>
        <w:t xml:space="preserve">第二节 </w:t>
      </w:r>
      <w:r>
        <w:rPr>
          <w:rFonts w:hint="eastAsia"/>
          <w:color w:val="auto"/>
          <w:lang w:val="en-US" w:eastAsia="zh-CN"/>
        </w:rPr>
        <w:fldChar w:fldCharType="begin"/>
      </w:r>
      <w:r>
        <w:rPr>
          <w:rFonts w:hint="eastAsia"/>
          <w:color w:val="auto"/>
          <w:lang w:val="en-US" w:eastAsia="zh-CN"/>
        </w:rPr>
        <w:instrText xml:space="preserve"> HYPERLINK "http://www.baidu.com/link?url=uEXomZ5CdiayJq-ALg0N5bRCXgfC0-qWfROJQODv0pnUy591FPOw1xCRAC7sbbTf5pIeldoPByLScNnFzD7AevoXW_XLAsyOXs1q9tz3U2d8WTRS801rjAA0KrwGOfgu" \t "https://www.baidu.com/_blank" </w:instrText>
      </w:r>
      <w:r>
        <w:rPr>
          <w:rFonts w:hint="eastAsia"/>
          <w:color w:val="auto"/>
          <w:lang w:val="en-US" w:eastAsia="zh-CN"/>
        </w:rPr>
        <w:fldChar w:fldCharType="separate"/>
      </w:r>
      <w:r>
        <w:rPr>
          <w:rFonts w:hint="eastAsia"/>
          <w:color w:val="auto"/>
          <w:lang w:val="en-US" w:eastAsia="zh-CN"/>
        </w:rPr>
        <w:fldChar w:fldCharType="end"/>
      </w:r>
      <w:bookmarkEnd w:id="195"/>
      <w:r>
        <w:rPr>
          <w:rFonts w:hint="default" w:ascii="Arial" w:hAnsi="Arial" w:eastAsia="黑体" w:cs="Times New Roman"/>
          <w:b/>
          <w:bCs w:val="0"/>
          <w:color w:val="auto"/>
          <w:lang w:val="en-US" w:eastAsia="zh-CN"/>
        </w:rPr>
        <w:t>打造国有资本运营平台</w:t>
      </w:r>
      <w:bookmarkEnd w:id="196"/>
    </w:p>
    <w:p>
      <w:pPr>
        <w:rPr>
          <w:rFonts w:hint="eastAsia" w:ascii="楷体" w:hAnsi="楷体" w:eastAsia="楷体" w:cs="楷体"/>
          <w:b/>
          <w:bCs/>
          <w:color w:val="auto"/>
          <w:lang w:val="en-US" w:eastAsia="zh-CN"/>
        </w:rPr>
      </w:pPr>
      <w:r>
        <w:rPr>
          <w:rFonts w:hint="eastAsia" w:ascii="仿宋_GB2312" w:hAnsi="仿宋_GB2312" w:eastAsia="仿宋_GB2312" w:cs="仿宋_GB2312"/>
          <w:b w:val="0"/>
          <w:bCs w:val="0"/>
          <w:color w:val="auto"/>
          <w:lang w:val="en-US" w:eastAsia="zh-CN"/>
        </w:rPr>
        <w:t>推动汕尾市投资控股有限公司、</w:t>
      </w:r>
      <w:r>
        <w:rPr>
          <w:rFonts w:hint="eastAsia" w:ascii="仿宋_GB2312" w:hAnsi="仿宋_GB2312" w:eastAsia="仿宋_GB2312" w:cs="仿宋_GB2312"/>
          <w:b w:val="0"/>
          <w:bCs w:val="0"/>
          <w:color w:val="auto"/>
          <w:lang w:val="en-US" w:eastAsia="zh-CN"/>
        </w:rPr>
        <w:fldChar w:fldCharType="begin"/>
      </w:r>
      <w:r>
        <w:rPr>
          <w:rFonts w:hint="eastAsia" w:ascii="仿宋_GB2312" w:hAnsi="仿宋_GB2312" w:eastAsia="仿宋_GB2312" w:cs="仿宋_GB2312"/>
          <w:b w:val="0"/>
          <w:bCs w:val="0"/>
          <w:color w:val="auto"/>
          <w:lang w:val="en-US" w:eastAsia="zh-CN"/>
        </w:rPr>
        <w:instrText xml:space="preserve"> HYPERLINK "https://www.sogou.com/link?url=DSOYnZeCC_qS47MxNmMXpNEgDNtyhLaCtVjNp-bVpYRJatn1L_S-mjKYqYX34h-STR7xL4loO5ECM3LKMVwc2bbAp6VRqT6Q" \t "https://www.sogou.com/_blank" </w:instrText>
      </w:r>
      <w:r>
        <w:rPr>
          <w:rFonts w:hint="eastAsia" w:ascii="仿宋_GB2312" w:hAnsi="仿宋_GB2312" w:eastAsia="仿宋_GB2312" w:cs="仿宋_GB2312"/>
          <w:b w:val="0"/>
          <w:bCs w:val="0"/>
          <w:color w:val="auto"/>
          <w:lang w:val="en-US" w:eastAsia="zh-CN"/>
        </w:rPr>
        <w:fldChar w:fldCharType="separate"/>
      </w:r>
      <w:r>
        <w:rPr>
          <w:rFonts w:hint="eastAsia" w:ascii="仿宋_GB2312" w:hAnsi="仿宋_GB2312" w:eastAsia="仿宋_GB2312" w:cs="仿宋_GB2312"/>
          <w:b w:val="0"/>
          <w:bCs w:val="0"/>
          <w:color w:val="auto"/>
          <w:lang w:val="en-US" w:eastAsia="zh-CN"/>
        </w:rPr>
        <w:t>汕尾市交通投资有限责任公司</w:t>
      </w:r>
      <w:r>
        <w:rPr>
          <w:rFonts w:hint="eastAsia" w:ascii="仿宋_GB2312" w:hAnsi="仿宋_GB2312" w:eastAsia="仿宋_GB2312" w:cs="仿宋_GB2312"/>
          <w:b w:val="0"/>
          <w:bCs w:val="0"/>
          <w:color w:val="auto"/>
          <w:lang w:val="en-US" w:eastAsia="zh-CN"/>
        </w:rPr>
        <w:fldChar w:fldCharType="end"/>
      </w:r>
      <w:r>
        <w:rPr>
          <w:rFonts w:hint="eastAsia" w:ascii="仿宋_GB2312" w:hAnsi="仿宋_GB2312" w:eastAsia="仿宋_GB2312" w:cs="仿宋_GB2312"/>
          <w:b w:val="0"/>
          <w:bCs w:val="0"/>
          <w:color w:val="auto"/>
          <w:lang w:val="en-US" w:eastAsia="zh-CN"/>
        </w:rPr>
        <w:t>、汕尾市金融控股有限公司通过组建、管理产业基金和专项资金，增持地方法人银行和各类国有金融企业的股份，逐步打造金融和产业投资一体化的国有资本运营平台。推动平台设立、控股、参股各类金融机构以及</w:t>
      </w:r>
      <w:r>
        <w:rPr>
          <w:rFonts w:hint="eastAsia" w:ascii="仿宋_GB2312" w:hAnsi="仿宋_GB2312" w:cs="仿宋_GB2312"/>
          <w:b w:val="0"/>
          <w:bCs w:val="0"/>
          <w:color w:val="auto"/>
          <w:lang w:val="en-US" w:eastAsia="zh-CN"/>
        </w:rPr>
        <w:t>小额贷款、融资担保、商业保理、融资租赁、私募基金等地方金融机构</w:t>
      </w:r>
      <w:r>
        <w:rPr>
          <w:rFonts w:hint="eastAsia" w:ascii="仿宋_GB2312" w:hAnsi="仿宋_GB2312" w:eastAsia="仿宋_GB2312" w:cs="仿宋_GB2312"/>
          <w:b w:val="0"/>
          <w:bCs w:val="0"/>
          <w:color w:val="auto"/>
          <w:lang w:val="en-US" w:eastAsia="zh-CN"/>
        </w:rPr>
        <w:t>，提升资本运营综合能力和水平。</w:t>
      </w:r>
    </w:p>
    <w:p>
      <w:pPr>
        <w:pStyle w:val="4"/>
        <w:rPr>
          <w:rFonts w:hint="eastAsia" w:ascii="楷体" w:hAnsi="楷体" w:eastAsia="楷体" w:cs="楷体"/>
          <w:b/>
          <w:bCs/>
          <w:color w:val="auto"/>
          <w:lang w:val="en-US" w:eastAsia="zh-CN"/>
        </w:rPr>
      </w:pPr>
      <w:bookmarkStart w:id="197" w:name="_Toc30288"/>
      <w:r>
        <w:rPr>
          <w:rFonts w:hint="eastAsia"/>
          <w:color w:val="auto"/>
          <w:lang w:val="en-US" w:eastAsia="zh-CN"/>
        </w:rPr>
        <w:t>第三节 强化国企金融服务功能</w:t>
      </w:r>
      <w:bookmarkEnd w:id="197"/>
    </w:p>
    <w:p>
      <w:pPr>
        <w:rPr>
          <w:rFonts w:hint="eastAsia" w:ascii="楷体" w:hAnsi="楷体" w:eastAsia="楷体" w:cs="楷体"/>
          <w:b/>
          <w:bCs/>
          <w:color w:val="auto"/>
          <w:lang w:val="en-US" w:eastAsia="zh-CN"/>
        </w:rPr>
      </w:pPr>
      <w:r>
        <w:rPr>
          <w:rFonts w:hint="eastAsia" w:ascii="仿宋_GB2312" w:hAnsi="仿宋_GB2312" w:eastAsia="仿宋_GB2312" w:cs="仿宋_GB2312"/>
          <w:b w:val="0"/>
          <w:bCs w:val="0"/>
          <w:color w:val="auto"/>
          <w:lang w:val="en-US" w:eastAsia="zh-CN"/>
        </w:rPr>
        <w:t>努力发挥国有企业在城市更新、三旧改造、基建设施、融资租赁、土地储备等方面的自身体制优势，根据国家严格控制政府债务的新形势，适时调整融资策略，科学规划融资规模，用好用活各类融资工具，拓展多元化的融资模式，增强市场融资能力。创新投融资模式，探索开展基础设施领域不动产投资信托基金试点，广泛吸纳社会资本参与重大基础设施投资建设。</w:t>
      </w:r>
    </w:p>
    <w:p>
      <w:pPr>
        <w:pStyle w:val="3"/>
        <w:rPr>
          <w:rFonts w:hint="default" w:eastAsia="方正小标宋简体"/>
          <w:color w:val="auto"/>
          <w:lang w:val="en-US" w:eastAsia="zh-CN"/>
        </w:rPr>
      </w:pPr>
      <w:bookmarkStart w:id="198" w:name="_Toc28205"/>
      <w:bookmarkStart w:id="199" w:name="_Toc23587"/>
      <w:bookmarkStart w:id="200" w:name="_Toc16124"/>
      <w:r>
        <w:rPr>
          <w:rFonts w:hint="eastAsia"/>
          <w:color w:val="auto"/>
        </w:rPr>
        <w:t>第十</w:t>
      </w:r>
      <w:r>
        <w:rPr>
          <w:rFonts w:hint="eastAsia"/>
          <w:color w:val="auto"/>
          <w:lang w:val="en-US" w:eastAsia="zh-CN"/>
        </w:rPr>
        <w:t>一</w:t>
      </w:r>
      <w:r>
        <w:rPr>
          <w:rFonts w:hint="eastAsia"/>
          <w:color w:val="auto"/>
        </w:rPr>
        <w:t xml:space="preserve">章 </w:t>
      </w:r>
      <w:bookmarkEnd w:id="194"/>
      <w:r>
        <w:rPr>
          <w:rFonts w:hint="eastAsia"/>
          <w:color w:val="auto"/>
        </w:rPr>
        <w:t>发展海洋金融</w:t>
      </w:r>
      <w:bookmarkEnd w:id="198"/>
      <w:bookmarkEnd w:id="199"/>
      <w:r>
        <w:rPr>
          <w:rFonts w:hint="eastAsia"/>
          <w:color w:val="auto"/>
          <w:lang w:eastAsia="zh-CN"/>
        </w:rPr>
        <w:t>，</w:t>
      </w:r>
      <w:r>
        <w:rPr>
          <w:rFonts w:hint="eastAsia"/>
          <w:color w:val="auto"/>
          <w:lang w:val="en-US" w:eastAsia="zh-CN"/>
        </w:rPr>
        <w:t>增强海洋经济活力</w:t>
      </w:r>
      <w:bookmarkEnd w:id="200"/>
    </w:p>
    <w:p>
      <w:pPr>
        <w:pStyle w:val="4"/>
        <w:rPr>
          <w:rFonts w:hint="default"/>
          <w:color w:val="auto"/>
          <w:lang w:val="en-US" w:eastAsia="zh-CN"/>
        </w:rPr>
      </w:pPr>
      <w:bookmarkStart w:id="201" w:name="_Toc3204"/>
      <w:bookmarkStart w:id="202" w:name="_Toc11554"/>
      <w:bookmarkStart w:id="203" w:name="_Toc19397"/>
      <w:r>
        <w:rPr>
          <w:rFonts w:hint="eastAsia"/>
          <w:color w:val="auto"/>
          <w:lang w:val="en-US" w:eastAsia="zh-CN"/>
        </w:rPr>
        <w:t>第一节 完善海洋金融组织体系</w:t>
      </w:r>
      <w:bookmarkEnd w:id="201"/>
      <w:bookmarkEnd w:id="202"/>
    </w:p>
    <w:p>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cs="仿宋_GB2312"/>
          <w:b w:val="0"/>
          <w:bCs/>
          <w:color w:val="auto"/>
          <w:kern w:val="2"/>
          <w:sz w:val="32"/>
          <w:szCs w:val="24"/>
          <w:lang w:val="en-US" w:eastAsia="zh-CN" w:bidi="ar-SA"/>
        </w:rPr>
      </w:pPr>
      <w:r>
        <w:rPr>
          <w:rFonts w:hint="eastAsia" w:ascii="楷体" w:hAnsi="楷体" w:eastAsia="楷体" w:cs="楷体"/>
          <w:b/>
          <w:bCs w:val="0"/>
          <w:color w:val="auto"/>
          <w:kern w:val="2"/>
          <w:sz w:val="32"/>
          <w:szCs w:val="24"/>
          <w:lang w:val="en-US" w:eastAsia="zh-CN" w:bidi="ar-SA"/>
        </w:rPr>
        <w:t>鼓励设立服务海洋经济发展专营机构。</w:t>
      </w:r>
      <w:r>
        <w:rPr>
          <w:rFonts w:hint="eastAsia" w:ascii="仿宋_GB2312" w:hAnsi="仿宋_GB2312" w:eastAsia="仿宋_GB2312" w:cs="仿宋_GB2312"/>
          <w:b w:val="0"/>
          <w:bCs/>
          <w:color w:val="auto"/>
          <w:kern w:val="2"/>
          <w:sz w:val="32"/>
          <w:szCs w:val="24"/>
          <w:lang w:val="en-US" w:eastAsia="zh-CN" w:bidi="ar-SA"/>
        </w:rPr>
        <w:t>鼓励</w:t>
      </w:r>
      <w:r>
        <w:rPr>
          <w:rFonts w:hint="eastAsia" w:ascii="仿宋_GB2312" w:hAnsi="仿宋_GB2312" w:cs="仿宋_GB2312"/>
          <w:b w:val="0"/>
          <w:bCs/>
          <w:color w:val="auto"/>
          <w:kern w:val="2"/>
          <w:sz w:val="32"/>
          <w:szCs w:val="24"/>
          <w:lang w:val="en-US" w:eastAsia="zh-CN" w:bidi="ar-SA"/>
        </w:rPr>
        <w:t>本地</w:t>
      </w:r>
      <w:r>
        <w:rPr>
          <w:rFonts w:hint="eastAsia" w:ascii="仿宋_GB2312" w:hAnsi="仿宋_GB2312" w:eastAsia="仿宋_GB2312" w:cs="仿宋_GB2312"/>
          <w:b w:val="0"/>
          <w:bCs/>
          <w:color w:val="auto"/>
          <w:kern w:val="2"/>
          <w:sz w:val="32"/>
          <w:szCs w:val="24"/>
          <w:lang w:val="en-US" w:eastAsia="zh-CN" w:bidi="ar-SA"/>
        </w:rPr>
        <w:t>有条件的银行业金融机构设立海洋经济金融服务事业部</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依法合规组建海洋渔业、航运、港口、物流、</w:t>
      </w:r>
      <w:r>
        <w:rPr>
          <w:rFonts w:hint="eastAsia" w:ascii="仿宋_GB2312" w:hAnsi="仿宋_GB2312" w:cs="仿宋_GB2312"/>
          <w:b w:val="0"/>
          <w:bCs/>
          <w:color w:val="auto"/>
          <w:kern w:val="2"/>
          <w:sz w:val="32"/>
          <w:szCs w:val="24"/>
          <w:lang w:val="en-US" w:eastAsia="zh-CN" w:bidi="ar-SA"/>
        </w:rPr>
        <w:t>海洋科技</w:t>
      </w:r>
      <w:r>
        <w:rPr>
          <w:rFonts w:hint="eastAsia" w:ascii="仿宋_GB2312" w:hAnsi="仿宋_GB2312" w:eastAsia="仿宋_GB2312" w:cs="仿宋_GB2312"/>
          <w:b w:val="0"/>
          <w:bCs/>
          <w:color w:val="auto"/>
          <w:kern w:val="2"/>
          <w:sz w:val="32"/>
          <w:szCs w:val="24"/>
          <w:lang w:val="en-US" w:eastAsia="zh-CN" w:bidi="ar-SA"/>
        </w:rPr>
        <w:t>等金融服务中心或特色专营机构</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积极吸引国内外海洋金融机构</w:t>
      </w:r>
      <w:r>
        <w:rPr>
          <w:rFonts w:hint="eastAsia" w:ascii="仿宋_GB2312" w:hAnsi="仿宋_GB2312" w:cs="仿宋_GB2312"/>
          <w:b w:val="0"/>
          <w:bCs/>
          <w:color w:val="auto"/>
          <w:kern w:val="2"/>
          <w:sz w:val="32"/>
          <w:szCs w:val="24"/>
          <w:lang w:val="en-US" w:eastAsia="zh-CN" w:bidi="ar-SA"/>
        </w:rPr>
        <w:t>在我市</w:t>
      </w:r>
      <w:r>
        <w:rPr>
          <w:rFonts w:hint="eastAsia" w:ascii="仿宋_GB2312" w:hAnsi="仿宋_GB2312" w:eastAsia="仿宋_GB2312" w:cs="仿宋_GB2312"/>
          <w:b w:val="0"/>
          <w:bCs/>
          <w:color w:val="auto"/>
          <w:kern w:val="2"/>
          <w:sz w:val="32"/>
          <w:szCs w:val="24"/>
          <w:lang w:val="en-US" w:eastAsia="zh-CN" w:bidi="ar-SA"/>
        </w:rPr>
        <w:t>成立海洋产业</w:t>
      </w:r>
      <w:r>
        <w:rPr>
          <w:rFonts w:hint="eastAsia" w:ascii="仿宋_GB2312" w:hAnsi="仿宋_GB2312" w:cs="仿宋_GB2312"/>
          <w:b w:val="0"/>
          <w:bCs/>
          <w:color w:val="auto"/>
          <w:kern w:val="2"/>
          <w:sz w:val="32"/>
          <w:szCs w:val="24"/>
          <w:lang w:val="en-US" w:eastAsia="zh-CN" w:bidi="ar-SA"/>
        </w:rPr>
        <w:t>投资</w:t>
      </w:r>
      <w:r>
        <w:rPr>
          <w:rFonts w:hint="eastAsia" w:ascii="仿宋_GB2312" w:hAnsi="仿宋_GB2312" w:eastAsia="仿宋_GB2312" w:cs="仿宋_GB2312"/>
          <w:b w:val="0"/>
          <w:bCs/>
          <w:color w:val="auto"/>
          <w:kern w:val="2"/>
          <w:sz w:val="32"/>
          <w:szCs w:val="24"/>
          <w:lang w:val="en-US" w:eastAsia="zh-CN" w:bidi="ar-SA"/>
        </w:rPr>
        <w:t>发展基金</w:t>
      </w:r>
      <w:r>
        <w:rPr>
          <w:rFonts w:hint="eastAsia" w:ascii="仿宋_GB2312" w:hAnsi="仿宋_GB2312" w:cs="仿宋_GB2312"/>
          <w:b w:val="0"/>
          <w:bCs/>
          <w:color w:val="auto"/>
          <w:kern w:val="2"/>
          <w:sz w:val="32"/>
          <w:szCs w:val="24"/>
          <w:lang w:val="en-US" w:eastAsia="zh-CN" w:bidi="ar-SA"/>
        </w:rPr>
        <w:t>，对接海上风电、远洋渔业等海洋项目的融资需求。加快完善海洋产业金融支持体系。</w:t>
      </w:r>
    </w:p>
    <w:p>
      <w:pPr>
        <w:bidi w:val="0"/>
        <w:rPr>
          <w:rFonts w:hint="eastAsia"/>
          <w:color w:val="auto"/>
          <w:lang w:val="en-US" w:eastAsia="zh-CN"/>
        </w:rPr>
      </w:pPr>
      <w:r>
        <w:rPr>
          <w:rFonts w:hint="eastAsia"/>
          <w:color w:val="auto"/>
          <w:lang w:val="en-US" w:eastAsia="zh-CN"/>
        </w:rPr>
        <w:t>具体可根据汕尾海洋产业特点和海洋金融发展情况，在金融组织方面，建设涉海基金机构和银行、设立专门海洋金融投资部门，完善海洋金融支持的组织条件；在金融保障方面，形成信用担保体系，化解海洋产业结构升级风险；在金融服务方面，提供地方特色海洋产业金融服务产品，给予相应资金、技术支持。</w:t>
      </w:r>
    </w:p>
    <w:p>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cs="仿宋_GB2312"/>
          <w:b w:val="0"/>
          <w:bCs/>
          <w:color w:val="auto"/>
          <w:kern w:val="2"/>
          <w:sz w:val="32"/>
          <w:szCs w:val="32"/>
          <w:lang w:val="en-US" w:eastAsia="zh-CN" w:bidi="ar-SA"/>
        </w:rPr>
      </w:pPr>
      <w:r>
        <w:rPr>
          <w:rFonts w:hint="eastAsia" w:ascii="楷体" w:hAnsi="楷体" w:eastAsia="楷体" w:cs="楷体"/>
          <w:b/>
          <w:bCs w:val="0"/>
          <w:color w:val="auto"/>
          <w:kern w:val="2"/>
          <w:sz w:val="32"/>
          <w:szCs w:val="24"/>
          <w:lang w:val="en-US" w:eastAsia="zh-CN" w:bidi="ar-SA"/>
        </w:rPr>
        <w:t>加快发展新型海洋金融组织。</w:t>
      </w:r>
      <w:r>
        <w:rPr>
          <w:rFonts w:hint="eastAsia" w:ascii="仿宋_GB2312" w:hAnsi="仿宋_GB2312" w:cs="仿宋_GB2312"/>
          <w:b w:val="0"/>
          <w:bCs/>
          <w:color w:val="auto"/>
          <w:kern w:val="2"/>
          <w:sz w:val="32"/>
          <w:szCs w:val="24"/>
          <w:lang w:val="en-US" w:eastAsia="zh-CN" w:bidi="ar-SA"/>
        </w:rPr>
        <w:t>鼓励外商独资</w:t>
      </w:r>
      <w:r>
        <w:rPr>
          <w:rFonts w:hint="eastAsia" w:ascii="仿宋_GB2312" w:hAnsi="仿宋_GB2312" w:cs="仿宋_GB2312"/>
          <w:b w:val="0"/>
          <w:bCs/>
          <w:color w:val="auto"/>
          <w:kern w:val="2"/>
          <w:sz w:val="32"/>
          <w:szCs w:val="32"/>
          <w:lang w:val="en-US" w:eastAsia="zh-CN" w:bidi="ar-SA"/>
        </w:rPr>
        <w:t>以中外合资形式、国内符合条件的企业以独资或合资等方式、民间资本独立发起等方式发起设立服务海洋经济的金融租赁公司，支持具有品牌优势、经营规范、效益良好、资本充足的涉海大型骨干企业在汕尾设立财务公司，鼓励融资担保公司积极为涉海企业提供融资增信服务，加快发展各类服务海洋经济的合作性金融组织，努力形成政策性金融、商业性金融和合作性金融互为补充的多元海洋金融组织体系。</w:t>
      </w:r>
    </w:p>
    <w:p>
      <w:pPr>
        <w:rPr>
          <w:rFonts w:hint="default" w:ascii="Calibri" w:hAnsi="Calibri" w:cs="Times New Roman"/>
          <w:b w:val="0"/>
          <w:bCs w:val="0"/>
          <w:color w:val="auto"/>
          <w:kern w:val="2"/>
          <w:sz w:val="21"/>
          <w:szCs w:val="24"/>
          <w:lang w:val="en-US" w:eastAsia="zh-CN" w:bidi="ar-SA"/>
        </w:rPr>
      </w:pPr>
      <w:r>
        <w:rPr>
          <w:rFonts w:hint="eastAsia" w:ascii="楷体" w:hAnsi="楷体" w:eastAsia="楷体" w:cs="楷体"/>
          <w:b/>
          <w:bCs w:val="0"/>
          <w:color w:val="auto"/>
          <w:kern w:val="2"/>
          <w:sz w:val="32"/>
          <w:szCs w:val="24"/>
          <w:highlight w:val="none"/>
          <w:lang w:val="en-US" w:eastAsia="zh-CN" w:bidi="ar-SA"/>
        </w:rPr>
        <w:t>打造海洋金融服务平台。</w:t>
      </w:r>
      <w:r>
        <w:rPr>
          <w:rFonts w:hint="eastAsia" w:ascii="仿宋_GB2312" w:hAnsi="仿宋_GB2312" w:cs="仿宋_GB2312"/>
          <w:b w:val="0"/>
          <w:bCs/>
          <w:color w:val="auto"/>
          <w:kern w:val="2"/>
          <w:sz w:val="32"/>
          <w:szCs w:val="24"/>
          <w:highlight w:val="none"/>
          <w:lang w:val="en-US" w:eastAsia="zh-CN" w:bidi="ar-SA"/>
        </w:rPr>
        <w:t>发挥“政银企”优势，</w:t>
      </w:r>
      <w:r>
        <w:rPr>
          <w:rFonts w:hint="eastAsia" w:ascii="仿宋_GB2312" w:hAnsi="仿宋_GB2312" w:eastAsia="仿宋_GB2312" w:cs="仿宋_GB2312"/>
          <w:b w:val="0"/>
          <w:bCs/>
          <w:color w:val="auto"/>
          <w:kern w:val="2"/>
          <w:sz w:val="32"/>
          <w:szCs w:val="24"/>
          <w:highlight w:val="none"/>
          <w:lang w:val="en-US" w:eastAsia="zh-CN" w:bidi="ar-SA"/>
        </w:rPr>
        <w:t>建立基于互联网的集港口、航运、物流、金融、政务、中介服务、大数据信息服务于一体的综合性航运交易和服务平台。</w:t>
      </w:r>
    </w:p>
    <w:p>
      <w:pPr>
        <w:pStyle w:val="4"/>
        <w:rPr>
          <w:rFonts w:hint="eastAsia"/>
          <w:color w:val="auto"/>
          <w:lang w:val="en-US" w:eastAsia="zh-CN"/>
        </w:rPr>
      </w:pPr>
      <w:bookmarkStart w:id="204" w:name="_Toc5817"/>
      <w:bookmarkStart w:id="205" w:name="_Toc30613"/>
      <w:r>
        <w:rPr>
          <w:rFonts w:hint="eastAsia"/>
          <w:color w:val="auto"/>
          <w:lang w:val="en-US" w:eastAsia="zh-CN"/>
        </w:rPr>
        <w:t>第二节 拓宽海洋产业融资渠道</w:t>
      </w:r>
      <w:bookmarkEnd w:id="204"/>
      <w:bookmarkEnd w:id="205"/>
    </w:p>
    <w:p>
      <w:pPr>
        <w:keepNext/>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val="0"/>
          <w:bCs/>
          <w:color w:val="auto"/>
          <w:kern w:val="2"/>
          <w:sz w:val="32"/>
          <w:szCs w:val="24"/>
          <w:lang w:val="en-US" w:eastAsia="zh-CN" w:bidi="ar-SA"/>
        </w:rPr>
      </w:pPr>
      <w:r>
        <w:rPr>
          <w:rFonts w:hint="eastAsia" w:ascii="楷体" w:hAnsi="楷体" w:eastAsia="楷体" w:cs="楷体"/>
          <w:b/>
          <w:bCs w:val="0"/>
          <w:color w:val="auto"/>
          <w:kern w:val="2"/>
          <w:sz w:val="32"/>
          <w:szCs w:val="24"/>
          <w:lang w:val="en-US" w:eastAsia="zh-CN" w:bidi="ar-SA"/>
        </w:rPr>
        <w:t>加大重点领域信贷支持。</w:t>
      </w:r>
      <w:r>
        <w:rPr>
          <w:rFonts w:hint="eastAsia" w:ascii="仿宋_GB2312" w:hAnsi="仿宋_GB2312" w:eastAsia="仿宋_GB2312" w:cs="仿宋_GB2312"/>
          <w:b w:val="0"/>
          <w:bCs/>
          <w:color w:val="auto"/>
          <w:kern w:val="2"/>
          <w:sz w:val="32"/>
          <w:szCs w:val="24"/>
          <w:lang w:val="en-US" w:eastAsia="zh-CN" w:bidi="ar-SA"/>
        </w:rPr>
        <w:t>大力引导银行类金融机构根据涉海企业风险和经营特点优化信贷投向</w:t>
      </w:r>
      <w:r>
        <w:rPr>
          <w:rFonts w:hint="eastAsia" w:ascii="仿宋_GB2312" w:hAnsi="仿宋_GB2312" w:cs="仿宋_GB2312"/>
          <w:b w:val="0"/>
          <w:bCs/>
          <w:color w:val="auto"/>
          <w:kern w:val="2"/>
          <w:sz w:val="32"/>
          <w:szCs w:val="24"/>
          <w:lang w:val="en-US" w:eastAsia="zh-CN" w:bidi="ar-SA"/>
        </w:rPr>
        <w:t>机制，</w:t>
      </w:r>
      <w:r>
        <w:rPr>
          <w:rFonts w:hint="eastAsia" w:ascii="仿宋_GB2312" w:hAnsi="仿宋_GB2312" w:eastAsia="仿宋_GB2312" w:cs="仿宋_GB2312"/>
          <w:b w:val="0"/>
          <w:bCs/>
          <w:color w:val="auto"/>
          <w:kern w:val="2"/>
          <w:sz w:val="32"/>
          <w:szCs w:val="24"/>
          <w:lang w:val="en-US" w:eastAsia="zh-CN" w:bidi="ar-SA"/>
        </w:rPr>
        <w:t>制定符合海洋经济企业特点的差异化信贷管理政策</w:t>
      </w:r>
      <w:r>
        <w:rPr>
          <w:rFonts w:hint="eastAsia" w:ascii="仿宋_GB2312" w:hAnsi="仿宋_GB2312" w:cs="仿宋_GB2312"/>
          <w:b w:val="0"/>
          <w:bCs/>
          <w:color w:val="auto"/>
          <w:kern w:val="2"/>
          <w:sz w:val="32"/>
          <w:szCs w:val="24"/>
          <w:lang w:val="en-US" w:eastAsia="zh-CN" w:bidi="ar-SA"/>
        </w:rPr>
        <w:t>及</w:t>
      </w:r>
      <w:r>
        <w:rPr>
          <w:rFonts w:hint="eastAsia" w:ascii="仿宋_GB2312" w:hAnsi="仿宋_GB2312" w:eastAsia="仿宋_GB2312" w:cs="仿宋_GB2312"/>
          <w:b w:val="0"/>
          <w:bCs/>
          <w:color w:val="auto"/>
          <w:kern w:val="2"/>
          <w:sz w:val="32"/>
          <w:szCs w:val="24"/>
          <w:lang w:val="en-US" w:eastAsia="zh-CN" w:bidi="ar-SA"/>
        </w:rPr>
        <w:t>风险评价体系</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科学确定贷款利率、期限和还款方式</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综合运用银团贷款、金融租赁、组合贷款、联合授信等模式加大对现代海洋渔业、海上风电工程装备制造产业、现代海洋服务业等海洋经济重点产业和项目的信贷支持。鼓励金融机构完善和推广渔船抵押贷款，探索开展海域使用权、在建船舶、水产品仓单及码头、船坞等抵质押贷款业务。</w:t>
      </w:r>
    </w:p>
    <w:p>
      <w:pPr>
        <w:spacing w:line="360" w:lineRule="auto"/>
        <w:ind w:firstLine="643" w:firstLineChars="200"/>
        <w:rPr>
          <w:rFonts w:hint="eastAsia"/>
          <w:color w:val="auto"/>
          <w:sz w:val="32"/>
          <w:szCs w:val="32"/>
          <w:lang w:val="en-US" w:eastAsia="zh-CN"/>
        </w:rPr>
      </w:pPr>
      <w:r>
        <w:rPr>
          <w:rFonts w:hint="eastAsia" w:ascii="楷体" w:hAnsi="楷体" w:eastAsia="楷体" w:cs="楷体"/>
          <w:b/>
          <w:bCs w:val="0"/>
          <w:color w:val="auto"/>
          <w:kern w:val="2"/>
          <w:sz w:val="32"/>
          <w:szCs w:val="24"/>
          <w:lang w:val="en-US" w:eastAsia="zh-CN" w:bidi="ar-SA"/>
        </w:rPr>
        <w:t>重点发展融资租赁业务。</w:t>
      </w:r>
      <w:r>
        <w:rPr>
          <w:rFonts w:hint="eastAsia" w:ascii="仿宋_GB2312" w:hAnsi="仿宋_GB2312" w:eastAsia="仿宋_GB2312" w:cs="仿宋_GB2312"/>
          <w:b w:val="0"/>
          <w:bCs/>
          <w:color w:val="auto"/>
          <w:kern w:val="2"/>
          <w:sz w:val="32"/>
          <w:szCs w:val="24"/>
          <w:lang w:val="en-US" w:eastAsia="zh-CN" w:bidi="ar-SA"/>
        </w:rPr>
        <w:t>积极探索利用银行的资金优势和租赁公司的专业优势服务海上风电项目融资及海上风电工程装备制造产业基地建设，推动融资租赁与风电装备产业联动发展</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鼓励融资租赁企业积极开展面向渔业大户、远洋渔业企业等渔业经营主体提供渔船融资租赁业务，创新售后回租业务模式</w:t>
      </w:r>
      <w:r>
        <w:rPr>
          <w:rFonts w:hint="eastAsia" w:ascii="仿宋_GB2312" w:hAnsi="仿宋_GB2312" w:cs="仿宋_GB2312"/>
          <w:b w:val="0"/>
          <w:bCs/>
          <w:color w:val="auto"/>
          <w:kern w:val="2"/>
          <w:sz w:val="32"/>
          <w:szCs w:val="24"/>
          <w:lang w:val="en-US" w:eastAsia="zh-CN" w:bidi="ar-SA"/>
        </w:rPr>
        <w:t>，推广以</w:t>
      </w:r>
      <w:r>
        <w:rPr>
          <w:rFonts w:hint="eastAsia" w:ascii="仿宋_GB2312" w:hAnsi="仿宋_GB2312" w:eastAsia="仿宋_GB2312" w:cs="仿宋_GB2312"/>
          <w:b w:val="0"/>
          <w:bCs/>
          <w:color w:val="auto"/>
          <w:kern w:val="2"/>
          <w:sz w:val="32"/>
          <w:szCs w:val="24"/>
          <w:lang w:val="en-US" w:eastAsia="zh-CN" w:bidi="ar-SA"/>
        </w:rPr>
        <w:t>渔船抵押登记等方式规避融资租赁物转让难题</w:t>
      </w:r>
      <w:r>
        <w:rPr>
          <w:rFonts w:hint="eastAsia" w:ascii="仿宋_GB2312" w:hAnsi="仿宋_GB2312" w:cs="仿宋_GB2312"/>
          <w:b w:val="0"/>
          <w:bCs/>
          <w:color w:val="auto"/>
          <w:kern w:val="2"/>
          <w:sz w:val="32"/>
          <w:szCs w:val="24"/>
          <w:lang w:val="en-US" w:eastAsia="zh-CN" w:bidi="ar-SA"/>
        </w:rPr>
        <w:t>，鼓励</w:t>
      </w:r>
      <w:r>
        <w:rPr>
          <w:rFonts w:hint="eastAsia" w:ascii="仿宋_GB2312" w:hAnsi="仿宋_GB2312" w:eastAsia="仿宋_GB2312" w:cs="仿宋_GB2312"/>
          <w:b w:val="0"/>
          <w:bCs/>
          <w:color w:val="auto"/>
          <w:kern w:val="2"/>
          <w:sz w:val="32"/>
          <w:szCs w:val="24"/>
          <w:lang w:val="en-US" w:eastAsia="zh-CN" w:bidi="ar-SA"/>
        </w:rPr>
        <w:t>根据渔业企业生产周期</w:t>
      </w:r>
      <w:r>
        <w:rPr>
          <w:rFonts w:hint="eastAsia" w:ascii="仿宋_GB2312" w:hAnsi="仿宋_GB2312" w:cs="仿宋_GB2312"/>
          <w:b w:val="0"/>
          <w:bCs/>
          <w:color w:val="auto"/>
          <w:kern w:val="2"/>
          <w:sz w:val="32"/>
          <w:szCs w:val="24"/>
          <w:lang w:val="en-US" w:eastAsia="zh-CN" w:bidi="ar-SA"/>
        </w:rPr>
        <w:t>与</w:t>
      </w:r>
      <w:r>
        <w:rPr>
          <w:rFonts w:hint="eastAsia" w:ascii="仿宋_GB2312" w:hAnsi="仿宋_GB2312" w:eastAsia="仿宋_GB2312" w:cs="仿宋_GB2312"/>
          <w:b w:val="0"/>
          <w:bCs/>
          <w:color w:val="auto"/>
          <w:kern w:val="2"/>
          <w:sz w:val="32"/>
          <w:szCs w:val="24"/>
          <w:lang w:val="en-US" w:eastAsia="zh-CN" w:bidi="ar-SA"/>
        </w:rPr>
        <w:t>经营资金回笼特点灵</w:t>
      </w:r>
      <w:r>
        <w:rPr>
          <w:rFonts w:hint="eastAsia" w:ascii="仿宋_GB2312" w:hAnsi="仿宋_GB2312" w:eastAsia="仿宋_GB2312" w:cs="仿宋_GB2312"/>
          <w:b w:val="0"/>
          <w:bCs/>
          <w:color w:val="auto"/>
          <w:kern w:val="2"/>
          <w:sz w:val="32"/>
          <w:szCs w:val="32"/>
          <w:lang w:val="en-US" w:eastAsia="zh-CN" w:bidi="ar-SA"/>
        </w:rPr>
        <w:t>活设计租赁期限</w:t>
      </w:r>
      <w:r>
        <w:rPr>
          <w:rFonts w:hint="eastAsia" w:ascii="仿宋_GB2312" w:hAnsi="仿宋_GB2312" w:cs="仿宋_GB2312"/>
          <w:b w:val="0"/>
          <w:bCs/>
          <w:color w:val="auto"/>
          <w:kern w:val="2"/>
          <w:sz w:val="32"/>
          <w:szCs w:val="32"/>
          <w:lang w:val="en-US" w:eastAsia="zh-CN" w:bidi="ar-SA"/>
        </w:rPr>
        <w:t>及</w:t>
      </w:r>
      <w:r>
        <w:rPr>
          <w:rFonts w:hint="eastAsia" w:ascii="仿宋_GB2312" w:hAnsi="仿宋_GB2312" w:eastAsia="仿宋_GB2312" w:cs="仿宋_GB2312"/>
          <w:b w:val="0"/>
          <w:bCs/>
          <w:color w:val="auto"/>
          <w:kern w:val="2"/>
          <w:sz w:val="32"/>
          <w:szCs w:val="32"/>
          <w:lang w:val="en-US" w:eastAsia="zh-CN" w:bidi="ar-SA"/>
        </w:rPr>
        <w:t>还款方式，</w:t>
      </w:r>
      <w:r>
        <w:rPr>
          <w:rFonts w:hint="eastAsia" w:ascii="仿宋_GB2312" w:hAnsi="仿宋_GB2312" w:cs="仿宋_GB2312"/>
          <w:b w:val="0"/>
          <w:bCs/>
          <w:color w:val="auto"/>
          <w:kern w:val="2"/>
          <w:sz w:val="32"/>
          <w:szCs w:val="32"/>
          <w:lang w:val="en-US" w:eastAsia="zh-CN" w:bidi="ar-SA"/>
        </w:rPr>
        <w:t>探索</w:t>
      </w:r>
      <w:r>
        <w:rPr>
          <w:rFonts w:hint="eastAsia" w:ascii="仿宋_GB2312" w:hAnsi="仿宋_GB2312" w:eastAsia="仿宋_GB2312" w:cs="仿宋_GB2312"/>
          <w:b w:val="0"/>
          <w:bCs/>
          <w:color w:val="auto"/>
          <w:kern w:val="2"/>
          <w:sz w:val="32"/>
          <w:szCs w:val="32"/>
          <w:lang w:val="en-US" w:eastAsia="zh-CN" w:bidi="ar-SA"/>
        </w:rPr>
        <w:t>以冷库仓单质押作为增信方式灵活提升融资额度。</w:t>
      </w:r>
    </w:p>
    <w:p>
      <w:pPr>
        <w:pStyle w:val="4"/>
        <w:rPr>
          <w:rFonts w:hint="eastAsia" w:ascii="仿宋_GB2312" w:hAnsi="仿宋_GB2312" w:cs="仿宋_GB2312"/>
          <w:b w:val="0"/>
          <w:bCs/>
          <w:color w:val="auto"/>
          <w:kern w:val="2"/>
          <w:sz w:val="32"/>
          <w:szCs w:val="24"/>
          <w:highlight w:val="none"/>
          <w:lang w:val="en-US" w:eastAsia="zh-CN" w:bidi="ar-SA"/>
        </w:rPr>
      </w:pPr>
      <w:bookmarkStart w:id="206" w:name="_Toc4281"/>
      <w:bookmarkStart w:id="207" w:name="_Toc9058"/>
      <w:r>
        <w:rPr>
          <w:rFonts w:hint="default" w:ascii="Arial" w:hAnsi="Arial" w:eastAsia="黑体" w:cs="Times New Roman"/>
          <w:b/>
          <w:bCs w:val="0"/>
          <w:color w:val="auto"/>
          <w:kern w:val="2"/>
          <w:sz w:val="32"/>
          <w:szCs w:val="24"/>
          <w:highlight w:val="none"/>
          <w:lang w:val="en-US" w:eastAsia="zh-CN" w:bidi="ar-SA"/>
        </w:rPr>
        <w:t>第三节 加强海洋金融对外合作交流</w:t>
      </w:r>
      <w:bookmarkEnd w:id="206"/>
      <w:bookmarkEnd w:id="207"/>
    </w:p>
    <w:p>
      <w:pPr>
        <w:pageBreakBefore w:val="0"/>
        <w:widowControl/>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ascii="Calibri" w:hAnsi="Calibri" w:cs="Times New Roman"/>
          <w:b w:val="0"/>
          <w:bCs w:val="0"/>
          <w:color w:val="auto"/>
          <w:kern w:val="2"/>
          <w:sz w:val="32"/>
          <w:szCs w:val="24"/>
          <w:highlight w:val="none"/>
          <w:lang w:val="en-US" w:eastAsia="zh-CN" w:bidi="ar-SA"/>
        </w:rPr>
        <w:t>紧抓深圳</w:t>
      </w:r>
      <w:r>
        <w:rPr>
          <w:rFonts w:hint="default" w:ascii="Calibri" w:hAnsi="Calibri" w:eastAsia="仿宋_GB2312" w:cs="Times New Roman"/>
          <w:b w:val="0"/>
          <w:bCs w:val="0"/>
          <w:color w:val="auto"/>
          <w:kern w:val="2"/>
          <w:sz w:val="32"/>
          <w:szCs w:val="24"/>
          <w:highlight w:val="none"/>
          <w:lang w:val="en-US" w:eastAsia="zh-CN" w:bidi="ar-SA"/>
        </w:rPr>
        <w:t>前海设立以蓝色经济为主题的国家金融改革试验区</w:t>
      </w:r>
      <w:r>
        <w:rPr>
          <w:rFonts w:hint="default" w:ascii="Calibri" w:hAnsi="Calibri" w:cs="Times New Roman"/>
          <w:b w:val="0"/>
          <w:bCs w:val="0"/>
          <w:color w:val="auto"/>
          <w:kern w:val="2"/>
          <w:sz w:val="32"/>
          <w:szCs w:val="24"/>
          <w:highlight w:val="none"/>
          <w:lang w:val="en-US" w:eastAsia="zh-CN" w:bidi="ar-SA"/>
        </w:rPr>
        <w:t>的机遇，立足汕尾海洋开发条件和资源优势，</w:t>
      </w:r>
      <w:r>
        <w:rPr>
          <w:rFonts w:hint="default" w:ascii="Calibri" w:hAnsi="Calibri" w:eastAsia="仿宋_GB2312" w:cs="Times New Roman"/>
          <w:b w:val="0"/>
          <w:bCs w:val="0"/>
          <w:color w:val="auto"/>
          <w:kern w:val="2"/>
          <w:sz w:val="32"/>
          <w:szCs w:val="24"/>
          <w:highlight w:val="none"/>
          <w:lang w:val="en-US" w:eastAsia="zh-CN" w:bidi="ar-SA"/>
        </w:rPr>
        <w:t>促进</w:t>
      </w:r>
      <w:r>
        <w:rPr>
          <w:rFonts w:hint="default"/>
          <w:color w:val="auto"/>
          <w:highlight w:val="none"/>
          <w:lang w:val="en-US" w:eastAsia="zh-CN"/>
        </w:rPr>
        <w:t>汕尾</w:t>
      </w:r>
      <w:r>
        <w:rPr>
          <w:rFonts w:hint="default" w:ascii="Calibri" w:hAnsi="Calibri" w:cs="Times New Roman"/>
          <w:b w:val="0"/>
          <w:bCs w:val="0"/>
          <w:color w:val="auto"/>
          <w:kern w:val="2"/>
          <w:sz w:val="32"/>
          <w:szCs w:val="24"/>
          <w:highlight w:val="none"/>
          <w:lang w:val="en-US" w:eastAsia="zh-CN" w:bidi="ar-SA"/>
        </w:rPr>
        <w:t>金融</w:t>
      </w:r>
      <w:r>
        <w:rPr>
          <w:rFonts w:hint="default"/>
          <w:color w:val="auto"/>
          <w:highlight w:val="none"/>
          <w:lang w:val="en-US" w:eastAsia="zh-CN"/>
        </w:rPr>
        <w:t>机构</w:t>
      </w:r>
      <w:r>
        <w:rPr>
          <w:rFonts w:hint="default" w:ascii="Calibri" w:hAnsi="Calibri" w:cs="Times New Roman"/>
          <w:b w:val="0"/>
          <w:bCs w:val="0"/>
          <w:color w:val="auto"/>
          <w:kern w:val="2"/>
          <w:sz w:val="32"/>
          <w:szCs w:val="24"/>
          <w:highlight w:val="none"/>
          <w:lang w:val="en-US" w:eastAsia="zh-CN" w:bidi="ar-SA"/>
        </w:rPr>
        <w:t>与</w:t>
      </w:r>
      <w:r>
        <w:rPr>
          <w:rFonts w:hint="default" w:ascii="Calibri" w:hAnsi="Calibri" w:eastAsia="仿宋_GB2312" w:cs="Times New Roman"/>
          <w:b w:val="0"/>
          <w:bCs w:val="0"/>
          <w:color w:val="auto"/>
          <w:kern w:val="2"/>
          <w:sz w:val="32"/>
          <w:szCs w:val="24"/>
          <w:highlight w:val="none"/>
          <w:lang w:val="en-US" w:eastAsia="zh-CN" w:bidi="ar-SA"/>
        </w:rPr>
        <w:t>深港</w:t>
      </w:r>
      <w:r>
        <w:rPr>
          <w:rFonts w:hint="default"/>
          <w:color w:val="auto"/>
          <w:highlight w:val="none"/>
          <w:lang w:val="en-US" w:eastAsia="zh-CN"/>
        </w:rPr>
        <w:t>金融机构开展</w:t>
      </w:r>
      <w:r>
        <w:rPr>
          <w:rFonts w:hint="default" w:ascii="Calibri" w:hAnsi="Calibri" w:eastAsia="仿宋_GB2312" w:cs="Times New Roman"/>
          <w:b w:val="0"/>
          <w:bCs w:val="0"/>
          <w:color w:val="auto"/>
          <w:kern w:val="2"/>
          <w:sz w:val="32"/>
          <w:szCs w:val="24"/>
          <w:highlight w:val="none"/>
          <w:lang w:val="en-US" w:eastAsia="zh-CN" w:bidi="ar-SA"/>
        </w:rPr>
        <w:t>合作</w:t>
      </w:r>
      <w:r>
        <w:rPr>
          <w:rFonts w:hint="default" w:ascii="Calibri" w:hAnsi="Calibri" w:cs="Times New Roman"/>
          <w:b w:val="0"/>
          <w:bCs w:val="0"/>
          <w:color w:val="auto"/>
          <w:kern w:val="2"/>
          <w:sz w:val="32"/>
          <w:szCs w:val="24"/>
          <w:highlight w:val="none"/>
          <w:lang w:val="en-US" w:eastAsia="zh-CN" w:bidi="ar-SA"/>
        </w:rPr>
        <w:t>，</w:t>
      </w:r>
      <w:r>
        <w:rPr>
          <w:rFonts w:hint="default"/>
          <w:color w:val="auto"/>
          <w:highlight w:val="none"/>
          <w:lang w:val="en-US" w:eastAsia="zh-CN"/>
        </w:rPr>
        <w:t>鼓励保险资金通过前海自贸试验区内跨境投资促进汕尾海洋经济发展</w:t>
      </w:r>
      <w:r>
        <w:rPr>
          <w:rFonts w:hint="default" w:ascii="Calibri" w:hAnsi="Calibri" w:eastAsia="仿宋_GB2312" w:cs="Times New Roman"/>
          <w:b w:val="0"/>
          <w:bCs w:val="0"/>
          <w:color w:val="auto"/>
          <w:kern w:val="2"/>
          <w:sz w:val="32"/>
          <w:szCs w:val="24"/>
          <w:highlight w:val="none"/>
          <w:lang w:val="en-US" w:eastAsia="zh-CN" w:bidi="ar-SA"/>
        </w:rPr>
        <w:t>，鼓励</w:t>
      </w:r>
      <w:r>
        <w:rPr>
          <w:rFonts w:hint="default" w:ascii="Calibri" w:hAnsi="Calibri" w:cs="Times New Roman"/>
          <w:b w:val="0"/>
          <w:bCs w:val="0"/>
          <w:color w:val="auto"/>
          <w:kern w:val="2"/>
          <w:sz w:val="32"/>
          <w:szCs w:val="24"/>
          <w:highlight w:val="none"/>
          <w:lang w:val="en-US" w:eastAsia="zh-CN" w:bidi="ar-SA"/>
        </w:rPr>
        <w:t>汕尾海洋金融企业</w:t>
      </w:r>
      <w:r>
        <w:rPr>
          <w:rFonts w:hint="default" w:ascii="Calibri" w:hAnsi="Calibri" w:eastAsia="仿宋_GB2312" w:cs="Times New Roman"/>
          <w:b w:val="0"/>
          <w:bCs w:val="0"/>
          <w:color w:val="auto"/>
          <w:kern w:val="2"/>
          <w:sz w:val="32"/>
          <w:szCs w:val="24"/>
          <w:highlight w:val="none"/>
          <w:lang w:val="en-US" w:eastAsia="zh-CN" w:bidi="ar-SA"/>
        </w:rPr>
        <w:t>通过</w:t>
      </w:r>
      <w:r>
        <w:rPr>
          <w:rFonts w:hint="default" w:ascii="Calibri" w:hAnsi="Calibri" w:cs="Times New Roman"/>
          <w:b w:val="0"/>
          <w:bCs w:val="0"/>
          <w:color w:val="auto"/>
          <w:kern w:val="2"/>
          <w:sz w:val="32"/>
          <w:szCs w:val="24"/>
          <w:highlight w:val="none"/>
          <w:lang w:val="en-US" w:eastAsia="zh-CN" w:bidi="ar-SA"/>
        </w:rPr>
        <w:t>深港市场</w:t>
      </w:r>
      <w:r>
        <w:rPr>
          <w:rFonts w:hint="default" w:ascii="Calibri" w:hAnsi="Calibri" w:eastAsia="仿宋_GB2312" w:cs="Times New Roman"/>
          <w:b w:val="0"/>
          <w:bCs w:val="0"/>
          <w:color w:val="auto"/>
          <w:kern w:val="2"/>
          <w:sz w:val="32"/>
          <w:szCs w:val="24"/>
          <w:highlight w:val="none"/>
          <w:lang w:val="en-US" w:eastAsia="zh-CN" w:bidi="ar-SA"/>
        </w:rPr>
        <w:t>参与国际竞争。强化海洋金融人才交流</w:t>
      </w:r>
      <w:r>
        <w:rPr>
          <w:rFonts w:hint="default"/>
          <w:color w:val="auto"/>
          <w:highlight w:val="none"/>
          <w:lang w:val="en-US" w:eastAsia="zh-CN"/>
        </w:rPr>
        <w:t>，</w:t>
      </w:r>
      <w:r>
        <w:rPr>
          <w:rFonts w:hint="default" w:ascii="Calibri" w:hAnsi="Calibri" w:cs="Times New Roman"/>
          <w:b w:val="0"/>
          <w:bCs w:val="0"/>
          <w:color w:val="auto"/>
          <w:kern w:val="2"/>
          <w:sz w:val="32"/>
          <w:szCs w:val="24"/>
          <w:highlight w:val="none"/>
          <w:lang w:val="en-US" w:eastAsia="zh-CN" w:bidi="ar-SA"/>
        </w:rPr>
        <w:t>探索</w:t>
      </w:r>
      <w:r>
        <w:rPr>
          <w:rFonts w:hint="default" w:ascii="Calibri" w:hAnsi="Calibri" w:eastAsia="仿宋_GB2312" w:cs="Times New Roman"/>
          <w:b w:val="0"/>
          <w:bCs w:val="0"/>
          <w:color w:val="auto"/>
          <w:kern w:val="2"/>
          <w:sz w:val="32"/>
          <w:szCs w:val="24"/>
          <w:highlight w:val="none"/>
          <w:lang w:val="en-US" w:eastAsia="zh-CN" w:bidi="ar-SA"/>
        </w:rPr>
        <w:t>建立</w:t>
      </w:r>
      <w:r>
        <w:rPr>
          <w:rFonts w:hint="default"/>
          <w:color w:val="auto"/>
          <w:highlight w:val="none"/>
          <w:lang w:val="en-US" w:eastAsia="zh-CN"/>
        </w:rPr>
        <w:t>与深港</w:t>
      </w:r>
      <w:r>
        <w:rPr>
          <w:rFonts w:hint="default" w:ascii="Calibri" w:hAnsi="Calibri" w:eastAsia="仿宋_GB2312" w:cs="Times New Roman"/>
          <w:b w:val="0"/>
          <w:bCs w:val="0"/>
          <w:color w:val="auto"/>
          <w:kern w:val="2"/>
          <w:sz w:val="32"/>
          <w:szCs w:val="24"/>
          <w:highlight w:val="none"/>
          <w:lang w:val="en-US" w:eastAsia="zh-CN" w:bidi="ar-SA"/>
        </w:rPr>
        <w:t>常态化的金融人才交流和共享机制</w:t>
      </w:r>
      <w:r>
        <w:rPr>
          <w:rFonts w:hint="default" w:ascii="Calibri" w:hAnsi="Calibri" w:cs="Times New Roman"/>
          <w:b w:val="0"/>
          <w:bCs w:val="0"/>
          <w:color w:val="auto"/>
          <w:kern w:val="2"/>
          <w:sz w:val="32"/>
          <w:szCs w:val="24"/>
          <w:highlight w:val="none"/>
          <w:lang w:val="en-US" w:eastAsia="zh-CN" w:bidi="ar-SA"/>
        </w:rPr>
        <w:t>，坚持外引与内培相结合，</w:t>
      </w:r>
      <w:r>
        <w:rPr>
          <w:rFonts w:hint="default" w:ascii="Calibri" w:hAnsi="Calibri" w:eastAsia="仿宋_GB2312" w:cs="Times New Roman"/>
          <w:b w:val="0"/>
          <w:bCs w:val="0"/>
          <w:color w:val="auto"/>
          <w:kern w:val="2"/>
          <w:sz w:val="32"/>
          <w:szCs w:val="24"/>
          <w:highlight w:val="none"/>
          <w:lang w:val="en-US" w:eastAsia="zh-CN" w:bidi="ar-SA"/>
        </w:rPr>
        <w:t>大力培养和引进复合型海洋金融人才，提高</w:t>
      </w:r>
      <w:r>
        <w:rPr>
          <w:rFonts w:hint="default"/>
          <w:color w:val="auto"/>
          <w:highlight w:val="none"/>
          <w:lang w:val="en-US" w:eastAsia="zh-CN"/>
        </w:rPr>
        <w:t>汕尾</w:t>
      </w:r>
      <w:r>
        <w:rPr>
          <w:rFonts w:hint="default" w:ascii="Calibri" w:hAnsi="Calibri" w:eastAsia="仿宋_GB2312" w:cs="Times New Roman"/>
          <w:b w:val="0"/>
          <w:bCs w:val="0"/>
          <w:color w:val="auto"/>
          <w:kern w:val="2"/>
          <w:sz w:val="32"/>
          <w:szCs w:val="24"/>
          <w:highlight w:val="none"/>
          <w:lang w:val="en-US" w:eastAsia="zh-CN" w:bidi="ar-SA"/>
        </w:rPr>
        <w:t>海洋金融类人才培训的国际化水平。</w:t>
      </w:r>
      <w:bookmarkEnd w:id="203"/>
    </w:p>
    <w:p>
      <w:pPr>
        <w:pStyle w:val="2"/>
        <w:rPr>
          <w:rFonts w:hint="default"/>
          <w:color w:val="auto"/>
          <w:lang w:val="en-US" w:eastAsia="zh-CN"/>
        </w:rPr>
      </w:pPr>
    </w:p>
    <w:p>
      <w:pPr>
        <w:pStyle w:val="3"/>
        <w:spacing w:before="93" w:after="93"/>
        <w:rPr>
          <w:rFonts w:hint="default" w:eastAsia="方正小标宋简体"/>
          <w:color w:val="auto"/>
          <w:lang w:val="en-US" w:eastAsia="zh-CN"/>
        </w:rPr>
      </w:pPr>
      <w:bookmarkStart w:id="208" w:name="_Toc28806"/>
      <w:bookmarkStart w:id="209" w:name="_Toc14045"/>
      <w:bookmarkStart w:id="210" w:name="_Toc12411"/>
      <w:r>
        <w:rPr>
          <w:rFonts w:hint="eastAsia"/>
          <w:color w:val="auto"/>
        </w:rPr>
        <w:t>第十</w:t>
      </w:r>
      <w:r>
        <w:rPr>
          <w:rFonts w:hint="eastAsia"/>
          <w:color w:val="auto"/>
          <w:lang w:val="en-US" w:eastAsia="zh-CN"/>
        </w:rPr>
        <w:t>二</w:t>
      </w:r>
      <w:r>
        <w:rPr>
          <w:rFonts w:hint="eastAsia"/>
          <w:color w:val="auto"/>
        </w:rPr>
        <w:t xml:space="preserve">章 </w:t>
      </w:r>
      <w:r>
        <w:rPr>
          <w:rFonts w:hint="eastAsia"/>
          <w:color w:val="auto"/>
          <w:lang w:val="en-US" w:eastAsia="zh-CN"/>
        </w:rPr>
        <w:t>防范</w:t>
      </w:r>
      <w:r>
        <w:rPr>
          <w:rFonts w:hint="eastAsia"/>
          <w:color w:val="auto"/>
        </w:rPr>
        <w:t>化解金融风险</w:t>
      </w:r>
      <w:bookmarkEnd w:id="208"/>
      <w:bookmarkEnd w:id="209"/>
      <w:r>
        <w:rPr>
          <w:rFonts w:hint="eastAsia"/>
          <w:color w:val="auto"/>
          <w:lang w:eastAsia="zh-CN"/>
        </w:rPr>
        <w:t>，</w:t>
      </w:r>
      <w:r>
        <w:rPr>
          <w:rFonts w:hint="eastAsia"/>
          <w:color w:val="auto"/>
          <w:lang w:val="en-US" w:eastAsia="zh-CN"/>
        </w:rPr>
        <w:t>优化金融生态环境</w:t>
      </w:r>
      <w:bookmarkEnd w:id="210"/>
    </w:p>
    <w:p>
      <w:pPr>
        <w:pStyle w:val="4"/>
        <w:spacing w:before="93" w:after="93"/>
        <w:rPr>
          <w:bCs/>
          <w:color w:val="auto"/>
        </w:rPr>
      </w:pPr>
      <w:bookmarkStart w:id="211" w:name="_Toc20839"/>
      <w:bookmarkStart w:id="212" w:name="_Toc17144"/>
      <w:bookmarkStart w:id="213" w:name="_Toc4381"/>
      <w:r>
        <w:rPr>
          <w:rFonts w:hint="eastAsia"/>
          <w:b/>
          <w:bCs w:val="0"/>
          <w:color w:val="auto"/>
        </w:rPr>
        <w:t xml:space="preserve">第一节 </w:t>
      </w:r>
      <w:bookmarkEnd w:id="211"/>
      <w:bookmarkEnd w:id="212"/>
      <w:r>
        <w:rPr>
          <w:rFonts w:hint="eastAsia"/>
          <w:b/>
          <w:bCs w:val="0"/>
          <w:color w:val="auto"/>
        </w:rPr>
        <w:t>切实防范化解重点领域金融风险</w:t>
      </w:r>
      <w:bookmarkEnd w:id="213"/>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214" w:name="_Toc16290"/>
      <w:r>
        <w:rPr>
          <w:rFonts w:hint="eastAsia" w:ascii="楷体" w:hAnsi="楷体" w:eastAsia="楷体" w:cs="楷体"/>
          <w:b/>
          <w:bCs/>
          <w:color w:val="auto"/>
        </w:rPr>
        <w:t>稳妥化解各类金融风险隐患</w:t>
      </w:r>
      <w:bookmarkEnd w:id="214"/>
      <w:r>
        <w:rPr>
          <w:rFonts w:hint="eastAsia" w:ascii="楷体" w:hAnsi="楷体" w:eastAsia="楷体" w:cs="楷体"/>
          <w:b/>
          <w:bCs/>
          <w:color w:val="auto"/>
          <w:lang w:eastAsia="zh-CN"/>
        </w:rPr>
        <w:t>。</w:t>
      </w:r>
      <w:r>
        <w:rPr>
          <w:rFonts w:hint="eastAsia"/>
          <w:color w:val="auto"/>
        </w:rPr>
        <w:t>加强企业信贷信用风险、互联网金融、影子银行风险等重点领域金融风险防控。着重化解企业流动性困难和企业股权质押风险，对暂时经营困难的企业，通过稳贷增贷、降息展期、债务重组等方式，帮助企业渡过难关。</w:t>
      </w:r>
      <w:r>
        <w:rPr>
          <w:rFonts w:hint="eastAsia"/>
          <w:color w:val="auto"/>
          <w:lang w:val="en-US" w:eastAsia="zh-CN"/>
        </w:rPr>
        <w:t>强化资产质量管理，提高银行机构资产分类准确性，及时充分计提拨备。规范不良资产转让，提升不良资产处置真实性。鼓励银行机构结合实际情况应核尽核，加强与司法机关等部门沟通协调，形成不良资产处置工作合力局面。加强风险监测分析和预警，做好应急预案，稳妥应对处置。密切关注市场流动性变化对中小银行机构的冲击，推动其优化负债机构，做实流动性支持机制，切实提高资产负债管理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outlineLvl w:val="9"/>
        <w:rPr>
          <w:rFonts w:hint="eastAsia"/>
          <w:color w:val="auto"/>
        </w:rPr>
      </w:pPr>
      <w:bookmarkStart w:id="215" w:name="_Toc4131"/>
      <w:r>
        <w:rPr>
          <w:rFonts w:hint="eastAsia" w:ascii="楷体" w:hAnsi="楷体" w:eastAsia="楷体" w:cs="楷体"/>
          <w:b/>
          <w:bCs/>
          <w:color w:val="auto"/>
        </w:rPr>
        <w:t>精准拆弹化解涉众金融风险</w:t>
      </w:r>
      <w:bookmarkEnd w:id="215"/>
      <w:r>
        <w:rPr>
          <w:rFonts w:hint="eastAsia" w:ascii="楷体" w:hAnsi="楷体" w:eastAsia="楷体" w:cs="楷体"/>
          <w:b/>
          <w:bCs/>
          <w:color w:val="auto"/>
          <w:lang w:eastAsia="zh-CN"/>
        </w:rPr>
        <w:t>。</w:t>
      </w:r>
      <w:r>
        <w:rPr>
          <w:rFonts w:hint="eastAsia"/>
          <w:color w:val="auto"/>
        </w:rPr>
        <w:t>持续加强对P2P网贷机构清理排查工作，继续严防外界非法集资案件和网贷平台的输入性风险，继续加大力度协助推进</w:t>
      </w:r>
      <w:r>
        <w:rPr>
          <w:rFonts w:hint="eastAsia"/>
          <w:color w:val="auto"/>
          <w:lang w:val="en-US" w:eastAsia="zh-CN"/>
        </w:rPr>
        <w:t>“昆明泛亚”“小牛资本集团”“北京玖富”“团贷网”“千木灵芝”等</w:t>
      </w:r>
      <w:r>
        <w:rPr>
          <w:rFonts w:hint="eastAsia"/>
          <w:color w:val="auto"/>
        </w:rPr>
        <w:t>涉众网贷案件处置维稳工作，最大化保护消费者权益。</w:t>
      </w:r>
      <w:r>
        <w:rPr>
          <w:rFonts w:hint="eastAsia"/>
          <w:color w:val="auto"/>
          <w:lang w:val="en-US" w:eastAsia="zh-CN"/>
        </w:rPr>
        <w:t>加强宣传教育引导，全方位开展各类宣传教育活动，及时揭示行业风险，增强群众风险防范意识，提升投资人风险自担等意识，避免发生金融领域涉稳问题群体性事件，确保我市金融安全、稳定。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216" w:name="_Toc3799"/>
      <w:r>
        <w:rPr>
          <w:rFonts w:hint="eastAsia" w:ascii="楷体" w:hAnsi="楷体" w:eastAsia="楷体" w:cs="楷体"/>
          <w:b/>
          <w:bCs/>
          <w:color w:val="auto"/>
        </w:rPr>
        <w:t>重点加强对地方法人机构</w:t>
      </w:r>
      <w:r>
        <w:rPr>
          <w:rFonts w:hint="eastAsia" w:ascii="楷体" w:hAnsi="楷体" w:eastAsia="楷体" w:cs="楷体"/>
          <w:b/>
          <w:bCs/>
          <w:color w:val="auto"/>
          <w:lang w:val="en-US" w:eastAsia="zh-CN"/>
        </w:rPr>
        <w:t>治理及</w:t>
      </w:r>
      <w:r>
        <w:rPr>
          <w:rFonts w:hint="eastAsia" w:ascii="楷体" w:hAnsi="楷体" w:eastAsia="楷体" w:cs="楷体"/>
          <w:b/>
          <w:bCs/>
          <w:color w:val="auto"/>
        </w:rPr>
        <w:t>风险监测</w:t>
      </w:r>
      <w:bookmarkEnd w:id="216"/>
      <w:r>
        <w:rPr>
          <w:rFonts w:hint="eastAsia" w:ascii="楷体" w:hAnsi="楷体" w:eastAsia="楷体" w:cs="楷体"/>
          <w:b/>
          <w:bCs/>
          <w:color w:val="auto"/>
          <w:lang w:eastAsia="zh-CN"/>
        </w:rPr>
        <w:t>。</w:t>
      </w:r>
      <w:r>
        <w:rPr>
          <w:rFonts w:hint="eastAsia"/>
          <w:color w:val="auto"/>
          <w:lang w:val="en-US" w:eastAsia="zh-CN"/>
        </w:rPr>
        <w:t>优化地方法人机构股本机构，推动拓宽资本补充渠道，提高资本充足水平，提升资本质量，保持核心一级资本比例处于较高水平。严格股东资质管理与评价监管，引导优化股东机构，严厉清查和处理隐形股东。加强推进地方法人机构股权集中托管，严格规范股权质押、转让等行为。</w:t>
      </w:r>
      <w:r>
        <w:rPr>
          <w:rFonts w:hint="eastAsia"/>
          <w:color w:val="auto"/>
        </w:rPr>
        <w:t>摸清地方法人银行机构各类风险底数，做好风险评估与识别、风险监测和压力测试，持续完善应急预案，制定风险管理措施、强化风险信息披露，研究制定恢复计划和预处置方案，确保在其发生重大风险时，能够得到安全、快速、有效处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217" w:name="_Toc14081"/>
      <w:r>
        <w:rPr>
          <w:rFonts w:hint="eastAsia" w:ascii="楷体" w:hAnsi="楷体" w:eastAsia="楷体" w:cs="楷体"/>
          <w:b/>
          <w:bCs/>
          <w:color w:val="auto"/>
        </w:rPr>
        <w:t>加大房地产贷款风险监控力度</w:t>
      </w:r>
      <w:bookmarkEnd w:id="217"/>
      <w:r>
        <w:rPr>
          <w:rFonts w:hint="eastAsia" w:ascii="楷体" w:hAnsi="楷体" w:eastAsia="楷体" w:cs="楷体"/>
          <w:b/>
          <w:bCs/>
          <w:color w:val="auto"/>
          <w:lang w:eastAsia="zh-CN"/>
        </w:rPr>
        <w:t>。</w:t>
      </w:r>
      <w:r>
        <w:rPr>
          <w:rFonts w:hint="eastAsia"/>
          <w:color w:val="auto"/>
          <w:lang w:val="en-US" w:eastAsia="zh-CN"/>
        </w:rPr>
        <w:t>严格执行房地产调控和监管政策</w:t>
      </w:r>
      <w:r>
        <w:rPr>
          <w:rFonts w:hint="eastAsia"/>
          <w:color w:val="auto"/>
        </w:rPr>
        <w:t>，持续落实“房住不炒”的要求，</w:t>
      </w:r>
      <w:r>
        <w:rPr>
          <w:rFonts w:hint="eastAsia"/>
          <w:color w:val="auto"/>
          <w:lang w:val="en-US" w:eastAsia="zh-CN"/>
        </w:rPr>
        <w:t>加大房地产贷款风险监控力度，</w:t>
      </w:r>
      <w:r>
        <w:rPr>
          <w:rFonts w:hint="eastAsia"/>
          <w:color w:val="auto"/>
        </w:rPr>
        <w:t>加强对个人住房贷款授信的调查</w:t>
      </w:r>
      <w:r>
        <w:rPr>
          <w:rFonts w:hint="eastAsia"/>
          <w:color w:val="auto"/>
          <w:lang w:eastAsia="zh-CN"/>
        </w:rPr>
        <w:t>。</w:t>
      </w:r>
      <w:r>
        <w:rPr>
          <w:rFonts w:hint="eastAsia"/>
          <w:color w:val="auto"/>
        </w:rPr>
        <w:t>高度关注房企经营和资金链状况，加强贷款资金流向分析和监控。加强对个人消费贷款的资金用途监控，严防信贷资金通过经营性贷款、消费贷款</w:t>
      </w:r>
      <w:r>
        <w:rPr>
          <w:rFonts w:hint="eastAsia"/>
          <w:color w:val="auto"/>
          <w:lang w:val="en-US" w:eastAsia="zh-CN"/>
        </w:rPr>
        <w:t>等</w:t>
      </w:r>
      <w:r>
        <w:rPr>
          <w:rFonts w:hint="eastAsia"/>
          <w:color w:val="auto"/>
        </w:rPr>
        <w:t>违规绕道流向房地产市场。</w:t>
      </w:r>
    </w:p>
    <w:p>
      <w:pPr>
        <w:pStyle w:val="4"/>
        <w:spacing w:before="93" w:after="93"/>
        <w:rPr>
          <w:b/>
          <w:bCs w:val="0"/>
          <w:color w:val="auto"/>
        </w:rPr>
      </w:pPr>
      <w:bookmarkStart w:id="218" w:name="_Toc26648"/>
      <w:bookmarkStart w:id="219" w:name="_Toc13283"/>
      <w:bookmarkStart w:id="220" w:name="_Toc13025"/>
      <w:r>
        <w:rPr>
          <w:rFonts w:hint="eastAsia"/>
          <w:b/>
          <w:bCs w:val="0"/>
          <w:color w:val="auto"/>
        </w:rPr>
        <w:t>第二节 持续打击非法金融活动</w:t>
      </w:r>
      <w:bookmarkEnd w:id="218"/>
      <w:bookmarkEnd w:id="219"/>
      <w:bookmarkEnd w:id="220"/>
    </w:p>
    <w:p>
      <w:pPr>
        <w:ind w:firstLine="640"/>
        <w:rPr>
          <w:rFonts w:hint="eastAsia"/>
          <w:color w:val="auto"/>
          <w:sz w:val="32"/>
          <w:szCs w:val="40"/>
        </w:rPr>
      </w:pPr>
      <w:r>
        <w:rPr>
          <w:rFonts w:hint="eastAsia"/>
          <w:color w:val="auto"/>
        </w:rPr>
        <w:t>根据《防范和处置非法集资条例》</w:t>
      </w:r>
      <w:r>
        <w:rPr>
          <w:rFonts w:hint="eastAsia"/>
          <w:color w:val="auto"/>
          <w:lang w:val="en-US" w:eastAsia="zh-CN"/>
        </w:rPr>
        <w:t>等</w:t>
      </w:r>
      <w:r>
        <w:rPr>
          <w:rFonts w:hint="eastAsia"/>
          <w:color w:val="auto"/>
        </w:rPr>
        <w:t>法律法规和省市政府要求，推动防范和处置非法集资工作常态化、规范化、法治化，强化各县（市、区）属地管理责任，做好风险排查、监测预警、案件查处、善后处置、宣传教育和维护稳定等工作。严厉打击和防控内幕交易、非法集资、非法证券、非法保险和非法期货经营等非法金融活动。稳步推进金融纠纷多元解决机制和现代化诉讼服务体系建设，完善金融纠纷解决机制。严防打着“金融科技”“养老金融”旗号从事非法集资、金融诈骗等违法犯罪活动。</w:t>
      </w:r>
      <w:r>
        <w:rPr>
          <w:rFonts w:hint="eastAsia"/>
          <w:color w:val="auto"/>
          <w:lang w:val="en-US" w:eastAsia="zh-CN"/>
        </w:rPr>
        <w:t>加强完善</w:t>
      </w:r>
      <w:r>
        <w:rPr>
          <w:rFonts w:hint="eastAsia"/>
          <w:color w:val="auto"/>
        </w:rPr>
        <w:t>网格化管理</w:t>
      </w:r>
      <w:r>
        <w:rPr>
          <w:rFonts w:hint="eastAsia"/>
          <w:color w:val="auto"/>
          <w:lang w:val="en-US" w:eastAsia="zh-CN"/>
        </w:rPr>
        <w:t>机制</w:t>
      </w:r>
      <w:r>
        <w:rPr>
          <w:rFonts w:hint="eastAsia"/>
          <w:color w:val="auto"/>
        </w:rPr>
        <w:t>，</w:t>
      </w:r>
      <w:r>
        <w:rPr>
          <w:rFonts w:hint="eastAsia"/>
          <w:color w:val="auto"/>
          <w:lang w:val="en-US" w:eastAsia="zh-CN"/>
        </w:rPr>
        <w:t>发挥农村管理优势，</w:t>
      </w:r>
      <w:r>
        <w:rPr>
          <w:rFonts w:hint="eastAsia"/>
          <w:color w:val="auto"/>
        </w:rPr>
        <w:t>强化基层地区防范能力，</w:t>
      </w:r>
      <w:r>
        <w:rPr>
          <w:rFonts w:hint="eastAsia"/>
          <w:color w:val="auto"/>
          <w:lang w:val="en-US" w:eastAsia="zh-CN"/>
        </w:rPr>
        <w:t>提高</w:t>
      </w:r>
      <w:r>
        <w:rPr>
          <w:rFonts w:hint="eastAsia"/>
          <w:color w:val="auto"/>
        </w:rPr>
        <w:t>基层</w:t>
      </w:r>
      <w:r>
        <w:rPr>
          <w:rFonts w:hint="eastAsia"/>
          <w:color w:val="auto"/>
          <w:lang w:val="en-US" w:eastAsia="zh-CN"/>
        </w:rPr>
        <w:t>地区</w:t>
      </w:r>
      <w:r>
        <w:rPr>
          <w:rFonts w:hint="eastAsia"/>
          <w:color w:val="auto"/>
        </w:rPr>
        <w:t>发现</w:t>
      </w:r>
      <w:r>
        <w:rPr>
          <w:rFonts w:hint="eastAsia"/>
          <w:color w:val="auto"/>
          <w:lang w:eastAsia="zh-CN"/>
        </w:rPr>
        <w:t>、</w:t>
      </w:r>
      <w:r>
        <w:rPr>
          <w:rFonts w:hint="eastAsia"/>
          <w:color w:val="auto"/>
          <w:lang w:val="en-US" w:eastAsia="zh-CN"/>
        </w:rPr>
        <w:t>处置</w:t>
      </w:r>
      <w:r>
        <w:rPr>
          <w:rFonts w:hint="eastAsia"/>
          <w:color w:val="auto"/>
        </w:rPr>
        <w:t>非法集资</w:t>
      </w:r>
      <w:r>
        <w:rPr>
          <w:rFonts w:hint="eastAsia"/>
          <w:color w:val="auto"/>
          <w:lang w:val="en-US" w:eastAsia="zh-CN"/>
        </w:rPr>
        <w:t>的</w:t>
      </w:r>
      <w:r>
        <w:rPr>
          <w:rFonts w:hint="eastAsia"/>
          <w:color w:val="auto"/>
        </w:rPr>
        <w:t>能力，及时</w:t>
      </w:r>
      <w:r>
        <w:rPr>
          <w:rFonts w:hint="eastAsia"/>
          <w:color w:val="auto"/>
          <w:lang w:val="en-US" w:eastAsia="zh-CN"/>
        </w:rPr>
        <w:t>有效</w:t>
      </w:r>
      <w:r>
        <w:rPr>
          <w:rFonts w:hint="eastAsia"/>
          <w:color w:val="auto"/>
        </w:rPr>
        <w:t>处置</w:t>
      </w:r>
      <w:r>
        <w:rPr>
          <w:rFonts w:hint="eastAsia"/>
          <w:color w:val="auto"/>
          <w:lang w:val="en-US" w:eastAsia="zh-CN"/>
        </w:rPr>
        <w:t>化解</w:t>
      </w:r>
      <w:r>
        <w:rPr>
          <w:rFonts w:hint="eastAsia"/>
          <w:color w:val="auto"/>
        </w:rPr>
        <w:t>风险</w:t>
      </w:r>
      <w:r>
        <w:rPr>
          <w:rFonts w:hint="eastAsia"/>
          <w:color w:val="auto"/>
          <w:lang w:val="en-US" w:eastAsia="zh-CN"/>
        </w:rPr>
        <w:t>问题。建立打击非法金融活动信息举报</w:t>
      </w:r>
      <w:r>
        <w:rPr>
          <w:rFonts w:hint="eastAsia"/>
          <w:color w:val="auto"/>
        </w:rPr>
        <w:t>平台</w:t>
      </w:r>
      <w:r>
        <w:rPr>
          <w:rFonts w:hint="eastAsia"/>
          <w:color w:val="auto"/>
          <w:lang w:eastAsia="zh-CN"/>
        </w:rPr>
        <w:t>，</w:t>
      </w:r>
      <w:r>
        <w:rPr>
          <w:rFonts w:hint="eastAsia"/>
          <w:color w:val="auto"/>
          <w:lang w:val="en-US" w:eastAsia="zh-CN"/>
        </w:rPr>
        <w:t>推动非法集资举报奖励，强化正面激励，从源头上遏制非法集资的发生。</w:t>
      </w:r>
    </w:p>
    <w:p>
      <w:pPr>
        <w:pStyle w:val="4"/>
        <w:spacing w:before="93" w:after="93"/>
        <w:rPr>
          <w:b w:val="0"/>
          <w:bCs/>
          <w:color w:val="auto"/>
        </w:rPr>
      </w:pPr>
      <w:bookmarkStart w:id="221" w:name="_Toc2422"/>
      <w:bookmarkStart w:id="222" w:name="_Toc22753"/>
      <w:bookmarkStart w:id="223" w:name="_Toc10303"/>
      <w:bookmarkStart w:id="224" w:name="_Toc32411"/>
      <w:r>
        <w:rPr>
          <w:rFonts w:hint="eastAsia"/>
          <w:b/>
          <w:bCs w:val="0"/>
          <w:color w:val="auto"/>
        </w:rPr>
        <w:fldChar w:fldCharType="begin"/>
      </w:r>
      <w:r>
        <w:rPr>
          <w:rFonts w:hint="eastAsia"/>
          <w:b/>
          <w:bCs w:val="0"/>
          <w:color w:val="auto"/>
        </w:rPr>
        <w:instrText xml:space="preserve"> HYPERLINK \l _Toc18280 </w:instrText>
      </w:r>
      <w:r>
        <w:rPr>
          <w:rFonts w:hint="eastAsia"/>
          <w:b/>
          <w:bCs w:val="0"/>
          <w:color w:val="auto"/>
        </w:rPr>
        <w:fldChar w:fldCharType="separate"/>
      </w:r>
      <w:r>
        <w:rPr>
          <w:rFonts w:hint="eastAsia"/>
          <w:b/>
          <w:bCs w:val="0"/>
          <w:color w:val="auto"/>
        </w:rPr>
        <w:t>第</w:t>
      </w:r>
      <w:r>
        <w:rPr>
          <w:rFonts w:hint="eastAsia"/>
          <w:b/>
          <w:bCs w:val="0"/>
          <w:color w:val="auto"/>
          <w:lang w:val="en-US" w:eastAsia="zh-CN"/>
        </w:rPr>
        <w:t>三</w:t>
      </w:r>
      <w:r>
        <w:rPr>
          <w:rFonts w:hint="eastAsia"/>
          <w:b/>
          <w:bCs w:val="0"/>
          <w:color w:val="auto"/>
        </w:rPr>
        <w:t>节 优化金融生态环境</w:t>
      </w:r>
      <w:r>
        <w:rPr>
          <w:rFonts w:hint="eastAsia"/>
          <w:b/>
          <w:bCs w:val="0"/>
          <w:color w:val="auto"/>
        </w:rPr>
        <w:fldChar w:fldCharType="end"/>
      </w:r>
      <w:bookmarkEnd w:id="221"/>
      <w:bookmarkEnd w:id="222"/>
      <w:bookmarkEnd w:id="223"/>
      <w:bookmarkEnd w:id="224"/>
    </w:p>
    <w:p>
      <w:pPr>
        <w:pageBreakBefore w:val="0"/>
        <w:kinsoku/>
        <w:wordWrap/>
        <w:overflowPunct/>
        <w:topLinePunct w:val="0"/>
        <w:autoSpaceDE/>
        <w:autoSpaceDN/>
        <w:bidi w:val="0"/>
        <w:adjustRightInd/>
        <w:snapToGrid/>
        <w:ind w:left="0" w:leftChars="0" w:firstLine="643" w:firstLineChars="200"/>
        <w:textAlignment w:val="auto"/>
        <w:rPr>
          <w:color w:val="auto"/>
        </w:rPr>
      </w:pPr>
      <w:bookmarkStart w:id="225" w:name="_Toc18445"/>
      <w:r>
        <w:rPr>
          <w:rFonts w:hint="eastAsia" w:ascii="楷体" w:hAnsi="楷体" w:eastAsia="楷体" w:cs="楷体"/>
          <w:b/>
          <w:bCs/>
          <w:color w:val="auto"/>
        </w:rPr>
        <w:t>推进信用体系建设</w:t>
      </w:r>
      <w:bookmarkEnd w:id="225"/>
      <w:r>
        <w:rPr>
          <w:rFonts w:hint="eastAsia" w:ascii="楷体" w:hAnsi="楷体" w:eastAsia="楷体" w:cs="楷体"/>
          <w:b/>
          <w:bCs/>
          <w:color w:val="auto"/>
          <w:lang w:eastAsia="zh-CN"/>
        </w:rPr>
        <w:t>。</w:t>
      </w:r>
      <w:r>
        <w:rPr>
          <w:rFonts w:hint="default"/>
          <w:color w:val="auto"/>
        </w:rPr>
        <w:t>利用好粤信融、省中小融、民情地图等平台数据，进一步完善辖区企业和个人信用信息基础数据库建设，实现数据全面准确采集，建立覆盖区域的统一社会信用信息共享、交换和使用机制，推进金融信用信息与公共信用信息共享。建立符合市场需求的信用评价制度，加大失信惩戒力度，推动建立</w:t>
      </w:r>
      <w:r>
        <w:rPr>
          <w:rFonts w:hint="eastAsia"/>
          <w:color w:val="auto"/>
          <w:lang w:eastAsia="zh-CN"/>
        </w:rPr>
        <w:t>“</w:t>
      </w:r>
      <w:r>
        <w:rPr>
          <w:rFonts w:hint="default"/>
          <w:color w:val="auto"/>
        </w:rPr>
        <w:t>一处失信、处处受限</w:t>
      </w:r>
      <w:r>
        <w:rPr>
          <w:rFonts w:hint="eastAsia"/>
          <w:color w:val="auto"/>
          <w:lang w:eastAsia="zh-CN"/>
        </w:rPr>
        <w:t>”</w:t>
      </w:r>
      <w:r>
        <w:rPr>
          <w:rFonts w:hint="eastAsia"/>
          <w:color w:val="auto"/>
          <w:lang w:val="en-US" w:eastAsia="zh-CN"/>
        </w:rPr>
        <w:t>的失</w:t>
      </w:r>
      <w:r>
        <w:rPr>
          <w:rFonts w:hint="default"/>
          <w:color w:val="auto"/>
        </w:rPr>
        <w:t>信惩戒机制，建立企业及个人黑白名单制度，定期在特定渠道进行通报，严厉制裁失信企业和人员，打击恶意逃废金融债务行为。</w:t>
      </w:r>
    </w:p>
    <w:p>
      <w:pPr>
        <w:pageBreakBefore w:val="0"/>
        <w:kinsoku/>
        <w:wordWrap/>
        <w:overflowPunct/>
        <w:topLinePunct w:val="0"/>
        <w:autoSpaceDE/>
        <w:autoSpaceDN/>
        <w:bidi w:val="0"/>
        <w:adjustRightInd/>
        <w:snapToGrid/>
        <w:ind w:left="0" w:leftChars="0" w:firstLine="643" w:firstLineChars="200"/>
        <w:textAlignment w:val="auto"/>
        <w:rPr>
          <w:rFonts w:hint="default"/>
          <w:color w:val="auto"/>
        </w:rPr>
      </w:pPr>
      <w:bookmarkStart w:id="226" w:name="_Toc26057"/>
      <w:r>
        <w:rPr>
          <w:rFonts w:hint="eastAsia" w:ascii="楷体" w:hAnsi="楷体" w:eastAsia="楷体" w:cs="楷体"/>
          <w:b/>
          <w:bCs/>
          <w:color w:val="auto"/>
        </w:rPr>
        <w:t>全面加强金融文化建设</w:t>
      </w:r>
      <w:bookmarkEnd w:id="226"/>
      <w:r>
        <w:rPr>
          <w:rFonts w:hint="eastAsia" w:ascii="楷体" w:hAnsi="楷体" w:eastAsia="楷体" w:cs="楷体"/>
          <w:b/>
          <w:bCs/>
          <w:color w:val="auto"/>
          <w:lang w:eastAsia="zh-CN"/>
        </w:rPr>
        <w:t>。</w:t>
      </w:r>
      <w:r>
        <w:rPr>
          <w:rFonts w:hint="eastAsia"/>
          <w:color w:val="auto"/>
        </w:rPr>
        <w:t>大力提升汕尾金融文化软实力</w:t>
      </w:r>
      <w:r>
        <w:rPr>
          <w:rFonts w:hint="eastAsia"/>
          <w:color w:val="auto"/>
          <w:lang w:eastAsia="zh-CN"/>
        </w:rPr>
        <w:t>。</w:t>
      </w:r>
      <w:r>
        <w:rPr>
          <w:rFonts w:hint="default"/>
          <w:color w:val="auto"/>
        </w:rPr>
        <w:t>结合实际举办一些金融创新成果展示会、金融产业对接会、金融人才招聘会、金融专题研讨会、金融知识宣传会和区域合作交流会等。建立健全新闻媒体及网络舆情引导机制，营造有利于金融业发展的舆论环境。全域推广金融知识普及和投资风险教育示范基地，引导金融机构依托营业网点、助农取款服务点等阵地，广泛开展金融文化、金融理财、金融服务等宣传活动。围绕汕尾金融发展特色和区位优势，争取省地方金融监管局支持，探索联合深圳、粤东地区在汕尾联合举办专业性金融论坛和峰会。</w:t>
      </w:r>
    </w:p>
    <w:p>
      <w:pPr>
        <w:keepNext w:val="0"/>
        <w:keepLines w:val="0"/>
        <w:pageBreakBefore w:val="0"/>
        <w:kinsoku/>
        <w:wordWrap/>
        <w:overflowPunct/>
        <w:topLinePunct w:val="0"/>
        <w:autoSpaceDE/>
        <w:autoSpaceDN/>
        <w:bidi w:val="0"/>
        <w:adjustRightInd/>
        <w:snapToGrid/>
        <w:spacing w:beforeLines="0" w:afterLines="0"/>
        <w:ind w:left="0" w:leftChars="0" w:firstLine="643" w:firstLineChars="200"/>
        <w:textAlignment w:val="auto"/>
        <w:outlineLvl w:val="9"/>
        <w:rPr>
          <w:rFonts w:hint="eastAsia" w:ascii="仿宋_GB2312" w:hAnsi="仿宋_GB2312" w:eastAsia="仿宋_GB2312" w:cs="仿宋_GB2312"/>
          <w:b w:val="0"/>
          <w:bCs/>
          <w:color w:val="auto"/>
        </w:rPr>
      </w:pPr>
      <w:bookmarkStart w:id="227" w:name="_Toc24205"/>
      <w:r>
        <w:rPr>
          <w:rFonts w:hint="eastAsia" w:ascii="楷体" w:hAnsi="楷体" w:eastAsia="楷体" w:cs="楷体"/>
          <w:b/>
          <w:bCs/>
          <w:color w:val="auto"/>
        </w:rPr>
        <w:t>切实做好金融领域信访工作</w:t>
      </w:r>
      <w:bookmarkEnd w:id="227"/>
      <w:r>
        <w:rPr>
          <w:rFonts w:hint="eastAsia" w:ascii="楷体" w:hAnsi="楷体" w:eastAsia="楷体" w:cs="楷体"/>
          <w:b/>
          <w:bCs/>
          <w:color w:val="auto"/>
          <w:lang w:eastAsia="zh-CN"/>
        </w:rPr>
        <w:t>。</w:t>
      </w:r>
      <w:r>
        <w:rPr>
          <w:rFonts w:hint="eastAsia" w:ascii="仿宋_GB2312" w:hAnsi="仿宋_GB2312" w:eastAsia="仿宋_GB2312" w:cs="仿宋_GB2312"/>
          <w:b w:val="0"/>
          <w:bCs/>
          <w:color w:val="auto"/>
        </w:rPr>
        <w:t>整合信访部门力量，完善分级分类处置机制，有序释放化解地方金融风险。做实做好涉众金融信访积案的化解工作，确保社会和谐稳定。强化属地和主体责任，严格按照信访程序依法依规处理群众诉求，对已化解的信访案件加强做好后续跟踪督办工作，防止出现再访情况。</w:t>
      </w:r>
    </w:p>
    <w:p>
      <w:pPr>
        <w:keepNext w:val="0"/>
        <w:keepLines w:val="0"/>
        <w:pageBreakBefore w:val="0"/>
        <w:kinsoku/>
        <w:wordWrap/>
        <w:overflowPunct/>
        <w:topLinePunct w:val="0"/>
        <w:autoSpaceDE/>
        <w:autoSpaceDN/>
        <w:bidi w:val="0"/>
        <w:adjustRightInd/>
        <w:snapToGrid/>
        <w:spacing w:beforeLines="0" w:afterLines="0"/>
        <w:ind w:left="0" w:leftChars="0" w:firstLine="643" w:firstLineChars="200"/>
        <w:textAlignment w:val="auto"/>
        <w:outlineLvl w:val="9"/>
        <w:rPr>
          <w:color w:val="auto"/>
        </w:rPr>
      </w:pPr>
      <w:bookmarkStart w:id="228" w:name="_Toc32199"/>
      <w:r>
        <w:rPr>
          <w:rFonts w:hint="eastAsia" w:ascii="楷体" w:hAnsi="楷体" w:eastAsia="楷体" w:cs="楷体"/>
          <w:b/>
          <w:bCs/>
          <w:color w:val="auto"/>
        </w:rPr>
        <w:t>加强金融消费者权益保护</w:t>
      </w:r>
      <w:bookmarkEnd w:id="228"/>
      <w:r>
        <w:rPr>
          <w:rFonts w:hint="eastAsia" w:ascii="楷体" w:hAnsi="楷体" w:eastAsia="楷体" w:cs="楷体"/>
          <w:b/>
          <w:bCs/>
          <w:color w:val="auto"/>
          <w:lang w:eastAsia="zh-CN"/>
        </w:rPr>
        <w:t>。</w:t>
      </w:r>
      <w:r>
        <w:rPr>
          <w:rFonts w:hint="eastAsia" w:ascii="仿宋_GB2312" w:hAnsi="仿宋_GB2312" w:cs="仿宋_GB2312"/>
          <w:b w:val="0"/>
          <w:bCs/>
          <w:color w:val="auto"/>
        </w:rPr>
        <w:t>规范金融机构业务行为，加强金融产品信息披露和风险提示，畅通金融消费者投诉渠道，丰富金融消费争议受理与解决渠道，开展消费者权益保护领域乱象整治，切实维护金融消费者合法权益。探索建立金融专项仲裁机构，开辟简易金融案件快速审理通道，加大非法集资案件等陈案处置化解力度，保护金融投资受损人权益。推动落实金融纠纷多元化解工作措施，对于具备调解基础的案件，按照自愿、合法原则，采取立案前委派、诉中邀请等方式，引导当事人通过金调委进行调解，实现诉调无缝对接，提高金融案件解决效率。</w:t>
      </w:r>
    </w:p>
    <w:p>
      <w:pPr>
        <w:pStyle w:val="3"/>
        <w:spacing w:before="93" w:after="93"/>
        <w:rPr>
          <w:rFonts w:hint="eastAsia"/>
          <w:color w:val="auto"/>
        </w:rPr>
      </w:pPr>
      <w:bookmarkStart w:id="229" w:name="_Toc190"/>
      <w:bookmarkStart w:id="230" w:name="_Toc29966"/>
      <w:bookmarkStart w:id="231" w:name="_Toc17722"/>
      <w:bookmarkStart w:id="232" w:name="_Toc7710"/>
      <w:bookmarkStart w:id="233" w:name="_Toc15912"/>
      <w:r>
        <w:rPr>
          <w:rFonts w:hint="eastAsia"/>
          <w:color w:val="auto"/>
        </w:rPr>
        <w:t>第十</w:t>
      </w:r>
      <w:r>
        <w:rPr>
          <w:rFonts w:hint="eastAsia"/>
          <w:color w:val="auto"/>
          <w:lang w:val="en-US" w:eastAsia="zh-CN"/>
        </w:rPr>
        <w:t>三</w:t>
      </w:r>
      <w:r>
        <w:rPr>
          <w:rFonts w:hint="eastAsia"/>
          <w:color w:val="auto"/>
        </w:rPr>
        <w:t xml:space="preserve">章 </w:t>
      </w:r>
      <w:bookmarkEnd w:id="229"/>
      <w:r>
        <w:rPr>
          <w:rFonts w:hint="eastAsia"/>
          <w:color w:val="auto"/>
          <w:lang w:val="en-US" w:eastAsia="zh-CN"/>
        </w:rPr>
        <w:t>加强规划实施</w:t>
      </w:r>
      <w:bookmarkEnd w:id="230"/>
      <w:bookmarkStart w:id="234" w:name="_Toc9646"/>
      <w:bookmarkStart w:id="235" w:name="_Toc4393"/>
      <w:r>
        <w:rPr>
          <w:rFonts w:hint="eastAsia"/>
          <w:color w:val="auto"/>
        </w:rPr>
        <w:t>保障</w:t>
      </w:r>
      <w:bookmarkEnd w:id="231"/>
      <w:bookmarkEnd w:id="232"/>
      <w:bookmarkEnd w:id="233"/>
      <w:bookmarkEnd w:id="234"/>
      <w:bookmarkEnd w:id="235"/>
    </w:p>
    <w:p>
      <w:pPr>
        <w:pStyle w:val="4"/>
        <w:spacing w:before="93" w:after="93"/>
        <w:outlineLvl w:val="1"/>
        <w:rPr>
          <w:rStyle w:val="43"/>
          <w:b/>
          <w:color w:val="auto"/>
        </w:rPr>
      </w:pPr>
      <w:bookmarkStart w:id="236" w:name="_Toc30817"/>
      <w:bookmarkStart w:id="237" w:name="_Toc29870"/>
      <w:bookmarkStart w:id="238" w:name="_Toc32692"/>
      <w:bookmarkStart w:id="239" w:name="_Toc31341"/>
      <w:r>
        <w:rPr>
          <w:rStyle w:val="43"/>
          <w:rFonts w:hint="eastAsia"/>
          <w:b/>
          <w:bCs w:val="0"/>
          <w:color w:val="auto"/>
        </w:rPr>
        <w:t>第一节 加强组织保障</w:t>
      </w:r>
      <w:bookmarkEnd w:id="236"/>
      <w:bookmarkEnd w:id="237"/>
      <w:bookmarkEnd w:id="238"/>
      <w:bookmarkEnd w:id="239"/>
    </w:p>
    <w:p>
      <w:pPr>
        <w:ind w:firstLine="0"/>
        <w:rPr>
          <w:rFonts w:hint="eastAsia"/>
          <w:color w:val="auto"/>
        </w:rPr>
      </w:pPr>
      <w:r>
        <w:rPr>
          <w:rFonts w:hint="eastAsia"/>
          <w:color w:val="auto"/>
        </w:rPr>
        <w:t>全面加强组织领导，成立汕尾市金融规划发展领导小组，由市分管领导担任组长，汕尾市金融工作局</w:t>
      </w:r>
      <w:r>
        <w:rPr>
          <w:color w:val="auto"/>
        </w:rPr>
        <w:t>牵头，</w:t>
      </w:r>
      <w:r>
        <w:rPr>
          <w:rFonts w:hint="eastAsia"/>
          <w:color w:val="auto"/>
        </w:rPr>
        <w:t>各相关市直部门、各县（市、区）以及“一行两会”派驻机构共同参与规划实施工作。领导小组主要承担研究分析金融政策、金融形势和区域金融改革发展重大问题的职责，明确汕尾未来金融改革方向、年度目标和任务要求，统筹推进全市金融规划实施的研究决策、组织部署、统筹协调、考核督导等工作。</w:t>
      </w:r>
    </w:p>
    <w:p>
      <w:pPr>
        <w:pStyle w:val="4"/>
        <w:rPr>
          <w:color w:val="auto"/>
        </w:rPr>
      </w:pPr>
      <w:bookmarkStart w:id="240" w:name="_Toc31995"/>
      <w:bookmarkStart w:id="241" w:name="_Toc9298"/>
      <w:bookmarkStart w:id="242" w:name="_Toc7055"/>
      <w:bookmarkStart w:id="243" w:name="_Toc1894"/>
      <w:r>
        <w:rPr>
          <w:rFonts w:hint="eastAsia"/>
          <w:color w:val="auto"/>
        </w:rPr>
        <w:t>第二节 加强政策保障</w:t>
      </w:r>
      <w:bookmarkEnd w:id="240"/>
      <w:bookmarkEnd w:id="241"/>
      <w:bookmarkEnd w:id="242"/>
      <w:bookmarkEnd w:id="243"/>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color w:val="auto"/>
        </w:rPr>
      </w:pPr>
      <w:bookmarkStart w:id="244" w:name="_Toc11573"/>
      <w:r>
        <w:rPr>
          <w:rFonts w:hint="eastAsia" w:ascii="楷体" w:hAnsi="楷体" w:eastAsia="楷体" w:cs="楷体"/>
          <w:b/>
          <w:bCs/>
          <w:color w:val="auto"/>
        </w:rPr>
        <w:t>出台金融专项政策</w:t>
      </w:r>
      <w:bookmarkEnd w:id="244"/>
      <w:r>
        <w:rPr>
          <w:rFonts w:hint="eastAsia" w:ascii="楷体" w:hAnsi="楷体" w:eastAsia="楷体" w:cs="楷体"/>
          <w:b/>
          <w:bCs/>
          <w:color w:val="auto"/>
          <w:lang w:eastAsia="zh-CN"/>
        </w:rPr>
        <w:t>。</w:t>
      </w:r>
      <w:r>
        <w:rPr>
          <w:rFonts w:hint="eastAsia"/>
          <w:color w:val="auto"/>
        </w:rPr>
        <w:t>研究粤东西北已出台的金融产业政策，加快制定符合汕尾发展实际的金融发展专项政策，集中在深化金融改革创新、完善金融市场体系、集聚金融机构、引导金融服务实体经济等领域，吸引大型金融机构在汕尾增设分支机构。</w:t>
      </w:r>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rFonts w:hint="eastAsia"/>
          <w:color w:val="auto"/>
        </w:rPr>
      </w:pPr>
      <w:bookmarkStart w:id="245" w:name="_Toc7753"/>
      <w:r>
        <w:rPr>
          <w:rFonts w:hint="eastAsia" w:ascii="楷体" w:hAnsi="楷体" w:eastAsia="楷体" w:cs="楷体"/>
          <w:b/>
          <w:bCs/>
          <w:color w:val="auto"/>
        </w:rPr>
        <w:t>加强财政资金支持</w:t>
      </w:r>
      <w:bookmarkEnd w:id="245"/>
      <w:r>
        <w:rPr>
          <w:rFonts w:hint="eastAsia" w:ascii="楷体" w:hAnsi="楷体" w:eastAsia="楷体" w:cs="楷体"/>
          <w:b/>
          <w:bCs/>
          <w:color w:val="auto"/>
          <w:lang w:eastAsia="zh-CN"/>
        </w:rPr>
        <w:t>。</w:t>
      </w:r>
      <w:r>
        <w:rPr>
          <w:rFonts w:hint="eastAsia"/>
          <w:color w:val="auto"/>
        </w:rPr>
        <w:t>加大对中小微企业、绿色、科技、农村等关键领域和薄弱环节的财政资金支持，提升风险补偿和贴息政策的覆盖面和力度，调动各类金融资源服务汕尾发展建设的积极性和创造性。</w:t>
      </w:r>
    </w:p>
    <w:p>
      <w:pPr>
        <w:pStyle w:val="4"/>
        <w:rPr>
          <w:color w:val="auto"/>
        </w:rPr>
      </w:pPr>
      <w:bookmarkStart w:id="246" w:name="_Toc31975"/>
      <w:bookmarkStart w:id="247" w:name="_Toc16649"/>
      <w:bookmarkStart w:id="248" w:name="_Toc2426"/>
      <w:bookmarkStart w:id="249" w:name="_Toc16831"/>
      <w:r>
        <w:rPr>
          <w:rFonts w:hint="eastAsia"/>
          <w:color w:val="auto"/>
        </w:rPr>
        <w:t>第三节 加强人才保障</w:t>
      </w:r>
      <w:bookmarkEnd w:id="246"/>
      <w:bookmarkEnd w:id="247"/>
      <w:bookmarkEnd w:id="248"/>
      <w:bookmarkEnd w:id="249"/>
    </w:p>
    <w:p>
      <w:pPr>
        <w:keepNext w:val="0"/>
        <w:keepLines w:val="0"/>
        <w:pageBreakBefore w:val="0"/>
        <w:widowControl/>
        <w:kinsoku/>
        <w:wordWrap/>
        <w:overflowPunct/>
        <w:topLinePunct w:val="0"/>
        <w:autoSpaceDE/>
        <w:autoSpaceDN/>
        <w:bidi w:val="0"/>
        <w:adjustRightInd/>
        <w:snapToGrid/>
        <w:ind w:left="0" w:firstLine="643" w:firstLineChars="200"/>
        <w:textAlignment w:val="auto"/>
        <w:rPr>
          <w:color w:val="auto"/>
        </w:rPr>
      </w:pPr>
      <w:bookmarkStart w:id="250" w:name="_Toc6862"/>
      <w:r>
        <w:rPr>
          <w:rFonts w:hint="eastAsia" w:ascii="楷体" w:hAnsi="楷体" w:eastAsia="楷体" w:cs="楷体"/>
          <w:b/>
          <w:bCs/>
          <w:color w:val="auto"/>
        </w:rPr>
        <w:t>加快引入金融人才</w:t>
      </w:r>
      <w:bookmarkEnd w:id="250"/>
      <w:r>
        <w:rPr>
          <w:rFonts w:hint="eastAsia" w:ascii="楷体" w:hAnsi="楷体" w:eastAsia="楷体" w:cs="楷体"/>
          <w:b/>
          <w:bCs/>
          <w:color w:val="auto"/>
          <w:lang w:eastAsia="zh-CN"/>
        </w:rPr>
        <w:t>。</w:t>
      </w:r>
      <w:r>
        <w:rPr>
          <w:rFonts w:hint="eastAsia"/>
          <w:color w:val="auto"/>
        </w:rPr>
        <w:t>深入实施“红海扬帆”人才计划，加大“双区”高层次金融人才引进力度，按照《汕尾市红海扬帆人才计划》有关政策规定，给予落户汕尾金融机构的董事、监事、高管等符合关于人才引进、人才奖励、子女教育、医疗保障等方面相关政策待遇，依托市金控公司、市产业发展投资基金管理公司等平台，为高层次金融人才搭建干事创业舞台，确保高层次金融人才“引得进、留得住、用得好”。</w:t>
      </w:r>
    </w:p>
    <w:p>
      <w:pPr>
        <w:keepNext w:val="0"/>
        <w:keepLines w:val="0"/>
        <w:pageBreakBefore w:val="0"/>
        <w:widowControl/>
        <w:kinsoku/>
        <w:wordWrap/>
        <w:overflowPunct/>
        <w:topLinePunct w:val="0"/>
        <w:autoSpaceDE/>
        <w:autoSpaceDN/>
        <w:bidi w:val="0"/>
        <w:adjustRightInd/>
        <w:snapToGrid/>
        <w:ind w:left="0" w:firstLine="643" w:firstLineChars="200"/>
        <w:textAlignment w:val="auto"/>
        <w:rPr>
          <w:rFonts w:hint="eastAsia"/>
          <w:color w:val="auto"/>
        </w:rPr>
      </w:pPr>
      <w:bookmarkStart w:id="251" w:name="_Toc910"/>
      <w:r>
        <w:rPr>
          <w:rFonts w:hint="eastAsia" w:ascii="楷体" w:hAnsi="楷体" w:eastAsia="楷体" w:cs="楷体"/>
          <w:b/>
          <w:bCs/>
          <w:color w:val="auto"/>
        </w:rPr>
        <w:t>强化金融工作智力保障</w:t>
      </w:r>
      <w:bookmarkEnd w:id="251"/>
      <w:r>
        <w:rPr>
          <w:rFonts w:hint="eastAsia" w:ascii="楷体" w:hAnsi="楷体" w:eastAsia="楷体" w:cs="楷体"/>
          <w:b/>
          <w:bCs/>
          <w:color w:val="auto"/>
          <w:lang w:eastAsia="zh-CN"/>
        </w:rPr>
        <w:t>。</w:t>
      </w:r>
      <w:r>
        <w:rPr>
          <w:rFonts w:hint="eastAsia"/>
          <w:color w:val="auto"/>
        </w:rPr>
        <w:t>进一步加强全市金融系统干部队伍建设，通过与大湾区城市的金融人才互动培养和智力资源共享，加强与大湾区各市金融监管部门、金融机构以及高等院校的对接合作，开展金融人才双向挂职交流工作，提升金融系统干部工作水平。</w:t>
      </w:r>
      <w:r>
        <w:rPr>
          <w:rFonts w:hint="default"/>
          <w:color w:val="auto"/>
        </w:rPr>
        <w:t>积极对接省级金融智库、高校，发挥广东南方金融创新研究院和汕尾金融学会的作用，定期聘用金融行业知名专家担任金融顾问，</w:t>
      </w:r>
      <w:r>
        <w:rPr>
          <w:rFonts w:hint="eastAsia"/>
          <w:color w:val="auto"/>
        </w:rPr>
        <w:t>建立市金融专家（人才）智库，</w:t>
      </w:r>
      <w:r>
        <w:rPr>
          <w:rFonts w:hint="default"/>
          <w:color w:val="auto"/>
        </w:rPr>
        <w:t>汇聚金融专家和人才为汕尾金融发展出谋划策，</w:t>
      </w:r>
      <w:r>
        <w:rPr>
          <w:rFonts w:hint="eastAsia"/>
          <w:color w:val="auto"/>
        </w:rPr>
        <w:t>增强汕尾经济金融决策的科学性、前瞻性和长远性，助推全市金融高质量发展</w:t>
      </w:r>
      <w:r>
        <w:rPr>
          <w:rFonts w:hint="default"/>
          <w:color w:val="auto"/>
        </w:rPr>
        <w:t>。</w:t>
      </w:r>
    </w:p>
    <w:p>
      <w:pPr>
        <w:pStyle w:val="4"/>
        <w:spacing w:before="93" w:after="93"/>
        <w:rPr>
          <w:color w:val="auto"/>
        </w:rPr>
      </w:pPr>
      <w:bookmarkStart w:id="252" w:name="_Toc29594"/>
      <w:bookmarkStart w:id="253" w:name="_Toc25109"/>
      <w:bookmarkStart w:id="254" w:name="_Toc29383"/>
      <w:bookmarkStart w:id="255" w:name="_Toc31807"/>
      <w:r>
        <w:rPr>
          <w:rStyle w:val="43"/>
          <w:rFonts w:hint="eastAsia"/>
          <w:b/>
          <w:bCs w:val="0"/>
          <w:color w:val="auto"/>
        </w:rPr>
        <w:t>第四节 加强督导</w:t>
      </w:r>
      <w:r>
        <w:rPr>
          <w:rStyle w:val="43"/>
          <w:rFonts w:hint="eastAsia"/>
          <w:b/>
          <w:bCs w:val="0"/>
          <w:color w:val="auto"/>
          <w:lang w:val="en-US" w:eastAsia="zh-CN"/>
        </w:rPr>
        <w:t>评估</w:t>
      </w:r>
      <w:bookmarkEnd w:id="252"/>
      <w:bookmarkEnd w:id="253"/>
      <w:bookmarkEnd w:id="254"/>
      <w:bookmarkEnd w:id="255"/>
    </w:p>
    <w:p>
      <w:pPr>
        <w:ind w:firstLine="0"/>
        <w:rPr>
          <w:rFonts w:hint="eastAsia"/>
          <w:color w:val="auto"/>
          <w:lang w:val="en-US" w:eastAsia="zh-CN"/>
        </w:rPr>
      </w:pPr>
      <w:r>
        <w:rPr>
          <w:rFonts w:hint="eastAsia"/>
          <w:color w:val="auto"/>
        </w:rPr>
        <w:t>汕尾市金融规划发展领导小组</w:t>
      </w:r>
      <w:r>
        <w:rPr>
          <w:color w:val="auto"/>
        </w:rPr>
        <w:t>加大督导力度</w:t>
      </w:r>
      <w:r>
        <w:rPr>
          <w:rFonts w:hint="eastAsia"/>
          <w:color w:val="auto"/>
        </w:rPr>
        <w:t>，推动本</w:t>
      </w:r>
      <w:r>
        <w:rPr>
          <w:color w:val="auto"/>
        </w:rPr>
        <w:t>规划目标</w:t>
      </w:r>
      <w:r>
        <w:rPr>
          <w:rFonts w:hint="eastAsia"/>
          <w:color w:val="auto"/>
        </w:rPr>
        <w:t>、</w:t>
      </w:r>
      <w:r>
        <w:rPr>
          <w:color w:val="auto"/>
        </w:rPr>
        <w:t>任务逐项分解落实，明确完成时间节点和责任单位。跟踪督促</w:t>
      </w:r>
      <w:r>
        <w:rPr>
          <w:rFonts w:hint="eastAsia"/>
          <w:color w:val="auto"/>
        </w:rPr>
        <w:t>各部门工作任务的实施情况，</w:t>
      </w:r>
      <w:r>
        <w:rPr>
          <w:color w:val="auto"/>
        </w:rPr>
        <w:t>纳入年度重点金融工作，按年度开展目标任务完成情况的评估分析，形成评价并在</w:t>
      </w:r>
      <w:r>
        <w:rPr>
          <w:rFonts w:hint="eastAsia"/>
          <w:color w:val="auto"/>
        </w:rPr>
        <w:t>全市</w:t>
      </w:r>
      <w:r>
        <w:rPr>
          <w:color w:val="auto"/>
        </w:rPr>
        <w:t>通报。按照经济金融形势变化和实施情况，对规划设定目标进行必要的动态调整</w:t>
      </w:r>
      <w:r>
        <w:rPr>
          <w:rFonts w:hint="eastAsia"/>
          <w:color w:val="auto"/>
        </w:rPr>
        <w:t>与行动指导</w:t>
      </w:r>
      <w:r>
        <w:rPr>
          <w:color w:val="auto"/>
        </w:rPr>
        <w:t>，确保规划实施的科学有效。</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A5887FE7-5B96-4917-8080-DFF8BF9ECA59}"/>
  </w:font>
  <w:font w:name="黑体">
    <w:panose1 w:val="02010609060101010101"/>
    <w:charset w:val="86"/>
    <w:family w:val="auto"/>
    <w:pitch w:val="default"/>
    <w:sig w:usb0="800002BF" w:usb1="38CF7CFA" w:usb2="00000016" w:usb3="00000000" w:csb0="00040001" w:csb1="00000000"/>
    <w:embedRegular r:id="rId2" w:fontKey="{C06E5AA6-5C84-4E34-BAB6-3FD87FCFC0C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E37A2200-5626-4104-88F2-B9620AE1ADDA}"/>
  </w:font>
  <w:font w:name="仿宋_GB2312">
    <w:panose1 w:val="02010609030101010101"/>
    <w:charset w:val="86"/>
    <w:family w:val="auto"/>
    <w:pitch w:val="default"/>
    <w:sig w:usb0="00000001" w:usb1="080E0000" w:usb2="00000000" w:usb3="00000000" w:csb0="00040000" w:csb1="00000000"/>
    <w:embedRegular r:id="rId4" w:fontKey="{207D5307-9377-434B-884A-E3B919722796}"/>
  </w:font>
  <w:font w:name="方正小标宋简体">
    <w:panose1 w:val="03000509000000000000"/>
    <w:charset w:val="86"/>
    <w:family w:val="script"/>
    <w:pitch w:val="default"/>
    <w:sig w:usb0="00000001" w:usb1="080E0000" w:usb2="00000000" w:usb3="00000000" w:csb0="00040000" w:csb1="00000000"/>
    <w:embedRegular r:id="rId5" w:fontKey="{1F1AA0FB-43B8-499A-BF57-F3CB62F7BDFE}"/>
  </w:font>
  <w:font w:name="楷体">
    <w:panose1 w:val="02010609060101010101"/>
    <w:charset w:val="86"/>
    <w:family w:val="modern"/>
    <w:pitch w:val="default"/>
    <w:sig w:usb0="800002BF" w:usb1="38CF7CFA" w:usb2="00000016" w:usb3="00000000" w:csb0="00040001" w:csb1="00000000"/>
    <w:embedRegular r:id="rId6" w:fontKey="{29021AD8-FD60-4CBF-B2EE-A7CA75D5B3FC}"/>
  </w:font>
  <w:font w:name="华文楷体">
    <w:panose1 w:val="02010600040101010101"/>
    <w:charset w:val="86"/>
    <w:family w:val="auto"/>
    <w:pitch w:val="default"/>
    <w:sig w:usb0="00000000" w:usb1="00000000" w:usb2="00000000" w:usb3="00000000" w:csb0="00000000" w:csb1="00000000"/>
    <w:embedRegular r:id="rId7" w:fontKey="{282B9F1B-EC3C-4825-A105-D91B934DF4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2154555</wp:posOffset>
              </wp:positionH>
              <wp:positionV relativeFrom="paragraph">
                <wp:posOffset>83820</wp:posOffset>
              </wp:positionV>
              <wp:extent cx="797560" cy="243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43205"/>
                      </a:xfrm>
                      <a:prstGeom prst="rect">
                        <a:avLst/>
                      </a:prstGeom>
                      <a:noFill/>
                      <a:ln>
                        <a:noFill/>
                      </a:ln>
                      <a:effectLst/>
                    </wps:spPr>
                    <wps:txbx>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69.65pt;margin-top:6.6pt;height:19.15pt;width:62.8pt;mso-position-horizontal-relative:margin;z-index:251659264;mso-width-relative:page;mso-height-relative:page;" filled="f" stroked="f" coordsize="21600,21600" o:gfxdata="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QPIpDZAAAACQEAAA8AAAAAAAAAAQAgAAAAIgAAAGRycy9kb3ducmV2&#10;LnhtbFBLAQIUABQAAAAIAIdO4kB81aNpwgEAAGQDAAAOAAAAAAAAAAEAIAAAACgBAABkcnMvZTJv&#10;RG9jLnhtbFBLBQYAAAAABgAGAFkBAABcBQAAAAA=&#10;">
              <v:fill on="f" focussize="0,0"/>
              <v:stroke on="f"/>
              <v:imagedata o:title=""/>
              <o:lock v:ext="edit" aspectratio="f"/>
              <v:textbox inset="0mm,0mm,0mm,0mm">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ind w:firstLine="0" w:firstLineChars="0"/>
      </w:pPr>
      <w:r>
        <w:rPr>
          <w:rStyle w:val="34"/>
        </w:rPr>
        <w:footnoteRef/>
      </w:r>
      <w:r>
        <w:t xml:space="preserve"> </w:t>
      </w:r>
      <w:r>
        <w:rPr>
          <w:rFonts w:hint="eastAsia"/>
        </w:rPr>
        <w:t>“1+1+1+N”中三个“1”指国家担保基金、省级担保公司、汕尾信保基金，“N”指汕尾市内各县区风险补偿金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00"/>
    <w:rsid w:val="000B4539"/>
    <w:rsid w:val="001134CE"/>
    <w:rsid w:val="00165332"/>
    <w:rsid w:val="00172A27"/>
    <w:rsid w:val="00197548"/>
    <w:rsid w:val="001C581A"/>
    <w:rsid w:val="001E531D"/>
    <w:rsid w:val="00235365"/>
    <w:rsid w:val="002C4874"/>
    <w:rsid w:val="00414B14"/>
    <w:rsid w:val="0045028F"/>
    <w:rsid w:val="00453059"/>
    <w:rsid w:val="00464A7D"/>
    <w:rsid w:val="004B2B3A"/>
    <w:rsid w:val="004C053C"/>
    <w:rsid w:val="004D30FF"/>
    <w:rsid w:val="00531813"/>
    <w:rsid w:val="00545AAA"/>
    <w:rsid w:val="005D0666"/>
    <w:rsid w:val="00646285"/>
    <w:rsid w:val="00737AB8"/>
    <w:rsid w:val="007A58AD"/>
    <w:rsid w:val="007A713C"/>
    <w:rsid w:val="007B1403"/>
    <w:rsid w:val="007C1A4E"/>
    <w:rsid w:val="007F4906"/>
    <w:rsid w:val="00813A85"/>
    <w:rsid w:val="00860F5E"/>
    <w:rsid w:val="008D4675"/>
    <w:rsid w:val="008E3A71"/>
    <w:rsid w:val="008F5AB5"/>
    <w:rsid w:val="00923A3E"/>
    <w:rsid w:val="00937481"/>
    <w:rsid w:val="009662B4"/>
    <w:rsid w:val="009A48FC"/>
    <w:rsid w:val="009E5B52"/>
    <w:rsid w:val="009F55D2"/>
    <w:rsid w:val="00A470FD"/>
    <w:rsid w:val="00A81FC8"/>
    <w:rsid w:val="00AA6E73"/>
    <w:rsid w:val="00AD2C97"/>
    <w:rsid w:val="00B06518"/>
    <w:rsid w:val="00B13DED"/>
    <w:rsid w:val="00B22214"/>
    <w:rsid w:val="00B22B9C"/>
    <w:rsid w:val="00B272CB"/>
    <w:rsid w:val="00BB1642"/>
    <w:rsid w:val="00BC45FF"/>
    <w:rsid w:val="00C25E72"/>
    <w:rsid w:val="00C2650E"/>
    <w:rsid w:val="00C40002"/>
    <w:rsid w:val="00C4759F"/>
    <w:rsid w:val="00C96486"/>
    <w:rsid w:val="00CA00CC"/>
    <w:rsid w:val="00CD298F"/>
    <w:rsid w:val="00CE76A1"/>
    <w:rsid w:val="00CF31AB"/>
    <w:rsid w:val="00D07E52"/>
    <w:rsid w:val="00D423BD"/>
    <w:rsid w:val="00D46D27"/>
    <w:rsid w:val="00D60CEC"/>
    <w:rsid w:val="00DB0786"/>
    <w:rsid w:val="00DD306B"/>
    <w:rsid w:val="00DE7BE7"/>
    <w:rsid w:val="00E13130"/>
    <w:rsid w:val="00E1357F"/>
    <w:rsid w:val="00E22E43"/>
    <w:rsid w:val="00E3465C"/>
    <w:rsid w:val="00E5244C"/>
    <w:rsid w:val="00E8574C"/>
    <w:rsid w:val="00EA519F"/>
    <w:rsid w:val="00EB400E"/>
    <w:rsid w:val="00EB5FB3"/>
    <w:rsid w:val="00EE25F5"/>
    <w:rsid w:val="00F3721E"/>
    <w:rsid w:val="00FA74E6"/>
    <w:rsid w:val="00FB02EA"/>
    <w:rsid w:val="01262E43"/>
    <w:rsid w:val="01624759"/>
    <w:rsid w:val="02CD51D1"/>
    <w:rsid w:val="02CE04E1"/>
    <w:rsid w:val="02E91089"/>
    <w:rsid w:val="034C101A"/>
    <w:rsid w:val="0541605B"/>
    <w:rsid w:val="057979CA"/>
    <w:rsid w:val="06213D21"/>
    <w:rsid w:val="06295D53"/>
    <w:rsid w:val="067E2863"/>
    <w:rsid w:val="08062E73"/>
    <w:rsid w:val="087A38B5"/>
    <w:rsid w:val="09107C1D"/>
    <w:rsid w:val="091773C9"/>
    <w:rsid w:val="098C00DD"/>
    <w:rsid w:val="0AC57F45"/>
    <w:rsid w:val="0B2160D5"/>
    <w:rsid w:val="0B28642F"/>
    <w:rsid w:val="0B5A2E99"/>
    <w:rsid w:val="0C7C315A"/>
    <w:rsid w:val="0CAE4DCD"/>
    <w:rsid w:val="0CBE6DCF"/>
    <w:rsid w:val="0CF76DB3"/>
    <w:rsid w:val="0D383E81"/>
    <w:rsid w:val="0D40311B"/>
    <w:rsid w:val="0E966823"/>
    <w:rsid w:val="0EA234EB"/>
    <w:rsid w:val="0F8A7030"/>
    <w:rsid w:val="0FBC3772"/>
    <w:rsid w:val="0FBF65FA"/>
    <w:rsid w:val="0FFF985D"/>
    <w:rsid w:val="105319FB"/>
    <w:rsid w:val="113A711A"/>
    <w:rsid w:val="11511926"/>
    <w:rsid w:val="12A14189"/>
    <w:rsid w:val="12EA2F76"/>
    <w:rsid w:val="13011C2C"/>
    <w:rsid w:val="1316087A"/>
    <w:rsid w:val="13521249"/>
    <w:rsid w:val="13FA0AE9"/>
    <w:rsid w:val="14CC4ECD"/>
    <w:rsid w:val="15101608"/>
    <w:rsid w:val="15D40554"/>
    <w:rsid w:val="15F830E5"/>
    <w:rsid w:val="164A2E59"/>
    <w:rsid w:val="16536C17"/>
    <w:rsid w:val="16EB59AC"/>
    <w:rsid w:val="17115D32"/>
    <w:rsid w:val="172274A8"/>
    <w:rsid w:val="17A44AD6"/>
    <w:rsid w:val="18016C55"/>
    <w:rsid w:val="180F6DCD"/>
    <w:rsid w:val="18272993"/>
    <w:rsid w:val="18A71407"/>
    <w:rsid w:val="194C4330"/>
    <w:rsid w:val="19EC709C"/>
    <w:rsid w:val="1A5406CB"/>
    <w:rsid w:val="1A8925CF"/>
    <w:rsid w:val="1AAB3382"/>
    <w:rsid w:val="1AAF2B9D"/>
    <w:rsid w:val="1ABB7027"/>
    <w:rsid w:val="1AFC315C"/>
    <w:rsid w:val="1B827FF3"/>
    <w:rsid w:val="1C0E3F52"/>
    <w:rsid w:val="1C7D3B7E"/>
    <w:rsid w:val="1DB92256"/>
    <w:rsid w:val="1DEA3631"/>
    <w:rsid w:val="1DF901A5"/>
    <w:rsid w:val="1E421268"/>
    <w:rsid w:val="1E4D533D"/>
    <w:rsid w:val="1EE70643"/>
    <w:rsid w:val="1FBFF612"/>
    <w:rsid w:val="1FF779D7"/>
    <w:rsid w:val="200B7B47"/>
    <w:rsid w:val="2048204D"/>
    <w:rsid w:val="205C52F1"/>
    <w:rsid w:val="20D91021"/>
    <w:rsid w:val="21F10054"/>
    <w:rsid w:val="22C06576"/>
    <w:rsid w:val="235B3491"/>
    <w:rsid w:val="24013693"/>
    <w:rsid w:val="241D4AFE"/>
    <w:rsid w:val="243C33EA"/>
    <w:rsid w:val="24644846"/>
    <w:rsid w:val="24706F1B"/>
    <w:rsid w:val="255371B8"/>
    <w:rsid w:val="25F20096"/>
    <w:rsid w:val="26314B22"/>
    <w:rsid w:val="27095F97"/>
    <w:rsid w:val="2757722F"/>
    <w:rsid w:val="27595418"/>
    <w:rsid w:val="277FB057"/>
    <w:rsid w:val="278B1752"/>
    <w:rsid w:val="27F1ECFA"/>
    <w:rsid w:val="29770DB5"/>
    <w:rsid w:val="2A7373EB"/>
    <w:rsid w:val="2B1C30EF"/>
    <w:rsid w:val="2B285B8C"/>
    <w:rsid w:val="2BD757A2"/>
    <w:rsid w:val="2C955536"/>
    <w:rsid w:val="2CB158E6"/>
    <w:rsid w:val="2EB74B62"/>
    <w:rsid w:val="2EC06B30"/>
    <w:rsid w:val="2ED24467"/>
    <w:rsid w:val="2EDA7C8F"/>
    <w:rsid w:val="2EF370FE"/>
    <w:rsid w:val="2EF90B69"/>
    <w:rsid w:val="2F2E1934"/>
    <w:rsid w:val="2FE857B1"/>
    <w:rsid w:val="30740647"/>
    <w:rsid w:val="308B0A51"/>
    <w:rsid w:val="31BC54B5"/>
    <w:rsid w:val="31D66EC0"/>
    <w:rsid w:val="31E04625"/>
    <w:rsid w:val="327A5CD8"/>
    <w:rsid w:val="33005266"/>
    <w:rsid w:val="334B5408"/>
    <w:rsid w:val="33735A60"/>
    <w:rsid w:val="337D4A2A"/>
    <w:rsid w:val="348C2021"/>
    <w:rsid w:val="349A14EA"/>
    <w:rsid w:val="354D406E"/>
    <w:rsid w:val="35B92AF1"/>
    <w:rsid w:val="35CE60D0"/>
    <w:rsid w:val="3680633B"/>
    <w:rsid w:val="36861AAC"/>
    <w:rsid w:val="37973373"/>
    <w:rsid w:val="37BE45FD"/>
    <w:rsid w:val="385C544C"/>
    <w:rsid w:val="38860107"/>
    <w:rsid w:val="38963EBC"/>
    <w:rsid w:val="38B9FC0E"/>
    <w:rsid w:val="38BD4B3C"/>
    <w:rsid w:val="38FD8029"/>
    <w:rsid w:val="391B7664"/>
    <w:rsid w:val="396078E6"/>
    <w:rsid w:val="3A8B00CE"/>
    <w:rsid w:val="3A8D7233"/>
    <w:rsid w:val="3B505013"/>
    <w:rsid w:val="3BCFC5A6"/>
    <w:rsid w:val="3C7441DD"/>
    <w:rsid w:val="3C7D09A4"/>
    <w:rsid w:val="3DED56B9"/>
    <w:rsid w:val="3ECC6C43"/>
    <w:rsid w:val="3EDFC9C3"/>
    <w:rsid w:val="3EE17175"/>
    <w:rsid w:val="3F141125"/>
    <w:rsid w:val="3F901B0A"/>
    <w:rsid w:val="3F941367"/>
    <w:rsid w:val="3FE7F1F9"/>
    <w:rsid w:val="3FF541DD"/>
    <w:rsid w:val="40AC41E7"/>
    <w:rsid w:val="40E27BB9"/>
    <w:rsid w:val="42194DC1"/>
    <w:rsid w:val="42FF6F0F"/>
    <w:rsid w:val="438476B3"/>
    <w:rsid w:val="43B80CEC"/>
    <w:rsid w:val="43F648A7"/>
    <w:rsid w:val="44381278"/>
    <w:rsid w:val="444B6B80"/>
    <w:rsid w:val="446865E4"/>
    <w:rsid w:val="450A4A5A"/>
    <w:rsid w:val="453D3B72"/>
    <w:rsid w:val="456660FE"/>
    <w:rsid w:val="45976FF6"/>
    <w:rsid w:val="45E35E2A"/>
    <w:rsid w:val="45F32010"/>
    <w:rsid w:val="46C74535"/>
    <w:rsid w:val="470D52AB"/>
    <w:rsid w:val="476038B8"/>
    <w:rsid w:val="47A375CE"/>
    <w:rsid w:val="483208FE"/>
    <w:rsid w:val="490545CE"/>
    <w:rsid w:val="4A73253C"/>
    <w:rsid w:val="4A8657C4"/>
    <w:rsid w:val="4B1853D9"/>
    <w:rsid w:val="4B792C4A"/>
    <w:rsid w:val="4B8D686A"/>
    <w:rsid w:val="4C026BAF"/>
    <w:rsid w:val="4C2E63F4"/>
    <w:rsid w:val="4C474A67"/>
    <w:rsid w:val="4C9A29E2"/>
    <w:rsid w:val="4D25505C"/>
    <w:rsid w:val="4DD01AD2"/>
    <w:rsid w:val="4E267A1C"/>
    <w:rsid w:val="4E635B7B"/>
    <w:rsid w:val="4E831CDC"/>
    <w:rsid w:val="4ED175AE"/>
    <w:rsid w:val="4F0E4353"/>
    <w:rsid w:val="4F237390"/>
    <w:rsid w:val="4F742718"/>
    <w:rsid w:val="4FEB1E5E"/>
    <w:rsid w:val="50124BA6"/>
    <w:rsid w:val="50720E83"/>
    <w:rsid w:val="51F4692D"/>
    <w:rsid w:val="52AE3F89"/>
    <w:rsid w:val="53B72B3B"/>
    <w:rsid w:val="53E20714"/>
    <w:rsid w:val="53EE2FF8"/>
    <w:rsid w:val="54B65E5B"/>
    <w:rsid w:val="54EE2A1D"/>
    <w:rsid w:val="557DA91F"/>
    <w:rsid w:val="55872C49"/>
    <w:rsid w:val="55A066B0"/>
    <w:rsid w:val="55E47BBF"/>
    <w:rsid w:val="560A2651"/>
    <w:rsid w:val="566B33B5"/>
    <w:rsid w:val="570D146D"/>
    <w:rsid w:val="57435A74"/>
    <w:rsid w:val="57726B42"/>
    <w:rsid w:val="57CE3E85"/>
    <w:rsid w:val="57EDCFF2"/>
    <w:rsid w:val="58242432"/>
    <w:rsid w:val="58BF712A"/>
    <w:rsid w:val="591C7923"/>
    <w:rsid w:val="59A47635"/>
    <w:rsid w:val="59C55BFE"/>
    <w:rsid w:val="5A691AD2"/>
    <w:rsid w:val="5AA852D1"/>
    <w:rsid w:val="5ACC232C"/>
    <w:rsid w:val="5B641322"/>
    <w:rsid w:val="5B756163"/>
    <w:rsid w:val="5CD55FF6"/>
    <w:rsid w:val="5CFD3CA0"/>
    <w:rsid w:val="5D133FF9"/>
    <w:rsid w:val="5D7B15CA"/>
    <w:rsid w:val="5D833406"/>
    <w:rsid w:val="5DC76952"/>
    <w:rsid w:val="5EB23D7B"/>
    <w:rsid w:val="5EBF0FE2"/>
    <w:rsid w:val="5ECE7B13"/>
    <w:rsid w:val="5F1B1EDB"/>
    <w:rsid w:val="5FCFDAAF"/>
    <w:rsid w:val="61462E13"/>
    <w:rsid w:val="6161563A"/>
    <w:rsid w:val="618126C9"/>
    <w:rsid w:val="61813F7A"/>
    <w:rsid w:val="62086865"/>
    <w:rsid w:val="622D2E36"/>
    <w:rsid w:val="629D1868"/>
    <w:rsid w:val="6390760D"/>
    <w:rsid w:val="63C347E6"/>
    <w:rsid w:val="64150AD6"/>
    <w:rsid w:val="644F0F26"/>
    <w:rsid w:val="64C547E7"/>
    <w:rsid w:val="65A3338F"/>
    <w:rsid w:val="65FDF2CB"/>
    <w:rsid w:val="664F5070"/>
    <w:rsid w:val="667A5CAD"/>
    <w:rsid w:val="66AC5EFC"/>
    <w:rsid w:val="66DA2DA3"/>
    <w:rsid w:val="66DE5ECF"/>
    <w:rsid w:val="66FD22AA"/>
    <w:rsid w:val="67061686"/>
    <w:rsid w:val="67317875"/>
    <w:rsid w:val="67612740"/>
    <w:rsid w:val="67EE24D1"/>
    <w:rsid w:val="687B7653"/>
    <w:rsid w:val="68BD6B68"/>
    <w:rsid w:val="68E830CB"/>
    <w:rsid w:val="69611EE1"/>
    <w:rsid w:val="699A124E"/>
    <w:rsid w:val="69E45EB5"/>
    <w:rsid w:val="69FB1ABA"/>
    <w:rsid w:val="6A4945C8"/>
    <w:rsid w:val="6A8E1D53"/>
    <w:rsid w:val="6AAD0CBD"/>
    <w:rsid w:val="6AB94B15"/>
    <w:rsid w:val="6B2123A6"/>
    <w:rsid w:val="6B2D3BE2"/>
    <w:rsid w:val="6B9A6689"/>
    <w:rsid w:val="6BD6BF51"/>
    <w:rsid w:val="6BDA32D9"/>
    <w:rsid w:val="6C080150"/>
    <w:rsid w:val="6C1168B4"/>
    <w:rsid w:val="6D609ED7"/>
    <w:rsid w:val="6D6A0FB9"/>
    <w:rsid w:val="6DBA5225"/>
    <w:rsid w:val="6EE94566"/>
    <w:rsid w:val="6EED0145"/>
    <w:rsid w:val="6FBD8F07"/>
    <w:rsid w:val="6FC31B95"/>
    <w:rsid w:val="6FDD4171"/>
    <w:rsid w:val="6FFB5A5B"/>
    <w:rsid w:val="6FFEDE6F"/>
    <w:rsid w:val="6FFEF282"/>
    <w:rsid w:val="70AA5802"/>
    <w:rsid w:val="7152060E"/>
    <w:rsid w:val="719C7C63"/>
    <w:rsid w:val="71DB00E3"/>
    <w:rsid w:val="71DB0E95"/>
    <w:rsid w:val="721A72BC"/>
    <w:rsid w:val="721E4179"/>
    <w:rsid w:val="7270606B"/>
    <w:rsid w:val="72DA6E16"/>
    <w:rsid w:val="73CE3E77"/>
    <w:rsid w:val="73CE8C4A"/>
    <w:rsid w:val="73CF15C1"/>
    <w:rsid w:val="73D41592"/>
    <w:rsid w:val="73EB9671"/>
    <w:rsid w:val="73FD6A85"/>
    <w:rsid w:val="741953D8"/>
    <w:rsid w:val="74317675"/>
    <w:rsid w:val="74C77C8F"/>
    <w:rsid w:val="74FBE7F7"/>
    <w:rsid w:val="752C3253"/>
    <w:rsid w:val="758A625C"/>
    <w:rsid w:val="75EE0778"/>
    <w:rsid w:val="767D49BA"/>
    <w:rsid w:val="77834C64"/>
    <w:rsid w:val="778A3721"/>
    <w:rsid w:val="779BBF1A"/>
    <w:rsid w:val="77FE4827"/>
    <w:rsid w:val="782A4B24"/>
    <w:rsid w:val="79347DA8"/>
    <w:rsid w:val="7976BDB3"/>
    <w:rsid w:val="79D7BAF6"/>
    <w:rsid w:val="7BA42F8F"/>
    <w:rsid w:val="7BD72196"/>
    <w:rsid w:val="7C793B0D"/>
    <w:rsid w:val="7D5FD31D"/>
    <w:rsid w:val="7D9E575C"/>
    <w:rsid w:val="7DEB60E7"/>
    <w:rsid w:val="7DEE0A31"/>
    <w:rsid w:val="7DF22063"/>
    <w:rsid w:val="7DF4C7CC"/>
    <w:rsid w:val="7DFF394E"/>
    <w:rsid w:val="7DFFE333"/>
    <w:rsid w:val="7ECC788A"/>
    <w:rsid w:val="7F1D20BD"/>
    <w:rsid w:val="7F3239D6"/>
    <w:rsid w:val="7F5EAAAF"/>
    <w:rsid w:val="7FCFD5EF"/>
    <w:rsid w:val="7FEB3A3F"/>
    <w:rsid w:val="7FF30AF1"/>
    <w:rsid w:val="7FFF6E06"/>
    <w:rsid w:val="7FFFFBCB"/>
    <w:rsid w:val="8DFB6013"/>
    <w:rsid w:val="93FF32F9"/>
    <w:rsid w:val="9BB7FDC9"/>
    <w:rsid w:val="9EBDB481"/>
    <w:rsid w:val="9FDEADD9"/>
    <w:rsid w:val="9FFE3150"/>
    <w:rsid w:val="A3E9BDFE"/>
    <w:rsid w:val="A5F51B0B"/>
    <w:rsid w:val="ADD7AB08"/>
    <w:rsid w:val="AF763833"/>
    <w:rsid w:val="B0D33FC1"/>
    <w:rsid w:val="B3FBFFFA"/>
    <w:rsid w:val="B599F924"/>
    <w:rsid w:val="B7EF17C5"/>
    <w:rsid w:val="BDDD4694"/>
    <w:rsid w:val="BEBF5F6B"/>
    <w:rsid w:val="CEF69E41"/>
    <w:rsid w:val="CFB910B4"/>
    <w:rsid w:val="D2A7BC81"/>
    <w:rsid w:val="D7EDA580"/>
    <w:rsid w:val="DB23776C"/>
    <w:rsid w:val="DB7E9BF0"/>
    <w:rsid w:val="DDDF9393"/>
    <w:rsid w:val="DDE95BD3"/>
    <w:rsid w:val="DDEF91F6"/>
    <w:rsid w:val="DFB5C6C4"/>
    <w:rsid w:val="DFBFB705"/>
    <w:rsid w:val="E2FD8371"/>
    <w:rsid w:val="E7DF4616"/>
    <w:rsid w:val="E7FAE4BB"/>
    <w:rsid w:val="E9DB0499"/>
    <w:rsid w:val="EADECF70"/>
    <w:rsid w:val="EB67EF8A"/>
    <w:rsid w:val="EBE7032A"/>
    <w:rsid w:val="ED77BCCA"/>
    <w:rsid w:val="EE73694E"/>
    <w:rsid w:val="EEDEBC8D"/>
    <w:rsid w:val="EEDF9AAC"/>
    <w:rsid w:val="EEEECB6F"/>
    <w:rsid w:val="EFF98967"/>
    <w:rsid w:val="EFFDD58B"/>
    <w:rsid w:val="EFFF0EB8"/>
    <w:rsid w:val="F3D7DC20"/>
    <w:rsid w:val="F4FFD731"/>
    <w:rsid w:val="F5D7D9F6"/>
    <w:rsid w:val="F7AD7766"/>
    <w:rsid w:val="F7E64BAF"/>
    <w:rsid w:val="FABF9D2C"/>
    <w:rsid w:val="FADEC4EC"/>
    <w:rsid w:val="FB58EF94"/>
    <w:rsid w:val="FB5DB568"/>
    <w:rsid w:val="FBB6DD45"/>
    <w:rsid w:val="FD7D9BC5"/>
    <w:rsid w:val="FD7E47E3"/>
    <w:rsid w:val="FDA300AA"/>
    <w:rsid w:val="FDBD0F81"/>
    <w:rsid w:val="FDBF8B4B"/>
    <w:rsid w:val="FDD7805D"/>
    <w:rsid w:val="FDDF765C"/>
    <w:rsid w:val="FDDFDBB3"/>
    <w:rsid w:val="FDFD1771"/>
    <w:rsid w:val="FDFE39B5"/>
    <w:rsid w:val="FEACEDB6"/>
    <w:rsid w:val="FEF48CC9"/>
    <w:rsid w:val="FEFD10B3"/>
    <w:rsid w:val="FEFD77C0"/>
    <w:rsid w:val="FF3DCC6C"/>
    <w:rsid w:val="FF3DF59B"/>
    <w:rsid w:val="FF7FE9DD"/>
    <w:rsid w:val="FF9ECAF9"/>
    <w:rsid w:val="FFAD0126"/>
    <w:rsid w:val="FFBE16A1"/>
    <w:rsid w:val="FFF22438"/>
    <w:rsid w:val="FFF24A67"/>
    <w:rsid w:val="FFFEA5FE"/>
    <w:rsid w:val="FFFF4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42"/>
    <w:qFormat/>
    <w:uiPriority w:val="0"/>
    <w:pPr>
      <w:keepNext/>
      <w:keepLines/>
      <w:spacing w:before="150" w:beforeLines="150" w:after="150" w:afterLines="150"/>
      <w:ind w:firstLine="0" w:firstLineChars="0"/>
      <w:jc w:val="center"/>
      <w:outlineLvl w:val="0"/>
    </w:pPr>
    <w:rPr>
      <w:rFonts w:ascii="Times New Roman" w:hAnsi="Times New Roman" w:eastAsia="方正小标宋简体"/>
      <w:b/>
      <w:kern w:val="44"/>
      <w:sz w:val="36"/>
    </w:rPr>
  </w:style>
  <w:style w:type="paragraph" w:styleId="4">
    <w:name w:val="heading 2"/>
    <w:basedOn w:val="1"/>
    <w:next w:val="1"/>
    <w:link w:val="43"/>
    <w:qFormat/>
    <w:uiPriority w:val="0"/>
    <w:pPr>
      <w:keepNext/>
      <w:keepLines/>
      <w:spacing w:before="100" w:beforeLines="100" w:after="100" w:afterLines="100"/>
      <w:ind w:firstLine="0" w:firstLineChars="0"/>
      <w:jc w:val="center"/>
      <w:outlineLvl w:val="1"/>
    </w:pPr>
    <w:rPr>
      <w:rFonts w:ascii="Arial" w:hAnsi="Arial" w:eastAsia="黑体"/>
      <w:b/>
    </w:rPr>
  </w:style>
  <w:style w:type="paragraph" w:styleId="5">
    <w:name w:val="heading 3"/>
    <w:basedOn w:val="1"/>
    <w:next w:val="1"/>
    <w:link w:val="44"/>
    <w:qFormat/>
    <w:uiPriority w:val="0"/>
    <w:pPr>
      <w:keepNext/>
      <w:keepLines/>
      <w:spacing w:beforeLines="30" w:afterLines="30"/>
      <w:ind w:firstLine="0" w:firstLineChars="0"/>
      <w:outlineLvl w:val="2"/>
    </w:pPr>
    <w:rPr>
      <w:rFonts w:ascii="Times New Roman" w:hAnsi="Times New Roman" w:eastAsia="楷体"/>
      <w:b/>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customStyle="1" w:styleId="2">
    <w:name w:val="BodyText"/>
    <w:qFormat/>
    <w:uiPriority w:val="0"/>
    <w:pPr>
      <w:widowControl w:val="0"/>
      <w:jc w:val="both"/>
    </w:pPr>
    <w:rPr>
      <w:rFonts w:ascii="Calibri" w:hAnsi="Calibri" w:eastAsia="宋体" w:cs="Times New Roman"/>
      <w:kern w:val="2"/>
      <w:sz w:val="21"/>
      <w:szCs w:val="24"/>
      <w:lang w:val="en-US" w:eastAsia="zh-CN" w:bidi="ar-SA"/>
    </w:rPr>
  </w:style>
  <w:style w:type="paragraph" w:styleId="7">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8">
    <w:name w:val="Normal Indent"/>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9">
    <w:name w:val="annotation text"/>
    <w:basedOn w:val="1"/>
    <w:qFormat/>
    <w:uiPriority w:val="0"/>
    <w:pPr>
      <w:jc w:val="left"/>
    </w:pPr>
    <w:rPr>
      <w:rFonts w:ascii="Times New Roman" w:hAnsi="Times New Roman" w:eastAsia="宋体"/>
    </w:rPr>
  </w:style>
  <w:style w:type="paragraph" w:styleId="10">
    <w:name w:val="Body Text"/>
    <w:basedOn w:val="1"/>
    <w:qFormat/>
    <w:uiPriority w:val="0"/>
    <w:rPr>
      <w:rFonts w:ascii="Times New Roman" w:hAnsi="Times New Roman" w:eastAsia="宋体"/>
    </w:rPr>
  </w:style>
  <w:style w:type="paragraph" w:styleId="11">
    <w:name w:val="Body Text Indent"/>
    <w:next w:val="12"/>
    <w:qFormat/>
    <w:uiPriority w:val="0"/>
    <w:pPr>
      <w:widowControl w:val="0"/>
      <w:spacing w:after="120" w:line="360" w:lineRule="auto"/>
      <w:ind w:left="420" w:leftChars="200" w:firstLine="883" w:firstLineChars="200"/>
      <w:jc w:val="both"/>
    </w:pPr>
    <w:rPr>
      <w:rFonts w:ascii="仿宋_GB2312" w:hAnsi="仿宋_GB2312" w:eastAsia="仿宋_GB2312" w:cs="仿宋_GB2312"/>
      <w:kern w:val="2"/>
      <w:sz w:val="32"/>
      <w:szCs w:val="21"/>
      <w:lang w:val="en-US" w:eastAsia="zh-CN" w:bidi="ar-SA"/>
    </w:rPr>
  </w:style>
  <w:style w:type="paragraph" w:styleId="12">
    <w:name w:val="Body Text Indent 2"/>
    <w:qFormat/>
    <w:uiPriority w:val="0"/>
    <w:pPr>
      <w:widowControl w:val="0"/>
      <w:ind w:firstLine="630"/>
      <w:jc w:val="both"/>
    </w:pPr>
    <w:rPr>
      <w:rFonts w:ascii="Calibri" w:hAnsi="Calibri" w:eastAsia="宋体" w:cs="Times New Roman"/>
      <w:b/>
      <w:kern w:val="2"/>
      <w:sz w:val="21"/>
      <w:szCs w:val="24"/>
      <w:lang w:val="en-US" w:eastAsia="zh-CN" w:bidi="ar-SA"/>
    </w:rPr>
  </w:style>
  <w:style w:type="paragraph" w:styleId="13">
    <w:name w:val="toc 5"/>
    <w:basedOn w:val="1"/>
    <w:next w:val="1"/>
    <w:unhideWhenUsed/>
    <w:qFormat/>
    <w:uiPriority w:val="39"/>
    <w:pPr>
      <w:spacing w:line="240" w:lineRule="auto"/>
      <w:ind w:left="1680" w:leftChars="800" w:firstLine="0" w:firstLineChars="0"/>
    </w:pPr>
    <w:rPr>
      <w:rFonts w:ascii="Calibri" w:hAnsi="Calibri" w:eastAsia="宋体" w:cs="Times New Roman"/>
      <w:sz w:val="21"/>
      <w:szCs w:val="22"/>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16">
    <w:name w:val="Balloon Text"/>
    <w:basedOn w:val="1"/>
    <w:link w:val="45"/>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sz w:val="18"/>
    </w:rPr>
  </w:style>
  <w:style w:type="paragraph" w:styleId="18">
    <w:name w:val="header"/>
    <w:next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jc w:val="both"/>
    </w:pPr>
    <w:rPr>
      <w:rFonts w:ascii="仿宋_GB2312" w:hAnsi="仿宋_GB2312" w:eastAsia="仿宋_GB2312" w:cs="仿宋_GB2312"/>
      <w:kern w:val="2"/>
      <w:sz w:val="18"/>
      <w:szCs w:val="21"/>
      <w:lang w:val="en-US" w:eastAsia="zh-CN" w:bidi="ar-SA"/>
    </w:rPr>
  </w:style>
  <w:style w:type="paragraph" w:styleId="19">
    <w:name w:val="toc 1"/>
    <w:basedOn w:val="1"/>
    <w:next w:val="1"/>
    <w:qFormat/>
    <w:uiPriority w:val="39"/>
    <w:rPr>
      <w:rFonts w:ascii="Times New Roman" w:hAnsi="Times New Roman" w:eastAsia="宋体"/>
    </w:rPr>
  </w:style>
  <w:style w:type="paragraph" w:styleId="20">
    <w:name w:val="toc 4"/>
    <w:basedOn w:val="1"/>
    <w:next w:val="1"/>
    <w:unhideWhenUsed/>
    <w:qFormat/>
    <w:uiPriority w:val="39"/>
    <w:pPr>
      <w:spacing w:line="240" w:lineRule="auto"/>
      <w:ind w:left="1260" w:leftChars="600" w:firstLine="0" w:firstLineChars="0"/>
    </w:pPr>
    <w:rPr>
      <w:rFonts w:ascii="Calibri" w:hAnsi="Calibri" w:eastAsia="宋体" w:cs="Times New Roman"/>
      <w:sz w:val="21"/>
      <w:szCs w:val="22"/>
    </w:rPr>
  </w:style>
  <w:style w:type="paragraph" w:styleId="21">
    <w:name w:val="footnote text"/>
    <w:basedOn w:val="1"/>
    <w:qFormat/>
    <w:uiPriority w:val="0"/>
    <w:pPr>
      <w:snapToGrid w:val="0"/>
      <w:ind w:firstLine="883"/>
      <w:jc w:val="left"/>
    </w:pPr>
    <w:rPr>
      <w:rFonts w:ascii="仿宋_GB2312" w:hAnsi="仿宋_GB2312" w:cs="仿宋_GB2312"/>
      <w:sz w:val="18"/>
      <w:szCs w:val="21"/>
    </w:rPr>
  </w:style>
  <w:style w:type="paragraph" w:styleId="22">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23">
    <w:name w:val="toc 2"/>
    <w:basedOn w:val="1"/>
    <w:next w:val="1"/>
    <w:qFormat/>
    <w:uiPriority w:val="39"/>
    <w:pPr>
      <w:ind w:left="420" w:leftChars="200"/>
    </w:pPr>
    <w:rPr>
      <w:rFonts w:ascii="Times New Roman" w:hAnsi="Times New Roman" w:eastAsia="宋体"/>
    </w:rPr>
  </w:style>
  <w:style w:type="paragraph" w:styleId="24">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25">
    <w:name w:val="Normal (Web)"/>
    <w:basedOn w:val="1"/>
    <w:qFormat/>
    <w:uiPriority w:val="99"/>
    <w:rPr>
      <w:rFonts w:ascii="Times New Roman" w:hAnsi="Times New Roman" w:eastAsia="宋体"/>
      <w:sz w:val="24"/>
    </w:rPr>
  </w:style>
  <w:style w:type="paragraph" w:styleId="26">
    <w:name w:val="Body Text First Indent 2"/>
    <w:next w:val="1"/>
    <w:qFormat/>
    <w:uiPriority w:val="0"/>
    <w:pPr>
      <w:widowControl w:val="0"/>
      <w:spacing w:after="120" w:line="360" w:lineRule="auto"/>
      <w:ind w:left="420" w:leftChars="200" w:firstLine="420" w:firstLineChars="200"/>
      <w:jc w:val="both"/>
    </w:pPr>
    <w:rPr>
      <w:rFonts w:ascii="仿宋_GB2312" w:hAnsi="仿宋_GB2312" w:eastAsia="仿宋_GB2312" w:cs="仿宋_GB2312"/>
      <w:kern w:val="2"/>
      <w:sz w:val="32"/>
      <w:szCs w:val="21"/>
      <w:lang w:val="en-US" w:eastAsia="zh-CN" w:bidi="ar-SA"/>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30">
    <w:name w:val="Strong"/>
    <w:basedOn w:val="29"/>
    <w:qFormat/>
    <w:uiPriority w:val="0"/>
    <w:rPr>
      <w:rFonts w:ascii="Times New Roman" w:hAnsi="Times New Roman" w:eastAsia="宋体" w:cs="Times New Roman"/>
      <w:b/>
    </w:rPr>
  </w:style>
  <w:style w:type="character" w:styleId="31">
    <w:name w:val="FollowedHyperlink"/>
    <w:basedOn w:val="29"/>
    <w:qFormat/>
    <w:uiPriority w:val="0"/>
    <w:rPr>
      <w:color w:val="576B95"/>
      <w:u w:val="none"/>
    </w:rPr>
  </w:style>
  <w:style w:type="character" w:styleId="32">
    <w:name w:val="Emphasis"/>
    <w:basedOn w:val="29"/>
    <w:qFormat/>
    <w:uiPriority w:val="0"/>
    <w:rPr>
      <w:rFonts w:ascii="Times New Roman" w:hAnsi="Times New Roman" w:eastAsia="宋体" w:cs="Times New Roman"/>
      <w:i/>
    </w:rPr>
  </w:style>
  <w:style w:type="character" w:styleId="33">
    <w:name w:val="Hyperlink"/>
    <w:basedOn w:val="29"/>
    <w:qFormat/>
    <w:uiPriority w:val="99"/>
    <w:rPr>
      <w:rFonts w:ascii="Times New Roman" w:hAnsi="Times New Roman" w:eastAsia="宋体" w:cs="Times New Roman"/>
      <w:color w:val="0000FF"/>
      <w:u w:val="single"/>
    </w:rPr>
  </w:style>
  <w:style w:type="character" w:styleId="34">
    <w:name w:val="footnote reference"/>
    <w:basedOn w:val="29"/>
    <w:qFormat/>
    <w:uiPriority w:val="0"/>
    <w:rPr>
      <w:rFonts w:ascii="Times New Roman" w:hAnsi="Times New Roman" w:eastAsia="宋体" w:cs="Times New Roman"/>
      <w:vertAlign w:val="superscript"/>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列表段落1"/>
    <w:basedOn w:val="1"/>
    <w:qFormat/>
    <w:uiPriority w:val="0"/>
    <w:pPr>
      <w:ind w:firstLine="200"/>
    </w:pPr>
    <w:rPr>
      <w:rFonts w:ascii="Times New Roman" w:hAnsi="Times New Roman" w:eastAsia="宋体"/>
    </w:rPr>
  </w:style>
  <w:style w:type="paragraph" w:customStyle="1" w:styleId="37">
    <w:name w:val="正文文本缩进1"/>
    <w:basedOn w:val="1"/>
    <w:qFormat/>
    <w:uiPriority w:val="0"/>
    <w:pPr>
      <w:spacing w:line="150" w:lineRule="atLeast"/>
      <w:textAlignment w:val="baseline"/>
    </w:pPr>
    <w:rPr>
      <w:rFonts w:ascii="Times New Roman" w:hAnsi="Times New Roman" w:eastAsia="宋体"/>
    </w:rPr>
  </w:style>
  <w:style w:type="paragraph" w:customStyle="1" w:styleId="38">
    <w:name w:val="正文首行缩进 21"/>
    <w:basedOn w:val="37"/>
    <w:qFormat/>
    <w:uiPriority w:val="0"/>
    <w:pPr>
      <w:spacing w:line="360" w:lineRule="auto"/>
    </w:pPr>
    <w:rPr>
      <w:sz w:val="24"/>
    </w:rPr>
  </w:style>
  <w:style w:type="paragraph" w:customStyle="1" w:styleId="39">
    <w:name w:val="表格字体"/>
    <w:qFormat/>
    <w:uiPriority w:val="0"/>
    <w:pPr>
      <w:widowControl w:val="0"/>
      <w:spacing w:line="420" w:lineRule="exact"/>
      <w:jc w:val="both"/>
    </w:pPr>
    <w:rPr>
      <w:rFonts w:ascii="Calibri" w:hAnsi="Calibri" w:eastAsia="宋体" w:cs="Times New Roman"/>
      <w:kern w:val="2"/>
      <w:sz w:val="28"/>
      <w:szCs w:val="24"/>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_Style 5"/>
    <w:basedOn w:val="1"/>
    <w:qFormat/>
    <w:uiPriority w:val="0"/>
    <w:pPr>
      <w:ind w:firstLine="200"/>
    </w:pPr>
    <w:rPr>
      <w:rFonts w:ascii="Times New Roman" w:hAnsi="Times New Roman" w:eastAsia="宋体" w:cs="黑体"/>
      <w:sz w:val="24"/>
      <w:szCs w:val="22"/>
    </w:rPr>
  </w:style>
  <w:style w:type="character" w:customStyle="1" w:styleId="42">
    <w:name w:val="标题 1 Char"/>
    <w:link w:val="3"/>
    <w:qFormat/>
    <w:uiPriority w:val="0"/>
    <w:rPr>
      <w:rFonts w:ascii="Times New Roman" w:hAnsi="Times New Roman" w:eastAsia="方正小标宋简体" w:cs="Times New Roman"/>
      <w:b/>
      <w:kern w:val="44"/>
      <w:sz w:val="36"/>
    </w:rPr>
  </w:style>
  <w:style w:type="character" w:customStyle="1" w:styleId="43">
    <w:name w:val="标题 2 Char"/>
    <w:link w:val="4"/>
    <w:qFormat/>
    <w:uiPriority w:val="0"/>
    <w:rPr>
      <w:rFonts w:ascii="Arial" w:hAnsi="Arial" w:eastAsia="黑体" w:cs="Times New Roman"/>
      <w:b/>
      <w:sz w:val="32"/>
    </w:rPr>
  </w:style>
  <w:style w:type="character" w:customStyle="1" w:styleId="44">
    <w:name w:val="标题 3 Char"/>
    <w:link w:val="5"/>
    <w:qFormat/>
    <w:uiPriority w:val="0"/>
    <w:rPr>
      <w:rFonts w:ascii="Times New Roman" w:hAnsi="Times New Roman" w:eastAsia="楷体"/>
      <w:b/>
    </w:rPr>
  </w:style>
  <w:style w:type="character" w:customStyle="1" w:styleId="45">
    <w:name w:val="批注框文本 Char"/>
    <w:basedOn w:val="29"/>
    <w:link w:val="16"/>
    <w:qFormat/>
    <w:uiPriority w:val="0"/>
    <w:rPr>
      <w:rFonts w:ascii="Calibri" w:hAnsi="Calibri" w:eastAsia="仿宋_GB2312"/>
      <w:kern w:val="2"/>
      <w:sz w:val="18"/>
      <w:szCs w:val="18"/>
    </w:rPr>
  </w:style>
  <w:style w:type="character" w:customStyle="1" w:styleId="46">
    <w:name w:val="Unresolved Mention"/>
    <w:basedOn w:val="29"/>
    <w:unhideWhenUsed/>
    <w:qFormat/>
    <w:uiPriority w:val="99"/>
    <w:rPr>
      <w:color w:val="605E5C"/>
      <w:shd w:val="clear" w:color="auto" w:fill="E1DFDD"/>
    </w:rPr>
  </w:style>
  <w:style w:type="character" w:customStyle="1" w:styleId="47">
    <w:name w:val="bjh-p"/>
    <w:basedOn w:val="29"/>
    <w:qFormat/>
    <w:uiPriority w:val="0"/>
  </w:style>
  <w:style w:type="character" w:customStyle="1" w:styleId="48">
    <w:name w:val="img_bg_cover"/>
    <w:basedOn w:val="29"/>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25544</Words>
  <Characters>26123</Characters>
  <Lines>242</Lines>
  <Paragraphs>68</Paragraphs>
  <TotalTime>0</TotalTime>
  <ScaleCrop>false</ScaleCrop>
  <LinksUpToDate>false</LinksUpToDate>
  <CharactersWithSpaces>26508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2021-03-17T09:41:00Z</dcterms:created>
  <dc:creator>小明</dc:creator>
  <cp:lastModifiedBy>Administrator</cp:lastModifiedBy>
  <cp:lastPrinted>2021-10-26T02:38:00Z</cp:lastPrinted>
  <dcterms:modified xsi:type="dcterms:W3CDTF">2021-11-01T01:47:05Z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CBDA02DDB2CC482AA6B621DB5A77EF85</vt:lpwstr>
  </property>
</Properties>
</file>