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－202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政策性农村住房保险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为充分发挥财政保费补贴的引导作用，创新政府防灾减灾救灾模式，进一步增强农村地区综合抗灾能力，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根据《广东省地方金融监督管理局关于印发2022－2024年广东省政策性农村住房保险实施方案的通知》精神，结合汕尾实际，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  <w:u w:val="none"/>
        </w:rPr>
        <w:t>20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u w:val="none"/>
        </w:rPr>
        <w:t>－202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none"/>
        </w:rPr>
        <w:t>年政策性农村住房保险（以下简称农房险）工作制定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u w:val="none"/>
        </w:rPr>
        <w:t>实施方案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ind w:left="640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以习近平新时代中国特色社会主义思想为指导，全面贯彻党的十九大和十九届二中、三中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四中、五中</w:t>
      </w:r>
      <w:r>
        <w:rPr>
          <w:rFonts w:hint="eastAsia" w:ascii="仿宋" w:hAnsi="仿宋" w:eastAsia="仿宋" w:cs="仿宋"/>
          <w:sz w:val="32"/>
          <w:szCs w:val="32"/>
          <w:u w:val="none"/>
        </w:rPr>
        <w:t>全会精神，深入贯彻习近平总书记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七一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u w:val="none"/>
        </w:rPr>
        <w:t>重要讲话精神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以及对广东系列重要讲话和重要指示批示精神，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以服务“三农”、保障民生为宗旨，加强农村防灾减灾救灾体系建设，建立由政府、民众、保险公司共同参与的农村住房风险分担机制，提升农村住房抵御风险和灾后重建能力，保障农村地区人民群众财产安全。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二、基本原则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（一）政府引导。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市政策性农村住房保险是我市民生实事之一，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u w:val="none"/>
        </w:rPr>
        <w:t>要充分发挥引导和组织推动作用，加强对农房保险工作的领导，加强制度建设，积极宣传推广，强化监督检查，为农房保险创造良好的发展环境。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（二）市场运作。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充分发挥市场配置资源的决定性作用，通过公开招标等方式引入保险公司进行市场化经营管理，承担理赔责任风险，通过市场竞争提升保险服务水平。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（三）自主自愿。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充分尊重个人意愿，确保个人参保的自主选择权、知情权和自主投保权。通过政策引导、保费补贴、理赔服务和参保受益实例宣传等方式调动参保积极性。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（四）协同推进。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  <w:u w:val="none"/>
        </w:rPr>
        <w:t>有关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u w:val="none"/>
        </w:rPr>
        <w:t>按照职责分工，积极稳妥地推进农房保险工作，健全完善工作机制，确保将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u w:val="none"/>
        </w:rPr>
        <w:t>委、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u w:val="none"/>
        </w:rPr>
        <w:t>政府支农惠民政策落到实处。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</w:rPr>
        <w:t>三、实施内容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21"/>
          <w:u w:val="non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（一）被保险人及保险标的。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被保险人为全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u w:val="none"/>
        </w:rPr>
        <w:t>范围内具有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汕尾市</w:t>
      </w:r>
      <w:r>
        <w:rPr>
          <w:rFonts w:hint="eastAsia" w:ascii="仿宋" w:hAnsi="仿宋" w:eastAsia="仿宋" w:cs="仿宋"/>
          <w:sz w:val="32"/>
          <w:szCs w:val="32"/>
          <w:u w:val="none"/>
        </w:rPr>
        <w:t>农业户籍的常住农户、拥有农村土地承包经营权或宅基地使用权的所有居民（以下统称农户）。保险标的是被保险人自有的，用于生活居住的房屋和室内财产。</w:t>
      </w:r>
      <w:r>
        <w:rPr>
          <w:rFonts w:hint="eastAsia" w:ascii="仿宋" w:hAnsi="仿宋" w:eastAsia="仿宋" w:cs="仿宋"/>
          <w:sz w:val="32"/>
          <w:szCs w:val="21"/>
          <w:u w:val="none"/>
        </w:rPr>
        <w:t>一户有多处房屋的，仅限投保一处常住房屋。</w:t>
      </w:r>
    </w:p>
    <w:p>
      <w:pPr>
        <w:ind w:firstLine="640" w:firstLineChars="200"/>
        <w:rPr>
          <w:rFonts w:hint="eastAsia" w:ascii="仿宋" w:hAnsi="仿宋" w:eastAsia="仿宋" w:cs="仿宋"/>
          <w:color w:val="0842B8"/>
          <w:sz w:val="32"/>
          <w:szCs w:val="21"/>
          <w:u w:val="single"/>
        </w:rPr>
      </w:pPr>
      <w:r>
        <w:rPr>
          <w:rFonts w:hint="eastAsia" w:ascii="楷体" w:hAnsi="楷体" w:eastAsia="楷体" w:cs="楷体"/>
          <w:sz w:val="32"/>
          <w:szCs w:val="32"/>
          <w:u w:val="none"/>
        </w:rPr>
        <w:t>（二）保险金额。</w:t>
      </w:r>
      <w:r>
        <w:rPr>
          <w:rFonts w:hint="eastAsia" w:ascii="仿宋" w:hAnsi="仿宋" w:eastAsia="仿宋" w:cs="仿宋"/>
          <w:sz w:val="32"/>
          <w:szCs w:val="21"/>
          <w:u w:val="none"/>
        </w:rPr>
        <w:t>每户每年保险金额为</w:t>
      </w:r>
      <w:r>
        <w:rPr>
          <w:rFonts w:hint="eastAsia" w:ascii="仿宋" w:hAnsi="仿宋" w:eastAsia="仿宋" w:cs="仿宋"/>
          <w:sz w:val="32"/>
          <w:szCs w:val="21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21"/>
          <w:u w:val="none"/>
        </w:rPr>
        <w:t>0000元。其中，因自然灾害及意外事故导致房屋损失</w:t>
      </w:r>
      <w:r>
        <w:rPr>
          <w:rFonts w:hint="eastAsia" w:ascii="仿宋" w:hAnsi="仿宋" w:eastAsia="仿宋" w:cs="仿宋"/>
          <w:sz w:val="32"/>
          <w:szCs w:val="21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21"/>
          <w:u w:val="none"/>
          <w:lang w:val="en-US" w:eastAsia="zh-CN"/>
        </w:rPr>
        <w:t>按照农房建筑结构类型分为一类结构房屋保险金额8</w:t>
      </w:r>
      <w:r>
        <w:rPr>
          <w:rFonts w:hint="eastAsia" w:ascii="仿宋" w:hAnsi="仿宋" w:eastAsia="仿宋" w:cs="仿宋"/>
          <w:sz w:val="32"/>
          <w:szCs w:val="21"/>
          <w:u w:val="none"/>
        </w:rPr>
        <w:t>0000元，</w:t>
      </w:r>
      <w:r>
        <w:rPr>
          <w:rFonts w:hint="eastAsia" w:ascii="仿宋" w:hAnsi="仿宋" w:eastAsia="仿宋" w:cs="仿宋"/>
          <w:sz w:val="32"/>
          <w:szCs w:val="21"/>
          <w:u w:val="none"/>
          <w:lang w:val="en-US" w:eastAsia="zh-CN"/>
        </w:rPr>
        <w:t>二类结构房屋保险金额50000元；室内财产损失13000元；因盗抢责任导致房屋及室内财产损失1</w:t>
      </w:r>
      <w:r>
        <w:rPr>
          <w:rFonts w:hint="eastAsia" w:ascii="仿宋" w:hAnsi="仿宋" w:eastAsia="仿宋" w:cs="仿宋"/>
          <w:sz w:val="32"/>
          <w:szCs w:val="21"/>
          <w:u w:val="none"/>
        </w:rPr>
        <w:t>3000元;按照房屋倒塌或损毁核定赔偿金额的4%计算给予受灾农户清理残骸费用，最高赔付2000元；对房屋达到Ⅱ级和Ⅲ级倒塌或损毁的农户，给予最高不超过2000元的临时租房费用。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21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21"/>
          <w:u w:val="none"/>
        </w:rPr>
        <w:t>（三）保费及财政补助办法。</w:t>
      </w:r>
      <w:r>
        <w:rPr>
          <w:rFonts w:hint="eastAsia" w:ascii="仿宋" w:hAnsi="仿宋" w:eastAsia="仿宋" w:cs="仿宋"/>
          <w:color w:val="auto"/>
          <w:sz w:val="32"/>
          <w:szCs w:val="21"/>
          <w:u w:val="none"/>
          <w:lang w:val="en-US"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2022－2024年广东省政策性农村住房保险实施方案</w:t>
      </w:r>
      <w:r>
        <w:rPr>
          <w:rFonts w:hint="eastAsia" w:ascii="仿宋" w:hAnsi="仿宋" w:eastAsia="仿宋" w:cs="仿宋"/>
          <w:color w:val="auto"/>
          <w:sz w:val="32"/>
          <w:szCs w:val="21"/>
          <w:u w:val="none"/>
          <w:lang w:val="en-US" w:eastAsia="zh-CN"/>
        </w:rPr>
        <w:t>》要求，</w:t>
      </w:r>
      <w:r>
        <w:rPr>
          <w:rFonts w:hint="eastAsia" w:ascii="仿宋" w:hAnsi="仿宋" w:eastAsia="仿宋" w:cs="仿宋"/>
          <w:color w:val="auto"/>
          <w:sz w:val="32"/>
          <w:szCs w:val="21"/>
          <w:u w:val="none"/>
        </w:rPr>
        <w:t>按照实际参保的农户数与承保机构结算保费补助资金，农户不参保的，政府不予补助。具体要求如下：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</w:rPr>
        <w:t>汕尾市按照基本保险金额</w:t>
      </w:r>
      <w:r>
        <w:rPr>
          <w:rFonts w:hint="eastAsia" w:ascii="仿宋" w:hAnsi="仿宋" w:eastAsia="仿宋" w:cs="仿宋"/>
          <w:sz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</w:rPr>
        <w:t>0000元投保的每年每户保费</w:t>
      </w:r>
      <w:r>
        <w:rPr>
          <w:rFonts w:hint="eastAsia" w:ascii="仿宋" w:hAnsi="仿宋" w:eastAsia="仿宋" w:cs="仿宋"/>
          <w:sz w:val="32"/>
          <w:lang w:val="en-US" w:eastAsia="zh-CN"/>
        </w:rPr>
        <w:t>不高于</w:t>
      </w:r>
      <w:r>
        <w:rPr>
          <w:rFonts w:hint="eastAsia" w:ascii="仿宋" w:hAnsi="仿宋" w:eastAsia="仿宋" w:cs="仿宋"/>
          <w:color w:val="000000"/>
          <w:sz w:val="32"/>
        </w:rPr>
        <w:t>8.3</w:t>
      </w:r>
      <w:r>
        <w:rPr>
          <w:rFonts w:hint="eastAsia" w:ascii="仿宋" w:hAnsi="仿宋" w:eastAsia="仿宋" w:cs="仿宋"/>
          <w:sz w:val="32"/>
        </w:rPr>
        <w:t>元，其中，省</w:t>
      </w:r>
      <w:r>
        <w:rPr>
          <w:rFonts w:hint="eastAsia" w:ascii="仿宋" w:hAnsi="仿宋" w:eastAsia="仿宋" w:cs="仿宋"/>
          <w:sz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</w:rPr>
        <w:t>财政</w:t>
      </w:r>
      <w:r>
        <w:rPr>
          <w:rFonts w:hint="eastAsia" w:ascii="仿宋" w:hAnsi="仿宋" w:eastAsia="仿宋" w:cs="仿宋"/>
          <w:sz w:val="32"/>
          <w:lang w:val="en-US" w:eastAsia="zh-CN"/>
        </w:rPr>
        <w:t>承担</w:t>
      </w:r>
      <w:r>
        <w:rPr>
          <w:rFonts w:hint="eastAsia" w:ascii="仿宋" w:hAnsi="仿宋" w:eastAsia="仿宋" w:cs="仿宋"/>
          <w:sz w:val="32"/>
        </w:rPr>
        <w:t>4元，</w:t>
      </w:r>
      <w:r>
        <w:rPr>
          <w:rFonts w:hint="eastAsia" w:ascii="仿宋" w:hAnsi="仿宋" w:eastAsia="仿宋" w:cs="仿宋"/>
          <w:sz w:val="32"/>
          <w:highlight w:val="none"/>
        </w:rPr>
        <w:t>市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级财政承担1.15元，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县级</w:t>
      </w:r>
      <w:r>
        <w:rPr>
          <w:rFonts w:hint="eastAsia" w:ascii="仿宋" w:hAnsi="仿宋" w:eastAsia="仿宋" w:cs="仿宋"/>
          <w:sz w:val="32"/>
          <w:highlight w:val="none"/>
        </w:rPr>
        <w:t>财政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承担1</w:t>
      </w:r>
      <w:r>
        <w:rPr>
          <w:rFonts w:hint="eastAsia" w:ascii="仿宋" w:hAnsi="仿宋" w:eastAsia="仿宋" w:cs="仿宋"/>
          <w:sz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农户</w:t>
      </w:r>
      <w:r>
        <w:rPr>
          <w:rFonts w:hint="eastAsia" w:ascii="仿宋" w:hAnsi="仿宋" w:eastAsia="仿宋" w:cs="仿宋"/>
          <w:sz w:val="32"/>
          <w:lang w:val="en-US" w:eastAsia="zh-CN"/>
        </w:rPr>
        <w:t>承担</w:t>
      </w:r>
      <w:r>
        <w:rPr>
          <w:rFonts w:hint="eastAsia" w:ascii="仿宋" w:hAnsi="仿宋" w:eastAsia="仿宋" w:cs="仿宋"/>
          <w:sz w:val="32"/>
        </w:rPr>
        <w:t>2元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建议有条件的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县级</w:t>
      </w:r>
      <w:r>
        <w:rPr>
          <w:rFonts w:hint="eastAsia" w:ascii="仿宋" w:hAnsi="仿宋" w:eastAsia="仿宋" w:cs="仿宋"/>
          <w:sz w:val="32"/>
          <w:lang w:val="en-US" w:eastAsia="zh-CN"/>
        </w:rPr>
        <w:t>财政对农户承担的保费给予全额补助。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（四）承保机构的选择。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市政府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授权市金融局对全市政策性农房保险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采取公开招标方式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确定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承保机构，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严格按照政府采购相关文件执行。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本次招标承保周期为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2022－2024年，共3年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。参与招标的保险公司应符合相关监管规定，偿付能力充足，并有完善的基层服务网络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市金融局按省有关要求完成招标工作。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确定承保机构后，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由市金融局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与承保机构签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为期3年的承保协议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，并将承保协议报省地方金融监管局备案。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（五）健全完善基层协保体系。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县（市、区）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要健全完善基层协保体系，培训一批熟悉农房、服务农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的协保员，协助做好参保、查勘、理赔等工作。按照保险合同以及承保机构与政府之间有关协定，承保机构按农房保险保费收入的5%标准列支协保工作经费，主要用于协保机构（指按照承保机构的委托协助办理农房保险宣传、承保、理赔等业务的基层协保站点）和经办协保员开展工作，不得用于政府部门日常运行；其中，支付协保员劳务费原则上不得少于70%，其余作为协保机构日常运行费用。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县（市、区）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、镇级政府根据工作实际需要和财力情况可适当安排工作经费，用于推广宣传农房保险工作。</w:t>
      </w: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/>
          <w:color w:val="auto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  <w:u w:val="none"/>
        </w:rPr>
        <w:t>、保障措施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（一）加强组织领导。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各地、各有关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要高度重视，精心组织，加强协作，不断完善工作机制。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市金融局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牵头负责推进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农房保险工作，及时协调解决工作中遇到的新情况新问题；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市财政局、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农业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农村局、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民政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汕尾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银保监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分局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等部门要积极予以配合。各县（市、区）要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确保兑付承担的保费，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组织好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当地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有关部门和行政村，协助承保机构做好农户信息核实、办理投保手续、农房查勘定损和发放理赔款项等工作，及时调解争议纠纷。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强化督导检查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市金融局将会同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市财政局、农业农村局、应急管理局、汕尾银保监分局等部门，根据工作需要，适时对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各县（市、区）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开展农房险工作调研，加强业务交流，充分学习吸收和借鉴有益经验，及时掌握全市农房险动态，调整完善相关配套措施，解决农房险实施中存在的问题。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加大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宣传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力度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各县（市、区）和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承保机构要充分利用各种媒体，广泛宣传开展农房保险工作的重要意义和具体政策措施，向农户宣传普及农房保险知识，明确告知保险责任范围、补贴政策、赔偿标准等内容，增强广大农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的参保意识，提高参保积极性，全力营造有利于开展农房保险工作的环境氛围。</w:t>
      </w:r>
    </w:p>
    <w:p>
      <w:r>
        <w:rPr>
          <w:rFonts w:hint="eastAsia" w:ascii="仿宋" w:hAnsi="仿宋" w:eastAsia="仿宋" w:cs="仿宋"/>
          <w:snapToGrid/>
          <w:color w:val="auto"/>
          <w:sz w:val="32"/>
          <w:szCs w:val="32"/>
          <w:u w:val="none"/>
          <w:lang w:val="en-US" w:eastAsia="zh-CN"/>
        </w:rPr>
        <w:t xml:space="preserve">    本方案自印发之日起实施，至2024年12月31日止。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A606F"/>
    <w:rsid w:val="05200707"/>
    <w:rsid w:val="1275563F"/>
    <w:rsid w:val="35C26645"/>
    <w:rsid w:val="362E7EC2"/>
    <w:rsid w:val="571E7EF9"/>
    <w:rsid w:val="6D927F73"/>
    <w:rsid w:val="7A886F0F"/>
    <w:rsid w:val="7CDA606F"/>
    <w:rsid w:val="7E6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 Char"/>
    <w:basedOn w:val="1"/>
    <w:link w:val="5"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2021-10-20T09:10:00Z</dcterms:created>
  <dc:creator>wzc</dc:creator>
  <cp:lastModifiedBy>wzc</cp:lastModifiedBy>
  <dcterms:modified xsi:type="dcterms:W3CDTF">2021-10-21T01:49:45Z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