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autoSpaceDN w:val="0"/>
        <w:spacing w:line="360" w:lineRule="auto"/>
        <w:ind w:right="105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2021年度汕尾市知识产权强企培育项目形式审查结果与资金分配方案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</w:t>
      </w:r>
      <w:r>
        <w:rPr>
          <w:rFonts w:hint="eastAsia" w:ascii="黑体" w:hAnsi="黑体" w:eastAsia="黑体" w:cs="仿宋"/>
          <w:sz w:val="28"/>
          <w:szCs w:val="28"/>
        </w:rPr>
        <w:t>单位：万元</w:t>
      </w:r>
    </w:p>
    <w:tbl>
      <w:tblPr>
        <w:tblStyle w:val="2"/>
        <w:tblW w:w="10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858"/>
        <w:gridCol w:w="2235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tblHeader/>
          <w:jc w:val="center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承担单位名称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形式审查结果</w:t>
            </w:r>
          </w:p>
        </w:tc>
        <w:tc>
          <w:tcPr>
            <w:tcW w:w="23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"/>
                <w:b/>
                <w:color w:val="000000"/>
                <w:kern w:val="0"/>
                <w:sz w:val="28"/>
                <w:szCs w:val="28"/>
                <w:lang w:bidi="ar"/>
              </w:rPr>
              <w:t>拟补助金额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81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广东军铠防护科技有限公司、汕尾创联专利代理事务所（普通合伙）</w:t>
            </w:r>
          </w:p>
        </w:tc>
        <w:tc>
          <w:tcPr>
            <w:tcW w:w="22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通过审查</w:t>
            </w:r>
          </w:p>
        </w:tc>
        <w:tc>
          <w:tcPr>
            <w:tcW w:w="2387" w:type="dxa"/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5236A"/>
    <w:rsid w:val="020330CC"/>
    <w:rsid w:val="149A555A"/>
    <w:rsid w:val="1C35236A"/>
    <w:rsid w:val="1EEF61B5"/>
    <w:rsid w:val="22B24855"/>
    <w:rsid w:val="2A2E7EE1"/>
    <w:rsid w:val="43B84B33"/>
    <w:rsid w:val="70514D10"/>
    <w:rsid w:val="72514F0C"/>
    <w:rsid w:val="77D87708"/>
    <w:rsid w:val="7A1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2020-04-13T08:41:00Z</dcterms:created>
  <dc:creator>汪颖</dc:creator>
  <cp:lastModifiedBy>Administrator</cp:lastModifiedBy>
  <dcterms:modified xsi:type="dcterms:W3CDTF">2021-10-22T09:11:38Z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