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31</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6661"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35"/>
              <w:framePr w:w="0" w:hRule="auto" w:wrap="auto" w:vAnchor="margin" w:hAnchor="text" w:xAlign="left" w:yAlign="inline"/>
              <w:rPr>
                <w:rFonts w:ascii="宋体" w:hAnsi="宋体"/>
                <w:sz w:val="28"/>
                <w:szCs w:val="28"/>
              </w:rPr>
            </w:pPr>
            <w:bookmarkStart w:id="2" w:name="_Hlk26473981"/>
            <w:r>
              <w:drawing>
                <wp:inline distT="0" distB="0" distL="114300" distR="114300">
                  <wp:extent cx="796290" cy="391795"/>
                  <wp:effectExtent l="0" t="0" r="3810"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lum/>
                          </a:blip>
                          <a:stretch>
                            <a:fillRect/>
                          </a:stretch>
                        </pic:blipFill>
                        <pic:spPr>
                          <a:xfrm>
                            <a:off x="0" y="0"/>
                            <a:ext cx="796290" cy="391795"/>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4415</w:t>
            </w:r>
            <w:r>
              <w:fldChar w:fldCharType="end"/>
            </w:r>
            <w:bookmarkEnd w:id="3"/>
          </w:p>
        </w:tc>
      </w:tr>
    </w:tbl>
    <w:p>
      <w:pPr>
        <w:pStyle w:val="36"/>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汕尾市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71"/>
        <w:framePr w:wrap="around"/>
      </w:pPr>
      <w:r>
        <w:t>DB</w:t>
      </w:r>
      <w:r>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t>44</w:t>
      </w:r>
      <w:r>
        <w:rPr>
          <w:rFonts w:hint="eastAsia"/>
        </w:rPr>
        <w:t>15/T</w:t>
      </w:r>
      <w:r>
        <w:fldChar w:fldCharType="end"/>
      </w:r>
      <w:bookmarkEnd w:id="5"/>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rPr>
          <w:rFonts w:hint="eastAsia"/>
        </w:rPr>
        <w:t>6</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2021</w:t>
      </w:r>
      <w:r>
        <w:fldChar w:fldCharType="end"/>
      </w:r>
      <w:bookmarkEnd w:id="7"/>
    </w:p>
    <w:p>
      <w:pPr>
        <w:pStyle w:val="172"/>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05pt;width:481.9pt;mso-position-horizontal-relative:page;mso-position-vertical-relative:page;z-index:251659264;mso-width-relative:page;mso-height-relative:page;" coordsize="21600,21600" o:allowoverlap="f" o:gfxdata="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wId9zYAAAADAEAAA8AAAAAAAAAAQAgAAAAIgAAAGRycy9kb3ducmV2LnhtbFBL&#10;AQIUABQAAAAIAIdO4kCp81JG9gEAAOcDAAAOAAAAAAAAAAEAIAAAACcBAABkcnMvZTJvRG9jLnht&#10;bFBLBQYAAAAABgAGAFkBAACPBQAAAAA=&#10;">
            <v:path arrowok="t"/>
            <v:fill focussize="0,0"/>
            <v:stroke/>
            <v:imagedata o:title=""/>
            <o:lock v:ext="edit"/>
          </v:line>
        </w:pict>
      </w:r>
    </w:p>
    <w:p>
      <w:pPr>
        <w:pStyle w:val="36"/>
        <w:framePr w:w="9639" w:h="6976" w:hRule="exact" w:hSpace="0" w:vSpace="0" w:wrap="around" w:hAnchor="page" w:y="6408"/>
        <w:jc w:val="center"/>
        <w:rPr>
          <w:rFonts w:ascii="黑体" w:hAnsi="黑体" w:eastAsia="黑体"/>
          <w:b w:val="0"/>
          <w:bCs w:val="0"/>
          <w:w w:val="100"/>
        </w:rPr>
      </w:pPr>
    </w:p>
    <w:p>
      <w:pPr>
        <w:pStyle w:val="173"/>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 xml:space="preserve">地理标志产品  </w:t>
      </w:r>
      <w:r>
        <w:rPr>
          <w:rFonts w:hint="eastAsia"/>
        </w:rPr>
        <w:t>虎噉金针菜</w:t>
      </w:r>
      <w:r>
        <w:fldChar w:fldCharType="end"/>
      </w:r>
      <w:bookmarkEnd w:id="9"/>
    </w:p>
    <w:p>
      <w:pPr>
        <w:framePr w:w="9639" w:h="6974" w:hRule="exact" w:wrap="around" w:vAnchor="page" w:hAnchor="page" w:x="1419" w:y="6408" w:anchorLock="1"/>
        <w:ind w:left="-1418"/>
      </w:pPr>
    </w:p>
    <w:p>
      <w:pPr>
        <w:pStyle w:val="10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Product of geographical indication -Hudan daylily</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06"/>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pPr>
        <w:pStyle w:val="10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0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06"/>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69"/>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hint="eastAsia" w:ascii="黑体"/>
        </w:rPr>
        <w:t>2021</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hint="eastAsia" w:ascii="黑体"/>
        </w:rPr>
        <w:t>10</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hint="eastAsia" w:ascii="黑体"/>
        </w:rPr>
        <w:t>1</w:t>
      </w:r>
      <w:r>
        <w:rPr>
          <w:rFonts w:hint="eastAsia" w:ascii="黑体"/>
          <w:lang w:val="en-US" w:eastAsia="zh-CN"/>
        </w:rPr>
        <w:t>8</w:t>
      </w:r>
      <w:r>
        <w:rPr>
          <w:rFonts w:ascii="黑体"/>
        </w:rPr>
        <w:fldChar w:fldCharType="end"/>
      </w:r>
      <w:bookmarkEnd w:id="17"/>
      <w:r>
        <w:rPr>
          <w:rFonts w:hint="eastAsia"/>
        </w:rPr>
        <w:t>发布</w:t>
      </w:r>
    </w:p>
    <w:p>
      <w:pPr>
        <w:pStyle w:val="170"/>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hint="eastAsia" w:ascii="黑体"/>
        </w:rPr>
        <w:t>2021</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hint="eastAsia" w:ascii="黑体"/>
        </w:rPr>
        <w:t>1</w:t>
      </w:r>
      <w:r>
        <w:rPr>
          <w:rFonts w:hint="eastAsia" w:ascii="黑体"/>
          <w:lang w:val="en-US" w:eastAsia="zh-CN"/>
        </w:rPr>
        <w:t>1</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1</w:t>
      </w:r>
      <w:bookmarkStart w:id="97" w:name="_GoBack"/>
      <w:bookmarkEnd w:id="97"/>
      <w:r>
        <w:rPr>
          <w:rFonts w:ascii="黑体"/>
        </w:rPr>
        <w:fldChar w:fldCharType="end"/>
      </w:r>
      <w:bookmarkEnd w:id="20"/>
      <w:r>
        <w:rPr>
          <w:rFonts w:hint="eastAsia"/>
        </w:rPr>
        <w:t>实施</w:t>
      </w:r>
    </w:p>
    <w:p>
      <w:pPr>
        <w:pStyle w:val="130"/>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汕尾市市场监督管理局</w:t>
      </w:r>
      <w:r>
        <w:rPr>
          <w:rFonts w:hAnsi="黑体"/>
          <w:w w:val="100"/>
          <w:sz w:val="28"/>
        </w:rPr>
        <w:fldChar w:fldCharType="end"/>
      </w:r>
      <w:bookmarkEnd w:id="21"/>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720" w:num="1"/>
          <w:titlePg/>
          <w:docGrid w:linePitch="312" w:charSpace="0"/>
        </w:sectPr>
      </w:pPr>
      <w:r>
        <w:rPr>
          <w:rFonts w:ascii="宋体" w:hAnsi="宋体"/>
          <w:sz w:val="28"/>
          <w:szCs w:val="28"/>
        </w:rPr>
        <w:pict>
          <v:line id="直接连接符 5" o:spid="_x0000_s1027" o:spt="20" style="position:absolute;left:0pt;margin-left:70.85pt;margin-top:728.6pt;height:0.05pt;width:481.9pt;mso-position-horizontal-relative:page;mso-position-vertical-relative:page;z-index:251660288;mso-width-relative:page;mso-height-relative:page;" coordsize="21600,21600" o:gfxdata="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7P+LNkAAAAOAQAADwAAAAAAAAABACAAAAAiAAAAZHJzL2Rvd25yZXYueG1s&#10;UEsBAhQAFAAAAAgAh07iQFAo9pD3AQAA5gMAAA4AAAAAAAAAAQAgAAAAKAEAAGRycy9lMm9Eb2Mu&#10;eG1sUEsFBgAAAAAGAAYAWQEAAJEFAAAAAA==&#10;">
            <v:path arrowok="t"/>
            <v:fill focussize="0,0"/>
            <v:stroke/>
            <v:imagedata o:title=""/>
            <o:lock v:ext="edit"/>
            <w10:anchorlock/>
          </v:line>
        </w:pict>
      </w:r>
    </w:p>
    <w:p>
      <w:pPr>
        <w:pStyle w:val="73"/>
        <w:spacing w:after="468"/>
      </w:pPr>
      <w:bookmarkStart w:id="22" w:name="_Toc63413200"/>
      <w:bookmarkStart w:id="23" w:name="BookMark1"/>
      <w:r>
        <w:rPr>
          <w:spacing w:val="320"/>
        </w:rPr>
        <w:t>前</w:t>
      </w:r>
      <w:r>
        <w:t>言</w:t>
      </w:r>
      <w:bookmarkEnd w:id="22"/>
    </w:p>
    <w:p>
      <w:pPr>
        <w:pStyle w:val="230"/>
        <w:ind w:firstLine="420"/>
      </w:pPr>
      <w:r>
        <w:rPr>
          <w:rFonts w:hint="eastAsia"/>
        </w:rPr>
        <w:t>本文件按照GB/T 1.1—2020《标准化工作导则  第1部分：标准化文件的结构和起草规则》的规定起草</w:t>
      </w:r>
    </w:p>
    <w:p>
      <w:pPr>
        <w:pStyle w:val="230"/>
        <w:ind w:firstLine="420"/>
      </w:pPr>
      <w:r>
        <w:rPr>
          <w:rFonts w:hint="eastAsia"/>
        </w:rPr>
        <w:t>请注意本文件的某些内容可能涉及专利。本文件的发布机构不承担识别专利的责任。</w:t>
      </w:r>
    </w:p>
    <w:p>
      <w:pPr>
        <w:pStyle w:val="230"/>
        <w:ind w:firstLine="420"/>
      </w:pPr>
      <w:r>
        <w:rPr>
          <w:rFonts w:hint="eastAsia"/>
        </w:rPr>
        <w:t>本文件由汕尾市市场监督管理局提出并归口。</w:t>
      </w:r>
    </w:p>
    <w:p>
      <w:pPr>
        <w:pStyle w:val="230"/>
        <w:ind w:firstLine="420"/>
      </w:pPr>
      <w:r>
        <w:rPr>
          <w:rFonts w:hint="eastAsia"/>
        </w:rPr>
        <w:t>本文件起草单位：广东中荣农业有限公司、海丰县供销果蔬加工厂</w:t>
      </w:r>
      <w:bookmarkStart w:id="24" w:name="OLE_LINK4"/>
      <w:r>
        <w:rPr>
          <w:rFonts w:hint="eastAsia"/>
        </w:rPr>
        <w:t>、汕尾市农业科学院、海丰县中荣职业培训学校。</w:t>
      </w:r>
      <w:bookmarkEnd w:id="24"/>
    </w:p>
    <w:p>
      <w:pPr>
        <w:pStyle w:val="230"/>
        <w:ind w:firstLine="420"/>
      </w:pPr>
      <w:r>
        <w:rPr>
          <w:rFonts w:hint="eastAsia"/>
        </w:rPr>
        <w:t>本文件主要起草人：王天平、余少情、何浩、郭晓添、张景欣、郑伟青。</w:t>
      </w:r>
    </w:p>
    <w:p>
      <w:pPr>
        <w:pStyle w:val="230"/>
        <w:ind w:firstLine="420"/>
        <w:sectPr>
          <w:headerReference r:id="rId9" w:type="default"/>
          <w:footerReference r:id="rId11" w:type="default"/>
          <w:headerReference r:id="rId10" w:type="even"/>
          <w:pgSz w:w="11906" w:h="16838"/>
          <w:pgMar w:top="1871" w:right="1134" w:bottom="1134" w:left="1134" w:header="1418" w:footer="1134" w:gutter="284"/>
          <w:pgNumType w:fmt="upperRoman" w:start="1"/>
          <w:cols w:space="720" w:num="1"/>
          <w:formProt w:val="0"/>
          <w:docGrid w:type="lines" w:linePitch="312" w:charSpace="0"/>
        </w:sectPr>
      </w:pPr>
    </w:p>
    <w:bookmarkEnd w:id="23"/>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bookmarkEnd w:id="25"/>
    <w:p>
      <w:pPr>
        <w:pStyle w:val="156"/>
        <w:spacing w:beforeLines="182" w:afterLines="220"/>
      </w:pPr>
      <w:r>
        <w:rPr>
          <w:rFonts w:hint="eastAsia"/>
        </w:rPr>
        <w:t>地理标志产品</w:t>
      </w:r>
      <w:r>
        <w:t xml:space="preserve">  </w:t>
      </w:r>
      <w:r>
        <w:rPr>
          <w:rFonts w:hint="eastAsia"/>
        </w:rPr>
        <w:t>虎噉金针菜</w:t>
      </w:r>
    </w:p>
    <w:p>
      <w:pPr>
        <w:pStyle w:val="85"/>
        <w:spacing w:before="312" w:after="312"/>
      </w:pPr>
      <w:bookmarkStart w:id="26" w:name="_Toc17233325"/>
      <w:bookmarkStart w:id="27" w:name="_Toc54883662"/>
      <w:bookmarkStart w:id="28" w:name="_Toc26648465"/>
      <w:bookmarkStart w:id="29" w:name="_Toc26986530"/>
      <w:bookmarkStart w:id="30" w:name="_Toc17233333"/>
      <w:bookmarkStart w:id="31" w:name="_Toc54883705"/>
      <w:bookmarkStart w:id="32" w:name="_Toc26718930"/>
      <w:bookmarkStart w:id="33" w:name="_Toc26986771"/>
      <w:bookmarkStart w:id="34" w:name="_Toc24884218"/>
      <w:bookmarkStart w:id="35" w:name="_Toc24884211"/>
      <w:bookmarkStart w:id="36" w:name="_Toc54883693"/>
      <w:bookmarkStart w:id="37" w:name="_Toc63350156"/>
      <w:bookmarkStart w:id="38" w:name="_Toc63413201"/>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p>
    <w:p>
      <w:pPr>
        <w:pStyle w:val="230"/>
        <w:tabs>
          <w:tab w:val="center" w:pos="4201"/>
          <w:tab w:val="right" w:leader="dot" w:pos="9298"/>
        </w:tabs>
        <w:ind w:firstLine="420"/>
      </w:pPr>
      <w:bookmarkStart w:id="39" w:name="_Toc17233334"/>
      <w:bookmarkStart w:id="40" w:name="_Toc26648466"/>
      <w:bookmarkStart w:id="41" w:name="_Toc24884212"/>
      <w:bookmarkStart w:id="42" w:name="_Toc24884219"/>
      <w:bookmarkStart w:id="43" w:name="_Toc17233326"/>
      <w:r>
        <w:rPr>
          <w:rFonts w:hint="eastAsia"/>
        </w:rPr>
        <w:t xml:space="preserve">本文件规定了虎噉金针菜的地理标志产品保护范围、生产技术要求、收获、加工、质量要求、检验规则、标签、标志、包装、运输与贮存。 </w:t>
      </w:r>
    </w:p>
    <w:p>
      <w:pPr>
        <w:pStyle w:val="42"/>
        <w:ind w:firstLine="420"/>
      </w:pPr>
      <w:r>
        <w:rPr>
          <w:rFonts w:hint="eastAsia"/>
        </w:rPr>
        <w:t>本文件适用于原国家质量监督检验检疫总局2011年第14号公告批准保护的虎噉金针菜。</w:t>
      </w:r>
    </w:p>
    <w:p>
      <w:pPr>
        <w:pStyle w:val="85"/>
        <w:spacing w:before="312" w:after="312"/>
      </w:pPr>
      <w:bookmarkStart w:id="44" w:name="_Toc63350157"/>
      <w:bookmarkStart w:id="45" w:name="_Toc54883694"/>
      <w:bookmarkStart w:id="46" w:name="_Toc26718931"/>
      <w:bookmarkStart w:id="47" w:name="_Toc26986772"/>
      <w:bookmarkStart w:id="48" w:name="_Toc63413202"/>
      <w:bookmarkStart w:id="49" w:name="_Toc54883663"/>
      <w:bookmarkStart w:id="50" w:name="_Toc54883706"/>
      <w:bookmarkStart w:id="51" w:name="_Toc26986531"/>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p>
    <w:p>
      <w:pPr>
        <w:pStyle w:val="4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0"/>
        <w:tabs>
          <w:tab w:val="center" w:pos="4201"/>
          <w:tab w:val="right" w:leader="dot" w:pos="9298"/>
        </w:tabs>
        <w:ind w:firstLine="420"/>
      </w:pPr>
      <w:r>
        <w:rPr>
          <w:rFonts w:hint="eastAsia"/>
        </w:rPr>
        <w:t>GB/T 191　包装储运图示标志</w:t>
      </w:r>
    </w:p>
    <w:p>
      <w:pPr>
        <w:pStyle w:val="230"/>
        <w:tabs>
          <w:tab w:val="center" w:pos="4201"/>
          <w:tab w:val="right" w:leader="dot" w:pos="9298"/>
        </w:tabs>
        <w:ind w:firstLine="420"/>
      </w:pPr>
      <w:r>
        <w:rPr>
          <w:rFonts w:hint="eastAsia"/>
        </w:rPr>
        <w:t>GB 2762　食品安全国家标准 食品中污染物限量</w:t>
      </w:r>
    </w:p>
    <w:p>
      <w:pPr>
        <w:pStyle w:val="230"/>
        <w:tabs>
          <w:tab w:val="center" w:pos="4201"/>
          <w:tab w:val="right" w:leader="dot" w:pos="9298"/>
        </w:tabs>
        <w:ind w:firstLine="420"/>
      </w:pPr>
      <w:bookmarkStart w:id="52" w:name="OLE_LINK6"/>
      <w:r>
        <w:rPr>
          <w:rFonts w:hint="eastAsia"/>
        </w:rPr>
        <w:t>GB 2763　</w:t>
      </w:r>
      <w:r>
        <w:t>食品安全国家标准 食品中农药最大残留限量</w:t>
      </w:r>
    </w:p>
    <w:p>
      <w:pPr>
        <w:pStyle w:val="230"/>
        <w:tabs>
          <w:tab w:val="center" w:pos="4201"/>
          <w:tab w:val="right" w:leader="dot" w:pos="9298"/>
        </w:tabs>
        <w:ind w:firstLine="420"/>
      </w:pPr>
      <w:r>
        <w:rPr>
          <w:rFonts w:hint="eastAsia"/>
        </w:rPr>
        <w:t xml:space="preserve">GB </w:t>
      </w:r>
      <w:r>
        <w:rPr>
          <w:rFonts w:hint="eastAsia" w:hAnsi="宋体"/>
          <w:bCs/>
        </w:rPr>
        <w:t>28050</w:t>
      </w:r>
      <w:r>
        <w:rPr>
          <w:rFonts w:hint="eastAsia"/>
        </w:rPr>
        <w:t>　</w:t>
      </w:r>
      <w:r>
        <w:rPr>
          <w:rFonts w:hint="eastAsia" w:hAnsi="宋体"/>
          <w:bCs/>
        </w:rPr>
        <w:t>食品安全国家标准 预包装食品营养标签通则</w:t>
      </w:r>
    </w:p>
    <w:bookmarkEnd w:id="52"/>
    <w:p>
      <w:pPr>
        <w:pStyle w:val="230"/>
        <w:tabs>
          <w:tab w:val="center" w:pos="4201"/>
          <w:tab w:val="right" w:leader="dot" w:pos="9298"/>
        </w:tabs>
        <w:ind w:firstLine="420"/>
      </w:pPr>
      <w:r>
        <w:rPr>
          <w:rFonts w:hint="eastAsia"/>
        </w:rPr>
        <w:t>GB 5009.3　食品安全国家标准 食品中水分的测定</w:t>
      </w:r>
    </w:p>
    <w:p>
      <w:pPr>
        <w:pStyle w:val="230"/>
        <w:tabs>
          <w:tab w:val="center" w:pos="4201"/>
          <w:tab w:val="right" w:leader="dot" w:pos="9298"/>
        </w:tabs>
        <w:ind w:firstLine="420"/>
      </w:pPr>
      <w:bookmarkStart w:id="53" w:name="OLE_LINK1"/>
      <w:r>
        <w:rPr>
          <w:rFonts w:hint="eastAsia"/>
        </w:rPr>
        <w:t>GB/T 5009.10</w:t>
      </w:r>
      <w:bookmarkEnd w:id="53"/>
      <w:r>
        <w:rPr>
          <w:rFonts w:hint="eastAsia"/>
        </w:rPr>
        <w:t>　植物类食品中粗纤维的测定</w:t>
      </w:r>
    </w:p>
    <w:p>
      <w:pPr>
        <w:pStyle w:val="230"/>
        <w:tabs>
          <w:tab w:val="center" w:pos="4201"/>
          <w:tab w:val="right" w:leader="dot" w:pos="9298"/>
        </w:tabs>
        <w:ind w:firstLine="420"/>
      </w:pPr>
      <w:r>
        <w:rPr>
          <w:rFonts w:hint="eastAsia"/>
        </w:rPr>
        <w:t>GB 7718　食品安全国家标准 预包装食品标签通则</w:t>
      </w:r>
    </w:p>
    <w:p>
      <w:pPr>
        <w:pStyle w:val="230"/>
        <w:tabs>
          <w:tab w:val="center" w:pos="4201"/>
          <w:tab w:val="right" w:leader="dot" w:pos="9298"/>
        </w:tabs>
        <w:ind w:firstLine="420"/>
      </w:pPr>
      <w:r>
        <w:rPr>
          <w:rFonts w:hint="eastAsia"/>
        </w:rPr>
        <w:t>GB/T 17924　地理标志产品标准通用要求</w:t>
      </w:r>
    </w:p>
    <w:p>
      <w:pPr>
        <w:pStyle w:val="230"/>
        <w:tabs>
          <w:tab w:val="center" w:pos="4201"/>
          <w:tab w:val="right" w:leader="dot" w:pos="9298"/>
        </w:tabs>
        <w:ind w:firstLine="420"/>
      </w:pPr>
      <w:r>
        <w:rPr>
          <w:rFonts w:hint="eastAsia"/>
        </w:rPr>
        <w:t>JJF 1070　定量包装商品净含量计量检验规则</w:t>
      </w:r>
    </w:p>
    <w:p>
      <w:pPr>
        <w:pStyle w:val="230"/>
        <w:tabs>
          <w:tab w:val="center" w:pos="4201"/>
          <w:tab w:val="right" w:leader="dot" w:pos="9298"/>
        </w:tabs>
        <w:ind w:firstLine="420"/>
      </w:pPr>
      <w:r>
        <w:rPr>
          <w:rFonts w:hint="eastAsia"/>
        </w:rPr>
        <w:t>NY/T 896　绿色食品 产品抽样准则</w:t>
      </w:r>
    </w:p>
    <w:p>
      <w:pPr>
        <w:pStyle w:val="42"/>
        <w:ind w:firstLine="420"/>
      </w:pPr>
      <w:r>
        <w:rPr>
          <w:rFonts w:hint="eastAsia"/>
        </w:rPr>
        <w:t>国家质量监督检验检疫总局令（2005）第75号　定量包装商品计量监督管理办法</w:t>
      </w:r>
    </w:p>
    <w:p>
      <w:pPr>
        <w:pStyle w:val="85"/>
        <w:spacing w:before="312" w:after="312"/>
      </w:pPr>
      <w:bookmarkStart w:id="54" w:name="_Toc63350158"/>
      <w:bookmarkStart w:id="55" w:name="_Toc54883664"/>
      <w:bookmarkStart w:id="56" w:name="_Toc54883695"/>
      <w:bookmarkStart w:id="57" w:name="_Toc54883707"/>
      <w:bookmarkStart w:id="58" w:name="_Toc63413203"/>
      <w:r>
        <w:rPr>
          <w:rFonts w:hint="eastAsia"/>
          <w:szCs w:val="21"/>
        </w:rPr>
        <w:t>术语和定义</w:t>
      </w:r>
      <w:bookmarkEnd w:id="54"/>
      <w:bookmarkEnd w:id="55"/>
      <w:bookmarkEnd w:id="56"/>
      <w:bookmarkEnd w:id="57"/>
      <w:bookmarkEnd w:id="58"/>
    </w:p>
    <w:p>
      <w:pPr>
        <w:pStyle w:val="42"/>
        <w:ind w:firstLine="420"/>
      </w:pPr>
      <w:bookmarkStart w:id="59" w:name="_Toc26986532"/>
      <w:bookmarkEnd w:id="59"/>
      <w:r>
        <w:rPr>
          <w:rFonts w:hint="eastAsia"/>
        </w:rPr>
        <w:t>本文件没有需要界定的术语和定义</w:t>
      </w:r>
      <w:r>
        <w:t>。</w:t>
      </w:r>
    </w:p>
    <w:p>
      <w:pPr>
        <w:pStyle w:val="85"/>
        <w:spacing w:before="312" w:after="312"/>
      </w:pPr>
      <w:bookmarkStart w:id="60" w:name="_Toc54883665"/>
      <w:bookmarkStart w:id="61" w:name="_Toc54883708"/>
      <w:bookmarkStart w:id="62" w:name="_Toc63350159"/>
      <w:bookmarkStart w:id="63" w:name="_Toc63413204"/>
      <w:bookmarkStart w:id="64" w:name="_Toc54883696"/>
      <w:r>
        <w:rPr>
          <w:rFonts w:hint="eastAsia"/>
        </w:rPr>
        <w:t>地理标志产品保护范围</w:t>
      </w:r>
      <w:bookmarkEnd w:id="60"/>
      <w:bookmarkEnd w:id="61"/>
      <w:bookmarkEnd w:id="62"/>
      <w:bookmarkEnd w:id="63"/>
      <w:bookmarkEnd w:id="64"/>
    </w:p>
    <w:p>
      <w:pPr>
        <w:pStyle w:val="231"/>
        <w:spacing w:before="156" w:after="156"/>
        <w:ind w:firstLine="420" w:firstLineChars="200"/>
      </w:pPr>
      <w:r>
        <w:rPr>
          <w:rFonts w:hint="eastAsia" w:ascii="宋体" w:hAnsi="宋体" w:eastAsia="宋体" w:cs="宋体"/>
        </w:rPr>
        <w:t>虎噉金针菜地理标志产品保护范围为广东省海丰县虎噉村、下寨村、石山村、松林村、双河村、双圳村、双新村7个村现辖行政区域，即东经115°18′45″</w:t>
      </w:r>
      <w:r>
        <w:rPr>
          <w:rFonts w:hint="eastAsia" w:ascii="宋体" w:hAnsi="宋体" w:eastAsia="宋体" w:cs="宋体"/>
          <w:bCs/>
        </w:rPr>
        <w:t>～</w:t>
      </w:r>
      <w:r>
        <w:rPr>
          <w:rFonts w:hint="eastAsia" w:ascii="宋体" w:hAnsi="宋体" w:eastAsia="宋体" w:cs="宋体"/>
        </w:rPr>
        <w:t>115°23′30″,北纬23°5′00″</w:t>
      </w:r>
      <w:r>
        <w:rPr>
          <w:rFonts w:hint="eastAsia" w:ascii="宋体" w:hAnsi="宋体" w:eastAsia="宋体" w:cs="宋体"/>
          <w:bCs/>
        </w:rPr>
        <w:t>～</w:t>
      </w:r>
      <w:r>
        <w:rPr>
          <w:rFonts w:hint="eastAsia" w:ascii="宋体" w:hAnsi="宋体" w:eastAsia="宋体" w:cs="宋体"/>
        </w:rPr>
        <w:t>23°10′00″。见附录A。</w:t>
      </w:r>
    </w:p>
    <w:p>
      <w:pPr>
        <w:pStyle w:val="85"/>
        <w:spacing w:before="312" w:after="312"/>
      </w:pPr>
      <w:bookmarkStart w:id="65" w:name="_Toc54883698"/>
      <w:bookmarkStart w:id="66" w:name="_Toc63350160"/>
      <w:bookmarkStart w:id="67" w:name="_Toc63413205"/>
      <w:bookmarkStart w:id="68" w:name="_Toc54883669"/>
      <w:bookmarkStart w:id="69" w:name="_Toc54883710"/>
      <w:r>
        <w:rPr>
          <w:rFonts w:hint="eastAsia"/>
        </w:rPr>
        <w:t>生产技术</w:t>
      </w:r>
      <w:bookmarkEnd w:id="65"/>
      <w:bookmarkEnd w:id="66"/>
      <w:bookmarkEnd w:id="67"/>
      <w:bookmarkEnd w:id="68"/>
      <w:bookmarkEnd w:id="69"/>
      <w:r>
        <w:rPr>
          <w:rFonts w:hint="eastAsia"/>
        </w:rPr>
        <w:t>要求</w:t>
      </w:r>
    </w:p>
    <w:p>
      <w:pPr>
        <w:pStyle w:val="232"/>
        <w:spacing w:line="360" w:lineRule="auto"/>
        <w:rPr>
          <w:rFonts w:ascii="黑体" w:hAnsi="黑体" w:cs="黑体"/>
        </w:rPr>
      </w:pPr>
      <w:bookmarkStart w:id="70" w:name="_Toc63413206"/>
      <w:bookmarkStart w:id="71" w:name="_Toc54883699"/>
      <w:bookmarkStart w:id="72" w:name="_Toc63350161"/>
      <w:bookmarkStart w:id="73" w:name="_Toc54883672"/>
      <w:bookmarkStart w:id="74" w:name="_Toc54883711"/>
      <w:r>
        <w:rPr>
          <w:rFonts w:hint="eastAsia" w:ascii="黑体" w:hAnsi="黑体" w:cs="黑体"/>
        </w:rPr>
        <w:t>5.1 品种</w:t>
      </w:r>
    </w:p>
    <w:p>
      <w:pPr>
        <w:pStyle w:val="230"/>
        <w:tabs>
          <w:tab w:val="center" w:pos="4201"/>
          <w:tab w:val="right" w:leader="dot" w:pos="9298"/>
        </w:tabs>
        <w:ind w:firstLine="420"/>
        <w:rPr>
          <w:rFonts w:hAnsi="宋体"/>
        </w:rPr>
      </w:pPr>
      <w:r>
        <w:rPr>
          <w:rFonts w:hint="eastAsia" w:hAnsi="宋体"/>
        </w:rPr>
        <w:t>本地原生品种。</w:t>
      </w:r>
    </w:p>
    <w:p>
      <w:pPr>
        <w:pStyle w:val="232"/>
        <w:spacing w:line="360" w:lineRule="auto"/>
        <w:rPr>
          <w:rFonts w:ascii="黑体" w:hAnsi="黑体" w:cs="黑体"/>
        </w:rPr>
      </w:pPr>
      <w:r>
        <w:rPr>
          <w:rFonts w:hint="eastAsia" w:ascii="黑体" w:hAnsi="黑体" w:cs="黑体"/>
        </w:rPr>
        <w:t>5.2 立地条件</w:t>
      </w:r>
    </w:p>
    <w:p>
      <w:pPr>
        <w:widowControl/>
        <w:ind w:firstLine="420" w:firstLineChars="200"/>
        <w:jc w:val="left"/>
        <w:rPr>
          <w:rFonts w:ascii="宋体" w:hAnsi="宋体"/>
          <w:bCs/>
          <w:kern w:val="0"/>
        </w:rPr>
      </w:pPr>
      <w:r>
        <w:rPr>
          <w:rFonts w:ascii="宋体" w:hAnsi="宋体"/>
          <w:bCs/>
          <w:kern w:val="0"/>
        </w:rPr>
        <w:t>土壤类型为砂质土，土壤pH值5.0至6.0，土壤有机质含量≥1.5%，耕翻深度≥20cm。</w:t>
      </w:r>
    </w:p>
    <w:p>
      <w:pPr>
        <w:pStyle w:val="232"/>
        <w:spacing w:line="360" w:lineRule="auto"/>
        <w:rPr>
          <w:rFonts w:ascii="黑体" w:hAnsi="黑体" w:cs="黑体"/>
        </w:rPr>
      </w:pPr>
      <w:r>
        <w:rPr>
          <w:rFonts w:hint="eastAsia" w:ascii="黑体" w:hAnsi="黑体" w:cs="黑体"/>
        </w:rPr>
        <w:t>5.3 栽培管理</w:t>
      </w:r>
    </w:p>
    <w:p>
      <w:pPr>
        <w:pStyle w:val="232"/>
        <w:spacing w:line="360" w:lineRule="auto"/>
        <w:rPr>
          <w:rFonts w:ascii="黑体" w:hAnsi="黑体" w:cs="黑体"/>
        </w:rPr>
      </w:pPr>
      <w:r>
        <w:rPr>
          <w:rFonts w:hint="eastAsia" w:ascii="黑体" w:hAnsi="黑体" w:cs="黑体"/>
        </w:rPr>
        <w:t>5.3.1 种苗繁殖</w:t>
      </w:r>
    </w:p>
    <w:p>
      <w:pPr>
        <w:pStyle w:val="230"/>
        <w:tabs>
          <w:tab w:val="center" w:pos="4201"/>
          <w:tab w:val="right" w:leader="dot" w:pos="9298"/>
        </w:tabs>
        <w:ind w:firstLine="405" w:firstLineChars="193"/>
        <w:rPr>
          <w:rFonts w:hAnsi="宋体"/>
          <w:bCs/>
        </w:rPr>
      </w:pPr>
      <w:r>
        <w:rPr>
          <w:rFonts w:hAnsi="宋体"/>
          <w:bCs/>
        </w:rPr>
        <w:t>为分株繁殖</w:t>
      </w:r>
      <w:r>
        <w:rPr>
          <w:rFonts w:hint="eastAsia" w:hAnsi="宋体"/>
          <w:bCs/>
        </w:rPr>
        <w:t>。</w:t>
      </w:r>
    </w:p>
    <w:p>
      <w:pPr>
        <w:pStyle w:val="232"/>
        <w:spacing w:line="360" w:lineRule="auto"/>
        <w:rPr>
          <w:rFonts w:ascii="黑体" w:hAnsi="黑体" w:cs="黑体"/>
        </w:rPr>
      </w:pPr>
      <w:r>
        <w:rPr>
          <w:rFonts w:hint="eastAsia" w:ascii="黑体" w:hAnsi="黑体" w:cs="黑体"/>
        </w:rPr>
        <w:t>5.3.2 栽植时间</w:t>
      </w:r>
    </w:p>
    <w:p>
      <w:pPr>
        <w:pStyle w:val="230"/>
        <w:tabs>
          <w:tab w:val="center" w:pos="4201"/>
          <w:tab w:val="right" w:leader="dot" w:pos="9298"/>
        </w:tabs>
        <w:ind w:firstLine="405" w:firstLineChars="193"/>
        <w:rPr>
          <w:rFonts w:hAnsi="宋体"/>
        </w:rPr>
      </w:pPr>
      <w:r>
        <w:rPr>
          <w:rFonts w:hint="eastAsia" w:hAnsi="宋体"/>
        </w:rPr>
        <w:t>每年的9月</w:t>
      </w:r>
      <w:r>
        <w:rPr>
          <w:rFonts w:hint="eastAsia" w:hAnsi="宋体"/>
          <w:bCs/>
        </w:rPr>
        <w:t>～10月进行栽植，即当年花蕾采收完毕至秋苗萌芽前。</w:t>
      </w:r>
    </w:p>
    <w:p>
      <w:pPr>
        <w:pStyle w:val="232"/>
        <w:spacing w:line="360" w:lineRule="auto"/>
        <w:rPr>
          <w:rFonts w:ascii="黑体" w:hAnsi="黑体" w:cs="黑体"/>
        </w:rPr>
      </w:pPr>
      <w:r>
        <w:rPr>
          <w:rFonts w:hint="eastAsia" w:ascii="黑体" w:hAnsi="黑体" w:cs="黑体"/>
        </w:rPr>
        <w:t>5.3.3 栽植密度</w:t>
      </w:r>
    </w:p>
    <w:p>
      <w:pPr>
        <w:pStyle w:val="233"/>
        <w:ind w:firstLine="420" w:firstLineChars="200"/>
        <w:rPr>
          <w:rFonts w:ascii="宋体" w:hAnsi="宋体"/>
          <w:bCs/>
          <w:sz w:val="21"/>
        </w:rPr>
      </w:pPr>
      <w:r>
        <w:rPr>
          <w:rFonts w:hint="eastAsia" w:ascii="宋体" w:hAnsi="宋体"/>
          <w:bCs/>
          <w:sz w:val="21"/>
        </w:rPr>
        <w:t>单行定植，每公顷栽≤45000株；双行定植，每公顷栽≤60000株</w:t>
      </w:r>
      <w:r>
        <w:rPr>
          <w:rFonts w:ascii="宋体" w:hAnsi="宋体"/>
          <w:bCs/>
          <w:sz w:val="21"/>
        </w:rPr>
        <w:t>。</w:t>
      </w:r>
    </w:p>
    <w:p>
      <w:pPr>
        <w:pStyle w:val="232"/>
        <w:spacing w:line="360" w:lineRule="auto"/>
        <w:rPr>
          <w:rFonts w:ascii="黑体" w:hAnsi="黑体" w:cs="黑体"/>
        </w:rPr>
      </w:pPr>
      <w:r>
        <w:rPr>
          <w:rFonts w:hint="eastAsia" w:ascii="黑体" w:hAnsi="黑体" w:cs="黑体"/>
        </w:rPr>
        <w:t>5.3.4 施肥</w:t>
      </w:r>
    </w:p>
    <w:p>
      <w:pPr>
        <w:pStyle w:val="230"/>
        <w:tabs>
          <w:tab w:val="center" w:pos="4201"/>
          <w:tab w:val="right" w:leader="dot" w:pos="9298"/>
        </w:tabs>
        <w:ind w:firstLine="420"/>
        <w:rPr>
          <w:rFonts w:hAnsi="宋体"/>
          <w:bCs/>
        </w:rPr>
      </w:pPr>
      <w:r>
        <w:rPr>
          <w:rFonts w:hAnsi="宋体"/>
          <w:bCs/>
        </w:rPr>
        <w:t>以基肥为主，植前整地时，每667</w:t>
      </w:r>
      <w:r>
        <w:rPr>
          <w:rFonts w:hint="eastAsia" w:hAnsi="宋体"/>
          <w:bCs/>
        </w:rPr>
        <w:t xml:space="preserve"> </w:t>
      </w:r>
      <w:r>
        <w:rPr>
          <w:rFonts w:hAnsi="宋体"/>
          <w:bCs/>
        </w:rPr>
        <w:t>m</w:t>
      </w:r>
      <w:r>
        <w:rPr>
          <w:rFonts w:hAnsi="宋体"/>
          <w:bCs/>
          <w:vertAlign w:val="superscript"/>
        </w:rPr>
        <w:t>2</w:t>
      </w:r>
      <w:r>
        <w:rPr>
          <w:rFonts w:hAnsi="宋体"/>
          <w:bCs/>
        </w:rPr>
        <w:t>施有机肥料（优质农家肥或商品有机肥）≥1000kg。追肥每667</w:t>
      </w:r>
      <w:r>
        <w:rPr>
          <w:rFonts w:hint="eastAsia" w:hAnsi="宋体"/>
          <w:bCs/>
        </w:rPr>
        <w:t xml:space="preserve"> </w:t>
      </w:r>
      <w:r>
        <w:rPr>
          <w:rFonts w:hAnsi="宋体"/>
          <w:bCs/>
        </w:rPr>
        <w:t>m</w:t>
      </w:r>
      <w:r>
        <w:rPr>
          <w:rFonts w:hAnsi="宋体"/>
          <w:bCs/>
          <w:vertAlign w:val="superscript"/>
        </w:rPr>
        <w:t>2</w:t>
      </w:r>
      <w:r>
        <w:rPr>
          <w:rFonts w:hAnsi="宋体"/>
          <w:bCs/>
        </w:rPr>
        <w:t>施麸饼肥50</w:t>
      </w:r>
      <w:r>
        <w:rPr>
          <w:rFonts w:hint="eastAsia" w:hAnsi="宋体"/>
          <w:bCs/>
        </w:rPr>
        <w:t xml:space="preserve"> </w:t>
      </w:r>
      <w:r>
        <w:rPr>
          <w:rFonts w:hAnsi="宋体"/>
          <w:bCs/>
        </w:rPr>
        <w:t>kg</w:t>
      </w:r>
      <w:r>
        <w:rPr>
          <w:rFonts w:hint="eastAsia" w:hAnsi="宋体"/>
          <w:bCs/>
        </w:rPr>
        <w:t>～</w:t>
      </w:r>
      <w:r>
        <w:rPr>
          <w:rFonts w:hAnsi="宋体"/>
          <w:bCs/>
        </w:rPr>
        <w:t>100</w:t>
      </w:r>
      <w:r>
        <w:rPr>
          <w:rFonts w:hint="eastAsia" w:hAnsi="宋体"/>
          <w:bCs/>
        </w:rPr>
        <w:t xml:space="preserve"> </w:t>
      </w:r>
      <w:r>
        <w:rPr>
          <w:rFonts w:hAnsi="宋体"/>
          <w:bCs/>
        </w:rPr>
        <w:t>kg,以沤制腐熟的水肥淋施为佳，或施三元复合肥25</w:t>
      </w:r>
      <w:r>
        <w:rPr>
          <w:rFonts w:hint="eastAsia" w:hAnsi="宋体"/>
          <w:bCs/>
        </w:rPr>
        <w:t xml:space="preserve"> </w:t>
      </w:r>
      <w:r>
        <w:rPr>
          <w:rFonts w:hAnsi="宋体"/>
          <w:bCs/>
        </w:rPr>
        <w:t>kg</w:t>
      </w:r>
      <w:r>
        <w:rPr>
          <w:rFonts w:hint="eastAsia" w:hAnsi="宋体"/>
          <w:bCs/>
        </w:rPr>
        <w:t>～</w:t>
      </w:r>
      <w:r>
        <w:rPr>
          <w:rFonts w:hAnsi="宋体"/>
          <w:bCs/>
        </w:rPr>
        <w:t>50</w:t>
      </w:r>
      <w:r>
        <w:rPr>
          <w:rFonts w:hint="eastAsia" w:hAnsi="宋体"/>
          <w:bCs/>
        </w:rPr>
        <w:t xml:space="preserve"> </w:t>
      </w:r>
      <w:r>
        <w:rPr>
          <w:rFonts w:hAnsi="宋体"/>
          <w:bCs/>
        </w:rPr>
        <w:t>kg。</w:t>
      </w:r>
    </w:p>
    <w:p>
      <w:pPr>
        <w:pStyle w:val="85"/>
        <w:spacing w:before="312" w:after="312"/>
      </w:pPr>
      <w:r>
        <w:rPr>
          <w:rFonts w:hint="eastAsia"/>
        </w:rPr>
        <w:t>收获</w:t>
      </w:r>
    </w:p>
    <w:p>
      <w:pPr>
        <w:pStyle w:val="231"/>
        <w:spacing w:beforeLines="0" w:afterLines="0"/>
        <w:ind w:firstLine="420" w:firstLineChars="200"/>
        <w:rPr>
          <w:rFonts w:ascii="宋体" w:hAnsi="宋体" w:eastAsia="宋体"/>
          <w:bCs/>
        </w:rPr>
      </w:pPr>
      <w:r>
        <w:rPr>
          <w:rFonts w:hint="eastAsia" w:ascii="宋体" w:hAnsi="宋体" w:eastAsia="宋体"/>
          <w:bCs/>
        </w:rPr>
        <w:t>于花蕾发育饱满，有光泽、呈深黄色，顶端紫绿色点褪去，蕾苞未开裂前采摘。宜在晴天上午8时前采摘完毕，以上午6时采摘为最佳，如遇阴雨天应于下午4时后采摘。</w:t>
      </w:r>
    </w:p>
    <w:p>
      <w:pPr>
        <w:pStyle w:val="85"/>
        <w:spacing w:before="312" w:after="312"/>
      </w:pPr>
      <w:r>
        <w:rPr>
          <w:rFonts w:hint="eastAsia"/>
        </w:rPr>
        <w:t>加工</w:t>
      </w:r>
    </w:p>
    <w:p>
      <w:pPr>
        <w:ind w:firstLine="420"/>
        <w:rPr>
          <w:rFonts w:ascii="Arial" w:hAnsi="Arial"/>
        </w:rPr>
      </w:pPr>
      <w:r>
        <w:rPr>
          <w:rFonts w:hint="eastAsia" w:ascii="宋体" w:hAnsi="宋体"/>
          <w:bCs/>
          <w:kern w:val="0"/>
          <w:szCs w:val="20"/>
        </w:rPr>
        <w:t>加工程序：花蕾采收（采收后3h内蒸制）→蒸制（时间5min～7min，厚度5cm～7cm）→干燥（阳光晒干或热风烘干，烘干温度70℃～80℃）→包装。</w:t>
      </w:r>
      <w:r>
        <w:rPr>
          <w:rFonts w:hint="eastAsia" w:ascii="黑体" w:hAnsi="Arial" w:eastAsia="黑体"/>
        </w:rPr>
        <w:t xml:space="preserve"> </w:t>
      </w:r>
    </w:p>
    <w:bookmarkEnd w:id="70"/>
    <w:bookmarkEnd w:id="71"/>
    <w:bookmarkEnd w:id="72"/>
    <w:bookmarkEnd w:id="73"/>
    <w:bookmarkEnd w:id="74"/>
    <w:p>
      <w:pPr>
        <w:pStyle w:val="85"/>
        <w:spacing w:before="312" w:after="312"/>
      </w:pPr>
      <w:r>
        <w:rPr>
          <w:rFonts w:hint="eastAsia"/>
        </w:rPr>
        <w:t>质量要求</w:t>
      </w:r>
    </w:p>
    <w:p>
      <w:pPr>
        <w:pStyle w:val="86"/>
        <w:spacing w:before="156" w:after="156"/>
      </w:pPr>
      <w:bookmarkStart w:id="75" w:name="_Toc54883673"/>
      <w:r>
        <w:rPr>
          <w:rFonts w:hint="eastAsia"/>
        </w:rPr>
        <w:t>感官</w:t>
      </w:r>
      <w:bookmarkEnd w:id="75"/>
      <w:r>
        <w:rPr>
          <w:rFonts w:hint="eastAsia"/>
        </w:rPr>
        <w:t>要求</w:t>
      </w:r>
    </w:p>
    <w:p>
      <w:pPr>
        <w:pStyle w:val="42"/>
        <w:ind w:firstLine="420"/>
      </w:pPr>
      <w:r>
        <w:rPr>
          <w:rFonts w:ascii="Times New Roman"/>
          <w:kern w:val="2"/>
        </w:rPr>
        <w:t>花瓣肉质肥厚，色泽浅黄或金黄，条身紧实粗壮，条色均匀，有光泽，无青条干菜。香味浓郁，无酸味。</w:t>
      </w:r>
    </w:p>
    <w:p>
      <w:pPr>
        <w:pStyle w:val="86"/>
        <w:spacing w:before="156" w:after="156"/>
      </w:pPr>
      <w:bookmarkStart w:id="76" w:name="_Toc54883675"/>
      <w:r>
        <w:rPr>
          <w:rFonts w:hint="eastAsia"/>
        </w:rPr>
        <w:t>理化指标</w:t>
      </w:r>
      <w:bookmarkEnd w:id="76"/>
    </w:p>
    <w:p>
      <w:pPr>
        <w:ind w:firstLine="420" w:firstLineChars="200"/>
      </w:pPr>
      <w:r>
        <w:rPr>
          <w:rFonts w:hint="eastAsia" w:ascii="宋体" w:hAnsi="宋体"/>
        </w:rPr>
        <w:t>理化指标应符合表1的要求。</w:t>
      </w:r>
    </w:p>
    <w:p>
      <w:pPr>
        <w:pStyle w:val="93"/>
        <w:spacing w:before="156" w:after="156"/>
      </w:pPr>
      <w:r>
        <w:rPr>
          <w:rFonts w:hint="eastAsia"/>
        </w:rPr>
        <w:t>理化指标</w:t>
      </w:r>
    </w:p>
    <w:tbl>
      <w:tblPr>
        <w:tblStyle w:val="27"/>
        <w:tblW w:w="84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2832"/>
        <w:gridCol w:w="56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blHeader/>
          <w:jc w:val="center"/>
        </w:trPr>
        <w:tc>
          <w:tcPr>
            <w:tcW w:w="2832" w:type="dxa"/>
          </w:tcPr>
          <w:p>
            <w:pPr>
              <w:pStyle w:val="230"/>
              <w:tabs>
                <w:tab w:val="center" w:pos="4201"/>
                <w:tab w:val="right" w:leader="dot" w:pos="9298"/>
              </w:tabs>
              <w:ind w:firstLine="0" w:firstLineChars="0"/>
              <w:jc w:val="center"/>
            </w:pPr>
            <w:r>
              <w:rPr>
                <w:rFonts w:hint="eastAsia"/>
                <w:sz w:val="18"/>
                <w:szCs w:val="18"/>
              </w:rPr>
              <w:t>项    目</w:t>
            </w:r>
          </w:p>
        </w:tc>
        <w:tc>
          <w:tcPr>
            <w:tcW w:w="5666" w:type="dxa"/>
          </w:tcPr>
          <w:p>
            <w:pPr>
              <w:pStyle w:val="230"/>
              <w:tabs>
                <w:tab w:val="center" w:pos="4201"/>
                <w:tab w:val="right" w:leader="dot" w:pos="9298"/>
              </w:tabs>
              <w:ind w:firstLine="0" w:firstLineChars="0"/>
              <w:jc w:val="center"/>
            </w:pPr>
            <w:r>
              <w:rPr>
                <w:rFonts w:hint="eastAsia"/>
                <w:sz w:val="18"/>
                <w:szCs w:val="18"/>
              </w:rPr>
              <w:t>指    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jc w:val="center"/>
        </w:trPr>
        <w:tc>
          <w:tcPr>
            <w:tcW w:w="2832" w:type="dxa"/>
          </w:tcPr>
          <w:p>
            <w:pPr>
              <w:pStyle w:val="230"/>
              <w:tabs>
                <w:tab w:val="center" w:pos="4201"/>
                <w:tab w:val="right" w:leader="dot" w:pos="9298"/>
              </w:tabs>
              <w:ind w:firstLine="0" w:firstLineChars="0"/>
            </w:pPr>
            <w:r>
              <w:rPr>
                <w:rFonts w:hint="eastAsia" w:hAnsi="宋体"/>
                <w:sz w:val="18"/>
                <w:szCs w:val="18"/>
              </w:rPr>
              <w:t xml:space="preserve">水分，%                     </w:t>
            </w:r>
            <w:r>
              <w:rPr>
                <w:rFonts w:hint="eastAsia"/>
                <w:sz w:val="18"/>
                <w:szCs w:val="18"/>
              </w:rPr>
              <w:t>≤</w:t>
            </w:r>
          </w:p>
        </w:tc>
        <w:tc>
          <w:tcPr>
            <w:tcW w:w="5666" w:type="dxa"/>
          </w:tcPr>
          <w:p>
            <w:pPr>
              <w:pStyle w:val="230"/>
              <w:tabs>
                <w:tab w:val="center" w:pos="4201"/>
                <w:tab w:val="right" w:leader="dot" w:pos="9298"/>
              </w:tabs>
              <w:ind w:firstLine="0" w:firstLineChars="0"/>
              <w:jc w:val="center"/>
            </w:pPr>
            <w:r>
              <w:rPr>
                <w:rFonts w:hint="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jc w:val="center"/>
        </w:trPr>
        <w:tc>
          <w:tcPr>
            <w:tcW w:w="2832" w:type="dxa"/>
          </w:tcPr>
          <w:p>
            <w:pPr>
              <w:pStyle w:val="230"/>
              <w:tabs>
                <w:tab w:val="center" w:pos="4201"/>
                <w:tab w:val="right" w:leader="dot" w:pos="9298"/>
              </w:tabs>
              <w:ind w:firstLine="0" w:firstLineChars="0"/>
            </w:pPr>
            <w:r>
              <w:rPr>
                <w:rFonts w:hint="eastAsia" w:hAnsi="宋体"/>
                <w:sz w:val="18"/>
                <w:szCs w:val="18"/>
              </w:rPr>
              <w:t xml:space="preserve">粗纤维， %                  </w:t>
            </w:r>
            <w:r>
              <w:rPr>
                <w:rFonts w:hint="eastAsia"/>
                <w:sz w:val="18"/>
                <w:szCs w:val="18"/>
              </w:rPr>
              <w:t>≤</w:t>
            </w:r>
          </w:p>
        </w:tc>
        <w:tc>
          <w:tcPr>
            <w:tcW w:w="5666" w:type="dxa"/>
          </w:tcPr>
          <w:p>
            <w:pPr>
              <w:pStyle w:val="230"/>
              <w:tabs>
                <w:tab w:val="center" w:pos="4201"/>
                <w:tab w:val="right" w:leader="dot" w:pos="9298"/>
              </w:tabs>
              <w:ind w:firstLine="0" w:firstLineChars="0"/>
              <w:jc w:val="center"/>
            </w:pPr>
            <w:r>
              <w:rPr>
                <w:rFonts w:hint="eastAsia"/>
                <w:sz w:val="18"/>
                <w:szCs w:val="18"/>
              </w:rPr>
              <w:t xml:space="preserve"> 6.5</w:t>
            </w:r>
          </w:p>
        </w:tc>
      </w:tr>
    </w:tbl>
    <w:p>
      <w:pPr>
        <w:pStyle w:val="86"/>
        <w:spacing w:before="156" w:after="156"/>
      </w:pPr>
      <w:r>
        <w:rPr>
          <w:rFonts w:hint="eastAsia"/>
        </w:rPr>
        <w:t>安全指标</w:t>
      </w:r>
    </w:p>
    <w:p>
      <w:pPr>
        <w:pStyle w:val="42"/>
        <w:ind w:firstLine="420"/>
      </w:pPr>
      <w:r>
        <w:rPr>
          <w:rFonts w:hint="eastAsia"/>
          <w:szCs w:val="21"/>
        </w:rPr>
        <w:t>安全指标应符合GB 2762、GB 2763</w:t>
      </w:r>
      <w:r>
        <w:rPr>
          <w:szCs w:val="21"/>
        </w:rPr>
        <w:t>的相关规定。</w:t>
      </w:r>
    </w:p>
    <w:p>
      <w:pPr>
        <w:pStyle w:val="86"/>
        <w:spacing w:before="156" w:after="156"/>
      </w:pPr>
      <w:r>
        <w:rPr>
          <w:rFonts w:hint="eastAsia" w:hAnsi="黑体" w:cs="黑体"/>
        </w:rPr>
        <w:t>净含量允差</w:t>
      </w:r>
    </w:p>
    <w:p>
      <w:pPr>
        <w:pStyle w:val="230"/>
        <w:tabs>
          <w:tab w:val="center" w:pos="4201"/>
          <w:tab w:val="right" w:leader="dot" w:pos="9298"/>
        </w:tabs>
        <w:ind w:firstLine="420"/>
      </w:pPr>
      <w:r>
        <w:rPr>
          <w:rFonts w:hint="eastAsia"/>
        </w:rPr>
        <w:t>净含量允差应符合国家质量监督检验检疫总局令（2005）第75号的规定。</w:t>
      </w:r>
    </w:p>
    <w:p>
      <w:pPr>
        <w:pStyle w:val="85"/>
        <w:spacing w:before="312" w:after="312"/>
      </w:pPr>
      <w:bookmarkStart w:id="77" w:name="_Toc63413207"/>
      <w:bookmarkStart w:id="78" w:name="_Toc54883712"/>
      <w:bookmarkStart w:id="79" w:name="_Toc63350162"/>
      <w:bookmarkStart w:id="80" w:name="_Toc54883700"/>
      <w:bookmarkStart w:id="81" w:name="_Toc54883677"/>
      <w:r>
        <w:rPr>
          <w:rFonts w:hint="eastAsia"/>
        </w:rPr>
        <w:t>试验方法</w:t>
      </w:r>
      <w:bookmarkEnd w:id="77"/>
      <w:bookmarkEnd w:id="78"/>
      <w:bookmarkEnd w:id="79"/>
      <w:bookmarkEnd w:id="80"/>
      <w:bookmarkEnd w:id="81"/>
    </w:p>
    <w:p>
      <w:pPr>
        <w:pStyle w:val="86"/>
        <w:spacing w:before="156" w:after="156"/>
      </w:pPr>
      <w:bookmarkStart w:id="82" w:name="_Toc54883678"/>
      <w:r>
        <w:rPr>
          <w:rFonts w:hint="eastAsia"/>
        </w:rPr>
        <w:t>感官指标</w:t>
      </w:r>
      <w:bookmarkEnd w:id="82"/>
    </w:p>
    <w:p>
      <w:pPr>
        <w:pStyle w:val="42"/>
        <w:ind w:firstLine="420"/>
      </w:pPr>
      <w:r>
        <w:rPr>
          <w:rFonts w:hint="eastAsia"/>
        </w:rPr>
        <w:t>在样品中取一小袋，去除包装，置于清洁、卫生的白瓷盘中，通过人的肉眼、嗅觉进行品评。</w:t>
      </w:r>
    </w:p>
    <w:p>
      <w:pPr>
        <w:pStyle w:val="86"/>
        <w:spacing w:before="156" w:after="156"/>
      </w:pPr>
      <w:bookmarkStart w:id="83" w:name="_Toc54883680"/>
      <w:r>
        <w:rPr>
          <w:rFonts w:hint="eastAsia"/>
        </w:rPr>
        <w:t>理化指标</w:t>
      </w:r>
      <w:bookmarkEnd w:id="83"/>
    </w:p>
    <w:p>
      <w:pPr>
        <w:pStyle w:val="51"/>
        <w:spacing w:before="156" w:after="156"/>
      </w:pPr>
      <w:r>
        <w:rPr>
          <w:rFonts w:hint="eastAsia"/>
        </w:rPr>
        <w:t>水分</w:t>
      </w:r>
    </w:p>
    <w:p>
      <w:pPr>
        <w:pStyle w:val="42"/>
        <w:ind w:firstLine="420"/>
      </w:pPr>
      <w:r>
        <w:rPr>
          <w:rFonts w:hint="eastAsia"/>
        </w:rPr>
        <w:t>按GB 5009.3的规定执行。</w:t>
      </w:r>
    </w:p>
    <w:p>
      <w:pPr>
        <w:pStyle w:val="51"/>
        <w:spacing w:before="156" w:after="156"/>
      </w:pPr>
      <w:r>
        <w:rPr>
          <w:rFonts w:hint="eastAsia"/>
        </w:rPr>
        <w:t>粗纤维</w:t>
      </w:r>
    </w:p>
    <w:p>
      <w:pPr>
        <w:pStyle w:val="230"/>
        <w:tabs>
          <w:tab w:val="center" w:pos="4201"/>
          <w:tab w:val="right" w:leader="dot" w:pos="9298"/>
        </w:tabs>
        <w:ind w:firstLine="420"/>
        <w:rPr>
          <w:rFonts w:hAnsi="宋体"/>
          <w:bCs/>
        </w:rPr>
      </w:pPr>
      <w:r>
        <w:rPr>
          <w:rFonts w:hint="eastAsia" w:hAnsi="宋体"/>
          <w:bCs/>
        </w:rPr>
        <w:t>按GB/T 5009.10的规定执行。</w:t>
      </w:r>
    </w:p>
    <w:p>
      <w:pPr>
        <w:pStyle w:val="86"/>
        <w:spacing w:before="156" w:after="156"/>
      </w:pPr>
      <w:r>
        <w:rPr>
          <w:rFonts w:hint="eastAsia"/>
        </w:rPr>
        <w:t>安全指标</w:t>
      </w:r>
    </w:p>
    <w:p>
      <w:pPr>
        <w:pStyle w:val="42"/>
        <w:ind w:firstLine="420"/>
      </w:pPr>
      <w:r>
        <w:rPr>
          <w:rFonts w:hint="eastAsia"/>
        </w:rPr>
        <w:t>按GB 2762和GB 2763的规定执行。</w:t>
      </w:r>
    </w:p>
    <w:p>
      <w:pPr>
        <w:pStyle w:val="86"/>
        <w:spacing w:before="156" w:after="156"/>
      </w:pPr>
      <w:r>
        <w:rPr>
          <w:rFonts w:hint="eastAsia"/>
        </w:rPr>
        <w:t>净含量</w:t>
      </w:r>
    </w:p>
    <w:p>
      <w:pPr>
        <w:ind w:firstLine="420" w:firstLineChars="200"/>
      </w:pPr>
      <w:r>
        <w:rPr>
          <w:rFonts w:hint="eastAsia"/>
        </w:rPr>
        <w:t>按</w:t>
      </w:r>
      <w:r>
        <w:rPr>
          <w:rFonts w:hint="eastAsia" w:ascii="宋体" w:hAnsi="宋体"/>
        </w:rPr>
        <w:t>JJF 1070</w:t>
      </w:r>
      <w:r>
        <w:rPr>
          <w:rFonts w:hint="eastAsia"/>
        </w:rPr>
        <w:t>的规定执行。</w:t>
      </w:r>
    </w:p>
    <w:p>
      <w:pPr>
        <w:pStyle w:val="85"/>
        <w:spacing w:before="312" w:after="312"/>
      </w:pPr>
      <w:bookmarkStart w:id="84" w:name="_Toc63413208"/>
      <w:bookmarkStart w:id="85" w:name="_Toc54883682"/>
      <w:bookmarkStart w:id="86" w:name="_Toc54883713"/>
      <w:bookmarkStart w:id="87" w:name="_Toc63350163"/>
      <w:bookmarkStart w:id="88" w:name="_Toc54883701"/>
      <w:r>
        <w:rPr>
          <w:rFonts w:hint="eastAsia"/>
        </w:rPr>
        <w:t>检验规则</w:t>
      </w:r>
      <w:bookmarkEnd w:id="84"/>
      <w:bookmarkEnd w:id="85"/>
      <w:bookmarkEnd w:id="86"/>
      <w:bookmarkEnd w:id="87"/>
      <w:bookmarkEnd w:id="88"/>
    </w:p>
    <w:p>
      <w:pPr>
        <w:pStyle w:val="86"/>
        <w:spacing w:before="156" w:after="156"/>
      </w:pPr>
      <w:bookmarkStart w:id="89" w:name="_Toc54883685"/>
      <w:bookmarkStart w:id="90" w:name="_Toc54883684"/>
      <w:r>
        <w:rPr>
          <w:rFonts w:hint="eastAsia"/>
        </w:rPr>
        <w:t>组批</w:t>
      </w:r>
      <w:bookmarkEnd w:id="89"/>
    </w:p>
    <w:p>
      <w:pPr>
        <w:pStyle w:val="42"/>
        <w:ind w:firstLine="420"/>
      </w:pPr>
      <w:r>
        <w:rPr>
          <w:rFonts w:hint="eastAsia" w:hAnsi="宋体"/>
          <w:szCs w:val="21"/>
        </w:rPr>
        <w:t>同一产地、同一加工厂、同一包装日期的产品作为一个检验批次。</w:t>
      </w:r>
    </w:p>
    <w:p>
      <w:pPr>
        <w:pStyle w:val="86"/>
        <w:spacing w:before="156" w:afterLines="20"/>
      </w:pPr>
      <w:r>
        <w:rPr>
          <w:rFonts w:hint="eastAsia"/>
        </w:rPr>
        <w:t>抽样方法</w:t>
      </w:r>
    </w:p>
    <w:p>
      <w:pPr>
        <w:pStyle w:val="42"/>
        <w:ind w:firstLine="420"/>
      </w:pPr>
      <w:r>
        <w:rPr>
          <w:rFonts w:hint="eastAsia" w:hAnsi="宋体"/>
        </w:rPr>
        <w:t>按每批次随机抽取，并将抽取的样品放置于清洁、干净的铺垫物上。抽样数量和方法按NY/T 896执行。</w:t>
      </w:r>
    </w:p>
    <w:p>
      <w:pPr>
        <w:pStyle w:val="86"/>
        <w:spacing w:before="156" w:afterLines="20"/>
      </w:pPr>
      <w:r>
        <w:rPr>
          <w:rFonts w:hint="eastAsia"/>
        </w:rPr>
        <w:t>出厂检验</w:t>
      </w:r>
      <w:bookmarkEnd w:id="90"/>
    </w:p>
    <w:p>
      <w:pPr>
        <w:pStyle w:val="42"/>
        <w:ind w:firstLine="420"/>
      </w:pPr>
      <w:r>
        <w:rPr>
          <w:rFonts w:hint="eastAsia" w:hAnsi="宋体"/>
          <w:szCs w:val="21"/>
        </w:rPr>
        <w:t>每批产品交收前都应进行出厂检验，出厂检验由生产企业质量检验部门进行。检验项目为：感官</w:t>
      </w:r>
      <w:r>
        <w:rPr>
          <w:rFonts w:hint="eastAsia"/>
        </w:rPr>
        <w:t>指标</w:t>
      </w:r>
      <w:r>
        <w:rPr>
          <w:rFonts w:hint="eastAsia" w:hAnsi="宋体"/>
          <w:szCs w:val="21"/>
        </w:rPr>
        <w:t>、水分、净含量。经检验合格的产品发放合格证，产品凭检验合格证入库或交付市场销售。</w:t>
      </w:r>
      <w:r>
        <w:rPr>
          <w:rFonts w:hint="eastAsia"/>
        </w:rPr>
        <w:t xml:space="preserve"> </w:t>
      </w:r>
    </w:p>
    <w:p>
      <w:pPr>
        <w:pStyle w:val="86"/>
        <w:spacing w:before="156" w:after="156"/>
      </w:pPr>
      <w:bookmarkStart w:id="91" w:name="_Toc54883686"/>
      <w:r>
        <w:rPr>
          <w:rFonts w:hint="eastAsia"/>
        </w:rPr>
        <w:t>型式检验</w:t>
      </w:r>
    </w:p>
    <w:p>
      <w:pPr>
        <w:pStyle w:val="230"/>
        <w:ind w:firstLine="420" w:firstLineChars="0"/>
        <w:rPr>
          <w:rFonts w:hAnsi="宋体"/>
          <w:szCs w:val="21"/>
        </w:rPr>
      </w:pPr>
      <w:r>
        <w:rPr>
          <w:rFonts w:hint="eastAsia" w:hAnsi="宋体"/>
          <w:szCs w:val="21"/>
        </w:rPr>
        <w:t>型式检验的项目包括技术要求中的全部项目，正常生产每半年进行一次型式检验，有下列情况之一时，也应进行型式检验。</w:t>
      </w:r>
    </w:p>
    <w:p>
      <w:pPr>
        <w:pStyle w:val="230"/>
        <w:numPr>
          <w:ilvl w:val="0"/>
          <w:numId w:val="32"/>
        </w:numPr>
        <w:ind w:firstLineChars="0"/>
        <w:rPr>
          <w:rFonts w:hAnsi="宋体"/>
          <w:szCs w:val="21"/>
        </w:rPr>
      </w:pPr>
      <w:r>
        <w:rPr>
          <w:rFonts w:hint="eastAsia" w:hAnsi="宋体"/>
          <w:szCs w:val="21"/>
        </w:rPr>
        <w:t>产品定型投产时；</w:t>
      </w:r>
    </w:p>
    <w:p>
      <w:pPr>
        <w:pStyle w:val="230"/>
        <w:numPr>
          <w:ilvl w:val="0"/>
          <w:numId w:val="32"/>
        </w:numPr>
        <w:ind w:firstLineChars="0"/>
        <w:rPr>
          <w:rFonts w:hAnsi="宋体"/>
          <w:szCs w:val="21"/>
        </w:rPr>
      </w:pPr>
      <w:r>
        <w:rPr>
          <w:rFonts w:hint="eastAsia" w:hAnsi="宋体"/>
          <w:szCs w:val="21"/>
        </w:rPr>
        <w:t>正常生产时，生产环境变化或工艺有较大改变，可能影响到产品质量时；</w:t>
      </w:r>
    </w:p>
    <w:p>
      <w:pPr>
        <w:pStyle w:val="230"/>
        <w:numPr>
          <w:ilvl w:val="0"/>
          <w:numId w:val="32"/>
        </w:numPr>
        <w:ind w:firstLineChars="0"/>
        <w:rPr>
          <w:rFonts w:hAnsi="宋体"/>
          <w:szCs w:val="21"/>
        </w:rPr>
      </w:pPr>
      <w:r>
        <w:rPr>
          <w:rFonts w:hint="eastAsia" w:hAnsi="宋体"/>
          <w:szCs w:val="21"/>
        </w:rPr>
        <w:t>出厂检验结果与上次型式检验有较大差异时；</w:t>
      </w:r>
    </w:p>
    <w:p>
      <w:pPr>
        <w:pStyle w:val="230"/>
        <w:numPr>
          <w:ilvl w:val="0"/>
          <w:numId w:val="32"/>
        </w:numPr>
        <w:ind w:firstLineChars="0"/>
        <w:rPr>
          <w:rFonts w:hAnsi="宋体"/>
          <w:szCs w:val="21"/>
        </w:rPr>
      </w:pPr>
      <w:r>
        <w:rPr>
          <w:rFonts w:hint="eastAsia" w:hAnsi="宋体"/>
          <w:szCs w:val="21"/>
        </w:rPr>
        <w:t>停产三个月以上，恢复生产时；</w:t>
      </w:r>
    </w:p>
    <w:p>
      <w:pPr>
        <w:pStyle w:val="230"/>
        <w:numPr>
          <w:ilvl w:val="0"/>
          <w:numId w:val="32"/>
        </w:numPr>
        <w:ind w:firstLineChars="0"/>
      </w:pPr>
      <w:r>
        <w:rPr>
          <w:rFonts w:hint="eastAsia" w:hAnsi="宋体"/>
          <w:szCs w:val="21"/>
        </w:rPr>
        <w:t>国家食品安全监督机构提出要求时。</w:t>
      </w:r>
    </w:p>
    <w:p>
      <w:pPr>
        <w:pStyle w:val="86"/>
        <w:spacing w:before="156" w:after="156"/>
      </w:pPr>
      <w:r>
        <w:rPr>
          <w:rFonts w:hint="eastAsia"/>
        </w:rPr>
        <w:t>判定规则</w:t>
      </w:r>
    </w:p>
    <w:p>
      <w:pPr>
        <w:pStyle w:val="144"/>
      </w:pPr>
      <w:r>
        <w:rPr>
          <w:rFonts w:hint="eastAsia" w:hAnsi="宋体"/>
        </w:rPr>
        <w:t>检验结果都符合本标准的要求时，判定该批产品为合格</w:t>
      </w:r>
      <w:r>
        <w:rPr>
          <w:rFonts w:hint="eastAsia"/>
        </w:rPr>
        <w:t>。</w:t>
      </w:r>
    </w:p>
    <w:p>
      <w:pPr>
        <w:pStyle w:val="144"/>
      </w:pPr>
      <w:r>
        <w:rPr>
          <w:rFonts w:hint="eastAsia" w:hAnsi="宋体"/>
        </w:rPr>
        <w:t>检验结果中除安全指标外有一项不合格项时</w:t>
      </w:r>
      <w:r>
        <w:rPr>
          <w:rFonts w:hint="eastAsia"/>
        </w:rPr>
        <w:t>，允许加倍抽样复检不合格项目，按复检结果对该批产品进行判定。</w:t>
      </w:r>
    </w:p>
    <w:p>
      <w:pPr>
        <w:pStyle w:val="144"/>
      </w:pPr>
      <w:r>
        <w:rPr>
          <w:rFonts w:hint="eastAsia" w:hAnsi="宋体"/>
        </w:rPr>
        <w:t>检验结果中</w:t>
      </w:r>
      <w:r>
        <w:rPr>
          <w:rFonts w:hint="eastAsia"/>
        </w:rPr>
        <w:t>如安全指标有一项不合格或其他项目有两项以上不合格时，不得复检，判定该次型式检验不合格。</w:t>
      </w:r>
    </w:p>
    <w:bookmarkEnd w:id="91"/>
    <w:p>
      <w:pPr>
        <w:pStyle w:val="85"/>
        <w:spacing w:before="312" w:after="312"/>
      </w:pPr>
      <w:r>
        <w:rPr>
          <w:rFonts w:hint="eastAsia"/>
        </w:rPr>
        <w:t>标签、标志、包装、运输与贮存</w:t>
      </w:r>
    </w:p>
    <w:p>
      <w:pPr>
        <w:pStyle w:val="86"/>
        <w:spacing w:before="156" w:after="156"/>
      </w:pPr>
      <w:r>
        <w:rPr>
          <w:rFonts w:hint="eastAsia"/>
        </w:rPr>
        <w:t>标签、标志</w:t>
      </w:r>
    </w:p>
    <w:p>
      <w:pPr>
        <w:pStyle w:val="144"/>
      </w:pPr>
      <w:r>
        <w:rPr>
          <w:rFonts w:hint="eastAsia" w:hAnsi="宋体"/>
        </w:rPr>
        <w:t>标签内容应符合GB 7718、</w:t>
      </w:r>
      <w:r>
        <w:rPr>
          <w:rFonts w:hint="eastAsia" w:hAnsi="宋体"/>
          <w:bCs/>
        </w:rPr>
        <w:t>GB 28050、</w:t>
      </w:r>
      <w:r>
        <w:rPr>
          <w:rFonts w:hint="eastAsia" w:hAnsi="宋体" w:cs="宋体"/>
        </w:rPr>
        <w:t xml:space="preserve">GB/T </w:t>
      </w:r>
      <w:r>
        <w:rPr>
          <w:rFonts w:hint="eastAsia" w:hAnsi="宋体"/>
        </w:rPr>
        <w:t>17924的规定。标签应标明产品名称、生产日期、保质期、执行标准号、食品生产许可证编号、生产者名称及地址、产地、联系方式、储藏方法或储藏条件等内容。</w:t>
      </w:r>
    </w:p>
    <w:p>
      <w:pPr>
        <w:pStyle w:val="144"/>
      </w:pPr>
      <w:r>
        <w:rPr>
          <w:rFonts w:hint="eastAsia"/>
        </w:rPr>
        <w:t>地理标志产品专用标志使用应符合《地理标志专用标志使用管理办法（试行）》的要求，地理标志产品保护范围内的生产者获得批准的，可在其生产的地理标志产品上使用地理标志产品专用标志。</w:t>
      </w:r>
    </w:p>
    <w:p>
      <w:pPr>
        <w:pStyle w:val="144"/>
      </w:pPr>
      <w:r>
        <w:rPr>
          <w:rFonts w:hint="eastAsia" w:hAnsi="宋体"/>
        </w:rPr>
        <w:t>外包装标志应符合 GB/T 191的规定。</w:t>
      </w:r>
    </w:p>
    <w:p>
      <w:pPr>
        <w:pStyle w:val="86"/>
        <w:spacing w:before="156" w:after="156"/>
      </w:pPr>
      <w:r>
        <w:rPr>
          <w:rFonts w:hint="eastAsia" w:hAnsi="黑体" w:cs="黑体"/>
        </w:rPr>
        <w:t>包装</w:t>
      </w:r>
    </w:p>
    <w:p>
      <w:pPr>
        <w:pStyle w:val="144"/>
      </w:pPr>
      <w:r>
        <w:rPr>
          <w:rFonts w:hint="eastAsia" w:hAnsi="宋体"/>
        </w:rPr>
        <w:t>包装场地应通风、干燥、卫生、无毒、无霉等异味</w:t>
      </w:r>
      <w:r>
        <w:rPr>
          <w:rFonts w:hint="eastAsia"/>
        </w:rPr>
        <w:t>。</w:t>
      </w:r>
    </w:p>
    <w:p>
      <w:pPr>
        <w:pStyle w:val="144"/>
      </w:pPr>
      <w:r>
        <w:rPr>
          <w:rFonts w:hint="eastAsia" w:hAnsi="宋体"/>
        </w:rPr>
        <w:t>包装容器封口应严密牢固，不得出现破损等现象</w:t>
      </w:r>
      <w:r>
        <w:rPr>
          <w:rFonts w:hint="eastAsia"/>
        </w:rPr>
        <w:t>。</w:t>
      </w:r>
    </w:p>
    <w:p>
      <w:pPr>
        <w:pStyle w:val="86"/>
        <w:spacing w:before="156" w:after="156"/>
      </w:pPr>
      <w:bookmarkStart w:id="92" w:name="_Toc54883691"/>
      <w:bookmarkStart w:id="93" w:name="_Toc54883690"/>
      <w:r>
        <w:rPr>
          <w:rFonts w:hint="eastAsia"/>
        </w:rPr>
        <w:t>运输</w:t>
      </w:r>
      <w:bookmarkEnd w:id="92"/>
    </w:p>
    <w:p>
      <w:pPr>
        <w:pStyle w:val="144"/>
      </w:pPr>
      <w:r>
        <w:rPr>
          <w:rFonts w:hint="eastAsia" w:hAnsi="宋体"/>
        </w:rPr>
        <w:t>运输工具应符合食品卫生要求，不得与有毒、有害、有污染、有异味等物品混装、混载</w:t>
      </w:r>
      <w:r>
        <w:rPr>
          <w:rFonts w:hint="eastAsia"/>
        </w:rPr>
        <w:t>。</w:t>
      </w:r>
    </w:p>
    <w:p>
      <w:pPr>
        <w:pStyle w:val="144"/>
      </w:pPr>
      <w:r>
        <w:rPr>
          <w:rFonts w:hint="eastAsia" w:hAnsi="宋体"/>
        </w:rPr>
        <w:t>运输时应有防雨、防晒、防潮等措施，装卸时应轻拿轻放。</w:t>
      </w:r>
    </w:p>
    <w:p>
      <w:pPr>
        <w:pStyle w:val="86"/>
        <w:spacing w:before="156" w:after="156"/>
      </w:pPr>
      <w:r>
        <w:rPr>
          <w:rFonts w:hint="eastAsia"/>
        </w:rPr>
        <w:t>贮存</w:t>
      </w:r>
      <w:bookmarkEnd w:id="93"/>
    </w:p>
    <w:p>
      <w:pPr>
        <w:pStyle w:val="42"/>
        <w:ind w:firstLine="420"/>
      </w:pPr>
      <w:r>
        <w:rPr>
          <w:rFonts w:hint="eastAsia"/>
        </w:rPr>
        <w:t xml:space="preserve">产品应存放在通风、清洁、阴凉、干燥的仓库中，存放应离墙、离地应≥15cm，不得露天堆放。不得与有毒、易污染、有异味、潮湿的物品同仓贮存。 </w:t>
      </w:r>
    </w:p>
    <w:p>
      <w:pPr>
        <w:pStyle w:val="42"/>
        <w:ind w:firstLine="420"/>
      </w:pPr>
    </w:p>
    <w:p>
      <w:pPr>
        <w:pStyle w:val="42"/>
        <w:ind w:firstLine="420"/>
      </w:pPr>
    </w:p>
    <w:p>
      <w:pPr>
        <w:pStyle w:val="174"/>
      </w:pPr>
    </w:p>
    <w:p>
      <w:pPr>
        <w:pStyle w:val="175"/>
      </w:pPr>
    </w:p>
    <w:p>
      <w:pPr>
        <w:pStyle w:val="61"/>
        <w:numPr>
          <w:ilvl w:val="0"/>
          <w:numId w:val="0"/>
        </w:numPr>
        <w:spacing w:before="78" w:after="156"/>
        <w:jc w:val="both"/>
        <w:sectPr>
          <w:pgSz w:w="11906" w:h="16838"/>
          <w:pgMar w:top="1871" w:right="1134" w:bottom="1134" w:left="1134" w:header="1418" w:footer="1134" w:gutter="284"/>
          <w:pgNumType w:start="1"/>
          <w:cols w:space="720" w:num="1"/>
          <w:formProt w:val="0"/>
          <w:docGrid w:type="lines" w:linePitch="312" w:charSpace="0"/>
        </w:sectPr>
      </w:pPr>
      <w:bookmarkStart w:id="94" w:name="BookMark5"/>
    </w:p>
    <w:p>
      <w:pPr>
        <w:pStyle w:val="174"/>
      </w:pPr>
    </w:p>
    <w:p>
      <w:pPr>
        <w:pStyle w:val="175"/>
      </w:pPr>
    </w:p>
    <w:p>
      <w:pPr>
        <w:pStyle w:val="61"/>
        <w:spacing w:before="78" w:after="156"/>
      </w:pPr>
      <w:r>
        <w:br w:type="textWrapping"/>
      </w:r>
      <w:bookmarkStart w:id="95" w:name="_Toc63413210"/>
      <w:r>
        <w:rPr>
          <w:rFonts w:hint="eastAsia"/>
        </w:rPr>
        <w:t>（资料性）</w:t>
      </w:r>
      <w:r>
        <w:br w:type="textWrapping"/>
      </w:r>
      <w:r>
        <w:rPr>
          <w:rFonts w:hint="eastAsia"/>
        </w:rPr>
        <w:t>地理标志产品 虎噉金针菜保护范围</w:t>
      </w:r>
      <w:bookmarkEnd w:id="95"/>
    </w:p>
    <w:p>
      <w:pPr>
        <w:pStyle w:val="42"/>
        <w:spacing w:before="124" w:after="156"/>
        <w:ind w:firstLine="420"/>
      </w:pPr>
      <w:r>
        <w:rPr>
          <w:rFonts w:hint="eastAsia"/>
        </w:rPr>
        <w:t>地理标志产品 虎噉金针菜保护范围见图A.1</w:t>
      </w:r>
    </w:p>
    <w:p>
      <w:pPr>
        <w:pStyle w:val="42"/>
        <w:spacing w:before="124" w:after="156"/>
        <w:ind w:firstLine="0" w:firstLineChars="0"/>
      </w:pPr>
      <w:r>
        <w:rPr>
          <w:rFonts w:hint="eastAsia"/>
        </w:rPr>
        <w:drawing>
          <wp:inline distT="0" distB="0" distL="114300" distR="114300">
            <wp:extent cx="5939790" cy="5048885"/>
            <wp:effectExtent l="0" t="0" r="3810" b="18415"/>
            <wp:docPr id="1" name="图片 1" descr="金针菜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金针菜地图"/>
                    <pic:cNvPicPr>
                      <a:picLocks noChangeAspect="1"/>
                    </pic:cNvPicPr>
                  </pic:nvPicPr>
                  <pic:blipFill>
                    <a:blip r:embed="rId14" cstate="print"/>
                    <a:stretch>
                      <a:fillRect/>
                    </a:stretch>
                  </pic:blipFill>
                  <pic:spPr>
                    <a:xfrm>
                      <a:off x="0" y="0"/>
                      <a:ext cx="5939790" cy="5048885"/>
                    </a:xfrm>
                    <a:prstGeom prst="rect">
                      <a:avLst/>
                    </a:prstGeom>
                  </pic:spPr>
                </pic:pic>
              </a:graphicData>
            </a:graphic>
          </wp:inline>
        </w:drawing>
      </w:r>
    </w:p>
    <w:p>
      <w:pPr>
        <w:pStyle w:val="42"/>
        <w:spacing w:before="124" w:after="156"/>
        <w:ind w:firstLine="420"/>
        <w:jc w:val="center"/>
        <w:rPr>
          <w:rFonts w:ascii="黑体" w:hAnsi="黑体" w:eastAsia="黑体" w:cs="黑体"/>
        </w:rPr>
      </w:pPr>
    </w:p>
    <w:p>
      <w:pPr>
        <w:pStyle w:val="42"/>
        <w:spacing w:before="124" w:after="156"/>
        <w:ind w:firstLine="420"/>
        <w:jc w:val="center"/>
      </w:pPr>
      <w:r>
        <w:rPr>
          <w:rFonts w:hint="eastAsia" w:ascii="黑体" w:hAnsi="黑体" w:eastAsia="黑体" w:cs="黑体"/>
        </w:rPr>
        <w:t>图A.1　地理标志产品 虎噉金针菜保护范围</w:t>
      </w:r>
    </w:p>
    <w:p>
      <w:pPr>
        <w:pStyle w:val="42"/>
        <w:spacing w:before="124" w:after="156"/>
        <w:ind w:firstLine="0" w:firstLineChars="0"/>
        <w:jc w:val="center"/>
      </w:pPr>
    </w:p>
    <w:p>
      <w:pPr>
        <w:pStyle w:val="42"/>
        <w:ind w:firstLine="420"/>
      </w:pPr>
    </w:p>
    <w:p>
      <w:pPr>
        <w:pStyle w:val="49"/>
        <w:spacing w:before="124" w:after="156"/>
        <w:rPr>
          <w:spacing w:val="105"/>
        </w:rPr>
      </w:pPr>
    </w:p>
    <w:p>
      <w:pPr>
        <w:pStyle w:val="49"/>
        <w:spacing w:before="124" w:after="156"/>
        <w:rPr>
          <w:spacing w:val="105"/>
        </w:rPr>
      </w:pPr>
    </w:p>
    <w:p>
      <w:pPr>
        <w:pStyle w:val="49"/>
        <w:spacing w:before="124" w:after="156"/>
        <w:rPr>
          <w:spacing w:val="105"/>
        </w:rPr>
      </w:pPr>
    </w:p>
    <w:p>
      <w:pPr>
        <w:pStyle w:val="49"/>
        <w:spacing w:before="124" w:after="156"/>
        <w:rPr>
          <w:spacing w:val="105"/>
        </w:rPr>
      </w:pPr>
    </w:p>
    <w:p>
      <w:pPr>
        <w:pStyle w:val="49"/>
        <w:spacing w:before="124" w:after="156"/>
      </w:pPr>
      <w:r>
        <w:rPr>
          <w:rFonts w:hint="eastAsia"/>
          <w:spacing w:val="105"/>
        </w:rPr>
        <w:t>参考文</w:t>
      </w:r>
      <w:r>
        <w:rPr>
          <w:rFonts w:hint="eastAsia"/>
        </w:rPr>
        <w:t>献</w:t>
      </w:r>
    </w:p>
    <w:p>
      <w:pPr>
        <w:pStyle w:val="42"/>
        <w:ind w:firstLine="420"/>
      </w:pPr>
      <w:r>
        <w:rPr>
          <w:rFonts w:hint="eastAsia"/>
        </w:rPr>
        <w:t>[1] 原国家质量监督检验检疫总局2011年第14号公告</w:t>
      </w:r>
    </w:p>
    <w:p>
      <w:pPr>
        <w:pStyle w:val="42"/>
        <w:ind w:firstLine="420"/>
      </w:pPr>
      <w:r>
        <w:rPr>
          <w:rFonts w:hint="eastAsia"/>
        </w:rPr>
        <w:t>[2] 国家知识产权局（2020）第354号  地理标志专用标志使用管理办法（试行）</w:t>
      </w:r>
    </w:p>
    <w:p>
      <w:pPr>
        <w:pStyle w:val="175"/>
      </w:pPr>
    </w:p>
    <w:bookmarkEnd w:id="94"/>
    <w:p>
      <w:pPr>
        <w:pStyle w:val="42"/>
        <w:ind w:firstLine="0" w:firstLineChars="0"/>
        <w:jc w:val="center"/>
      </w:pPr>
      <w:bookmarkStart w:id="96" w:name="BookMark8"/>
      <w:r>
        <w:drawing>
          <wp:inline distT="0" distB="0" distL="114300" distR="114300">
            <wp:extent cx="1847850" cy="314325"/>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cstate="print">
                      <a:lum/>
                    </a:blip>
                    <a:stretch>
                      <a:fillRect/>
                    </a:stretch>
                  </pic:blipFill>
                  <pic:spPr>
                    <a:xfrm>
                      <a:off x="0" y="0"/>
                      <a:ext cx="1859049" cy="316230"/>
                    </a:xfrm>
                    <a:prstGeom prst="rect">
                      <a:avLst/>
                    </a:prstGeom>
                    <a:noFill/>
                    <a:ln>
                      <a:noFill/>
                    </a:ln>
                  </pic:spPr>
                </pic:pic>
              </a:graphicData>
            </a:graphic>
          </wp:inline>
        </w:drawing>
      </w:r>
      <w:bookmarkEnd w:id="96"/>
    </w:p>
    <w:p/>
    <w:p/>
    <w:p/>
    <w:p/>
    <w:p>
      <w:pPr>
        <w:tabs>
          <w:tab w:val="left" w:pos="5535"/>
        </w:tabs>
      </w:pPr>
      <w:r>
        <w:tab/>
      </w:r>
    </w:p>
    <w:sectPr>
      <w:pgSz w:w="11906" w:h="16838"/>
      <w:pgMar w:top="1871" w:right="1134" w:bottom="1134" w:left="1134" w:header="1418" w:footer="1134" w:gutter="284"/>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fldChar w:fldCharType="begin"/>
    </w:r>
    <w:r>
      <w:instrText xml:space="preserve">PAGE   \* MERGEFORMAT</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DB 4415/T 6—2021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DB 4415/T 6—2021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lowerLetter"/>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2837933"/>
    <w:multiLevelType w:val="multilevel"/>
    <w:tmpl w:val="02837933"/>
    <w:lvl w:ilvl="0" w:tentative="0">
      <w:start w:val="1"/>
      <w:numFmt w:val="decimal"/>
      <w:pStyle w:val="5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38"/>
      <w:suff w:val="nothing"/>
      <w:lvlText w:val="%1%2.%3　"/>
      <w:lvlJc w:val="left"/>
      <w:pPr>
        <w:ind w:left="0" w:firstLine="0"/>
      </w:pPr>
    </w:lvl>
    <w:lvl w:ilvl="3" w:tentative="0">
      <w:start w:val="1"/>
      <w:numFmt w:val="decimal"/>
      <w:pStyle w:val="99"/>
      <w:suff w:val="nothing"/>
      <w:lvlText w:val="%1%2.%3.%4　"/>
      <w:lvlJc w:val="left"/>
      <w:pPr>
        <w:ind w:left="0" w:firstLine="0"/>
      </w:pPr>
    </w:lvl>
    <w:lvl w:ilvl="4" w:tentative="0">
      <w:start w:val="1"/>
      <w:numFmt w:val="decimal"/>
      <w:pStyle w:val="132"/>
      <w:suff w:val="nothing"/>
      <w:lvlText w:val="%1%2.%3.%4.%5　"/>
      <w:lvlJc w:val="left"/>
      <w:pPr>
        <w:ind w:left="0" w:firstLine="0"/>
      </w:pPr>
    </w:lvl>
    <w:lvl w:ilvl="5" w:tentative="0">
      <w:start w:val="1"/>
      <w:numFmt w:val="decimal"/>
      <w:pStyle w:val="134"/>
      <w:suff w:val="nothing"/>
      <w:lvlText w:val="%1%2.%3.%4.%5.%6　"/>
      <w:lvlJc w:val="left"/>
      <w:pPr>
        <w:ind w:left="0" w:firstLine="0"/>
      </w:pPr>
    </w:lvl>
    <w:lvl w:ilvl="6" w:tentative="0">
      <w:start w:val="1"/>
      <w:numFmt w:val="decimal"/>
      <w:pStyle w:val="137"/>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59"/>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73"/>
      <w:lvlText w:val="%1"/>
      <w:lvlJc w:val="left"/>
      <w:pPr>
        <w:ind w:left="425" w:hanging="425"/>
      </w:pPr>
      <w:rPr>
        <w:rFonts w:hint="eastAsia"/>
      </w:rPr>
    </w:lvl>
    <w:lvl w:ilvl="1" w:tentative="0">
      <w:start w:val="1"/>
      <w:numFmt w:val="decimal"/>
      <w:pStyle w:val="176"/>
      <w:suff w:val="nothing"/>
      <w:lvlText w:val="%10.%2 "/>
      <w:lvlJc w:val="left"/>
      <w:pPr>
        <w:ind w:left="0" w:firstLine="0"/>
      </w:pPr>
      <w:rPr>
        <w:rFonts w:hint="eastAsia" w:ascii="黑体" w:hAnsi="等线" w:eastAsia="黑体"/>
        <w:b w:val="0"/>
        <w:i w:val="0"/>
        <w:sz w:val="21"/>
      </w:rPr>
    </w:lvl>
    <w:lvl w:ilvl="2" w:tentative="0">
      <w:start w:val="1"/>
      <w:numFmt w:val="decimal"/>
      <w:pStyle w:val="177"/>
      <w:suff w:val="nothing"/>
      <w:lvlText w:val="%10.%2.%3 "/>
      <w:lvlJc w:val="left"/>
      <w:pPr>
        <w:ind w:left="0" w:firstLine="0"/>
      </w:pPr>
      <w:rPr>
        <w:rFonts w:hint="eastAsia" w:ascii="黑体" w:hAnsi="等线" w:eastAsia="黑体"/>
        <w:b w:val="0"/>
        <w:i w:val="0"/>
        <w:sz w:val="21"/>
      </w:rPr>
    </w:lvl>
    <w:lvl w:ilvl="3" w:tentative="0">
      <w:start w:val="1"/>
      <w:numFmt w:val="decimal"/>
      <w:pStyle w:val="178"/>
      <w:suff w:val="nothing"/>
      <w:lvlText w:val="%10.%2.%3.%4 "/>
      <w:lvlJc w:val="left"/>
      <w:pPr>
        <w:ind w:left="0" w:firstLine="0"/>
      </w:pPr>
      <w:rPr>
        <w:rFonts w:hint="eastAsia" w:ascii="黑体" w:hAnsi="等线" w:eastAsia="黑体"/>
        <w:b w:val="0"/>
        <w:i w:val="0"/>
        <w:sz w:val="21"/>
      </w:rPr>
    </w:lvl>
    <w:lvl w:ilvl="4" w:tentative="0">
      <w:start w:val="1"/>
      <w:numFmt w:val="decimal"/>
      <w:pStyle w:val="179"/>
      <w:suff w:val="nothing"/>
      <w:lvlText w:val="%10.%2.%3.%4.%5 "/>
      <w:lvlJc w:val="left"/>
      <w:pPr>
        <w:ind w:left="0" w:firstLine="0"/>
      </w:pPr>
      <w:rPr>
        <w:rFonts w:hint="eastAsia" w:ascii="黑体" w:hAnsi="等线" w:eastAsia="黑体"/>
        <w:b w:val="0"/>
        <w:i w:val="0"/>
        <w:sz w:val="21"/>
      </w:rPr>
    </w:lvl>
    <w:lvl w:ilvl="5" w:tentative="0">
      <w:start w:val="1"/>
      <w:numFmt w:val="decimal"/>
      <w:pStyle w:val="180"/>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60"/>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5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4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9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7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7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1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64"/>
      <w:lvlText w:val=""/>
      <w:lvlJc w:val="left"/>
      <w:pPr>
        <w:ind w:left="851" w:hanging="431"/>
      </w:pPr>
      <w:rPr>
        <w:rFonts w:hint="default" w:ascii="Symbol" w:hAnsi="Symbol"/>
        <w:sz w:val="21"/>
      </w:rPr>
    </w:lvl>
    <w:lvl w:ilvl="2" w:tentative="0">
      <w:start w:val="1"/>
      <w:numFmt w:val="bullet"/>
      <w:pStyle w:val="151"/>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83"/>
      <w:lvlText w:val="%1"/>
      <w:lvlJc w:val="left"/>
      <w:pPr>
        <w:tabs>
          <w:tab w:val="left" w:pos="539"/>
        </w:tabs>
        <w:ind w:left="539" w:hanging="119"/>
      </w:pPr>
      <w:rPr>
        <w:rFonts w:hint="eastAsia"/>
        <w:caps w:val="0"/>
        <w:strike w:val="0"/>
        <w:dstrike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53"/>
      <w:lvlText w:val="%1)"/>
      <w:lvlJc w:val="left"/>
      <w:pPr>
        <w:tabs>
          <w:tab w:val="left" w:pos="851"/>
        </w:tabs>
        <w:ind w:left="851" w:hanging="426"/>
      </w:pPr>
      <w:rPr>
        <w:rFonts w:hint="eastAsia" w:ascii="宋体" w:hAnsi="Times New Roman" w:eastAsia="宋体"/>
        <w:sz w:val="21"/>
      </w:rPr>
    </w:lvl>
    <w:lvl w:ilvl="1" w:tentative="0">
      <w:start w:val="1"/>
      <w:numFmt w:val="decimal"/>
      <w:pStyle w:val="90"/>
      <w:lvlText w:val="%2)"/>
      <w:lvlJc w:val="left"/>
      <w:pPr>
        <w:tabs>
          <w:tab w:val="left" w:pos="1276"/>
        </w:tabs>
        <w:ind w:left="1276" w:hanging="425"/>
      </w:pPr>
      <w:rPr>
        <w:rFonts w:hint="eastAsia" w:ascii="宋体" w:hAnsi="Times New Roman" w:eastAsia="宋体"/>
        <w:sz w:val="21"/>
      </w:rPr>
    </w:lvl>
    <w:lvl w:ilvl="2" w:tentative="0">
      <w:start w:val="1"/>
      <w:numFmt w:val="decimal"/>
      <w:pStyle w:val="9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74"/>
      <w:lvlText w:val="%1"/>
      <w:lvlJc w:val="left"/>
      <w:pPr>
        <w:ind w:left="420" w:hanging="420"/>
      </w:pPr>
      <w:rPr>
        <w:rFonts w:hint="eastAsia"/>
      </w:rPr>
    </w:lvl>
    <w:lvl w:ilvl="1" w:tentative="0">
      <w:start w:val="1"/>
      <w:numFmt w:val="decimal"/>
      <w:pStyle w:val="6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62"/>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9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7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9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75"/>
      <w:suff w:val="space"/>
      <w:lvlText w:val="%1"/>
      <w:lvlJc w:val="left"/>
      <w:pPr>
        <w:ind w:left="425" w:hanging="425"/>
      </w:pPr>
      <w:rPr>
        <w:rFonts w:hint="eastAsia"/>
      </w:rPr>
    </w:lvl>
    <w:lvl w:ilvl="1" w:tentative="0">
      <w:start w:val="1"/>
      <w:numFmt w:val="decimal"/>
      <w:pStyle w:val="6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9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4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9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66"/>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61"/>
      <w:suff w:val="nothing"/>
      <w:lvlText w:val="附录%1"/>
      <w:lvlJc w:val="left"/>
      <w:pPr>
        <w:ind w:left="0" w:firstLine="0"/>
      </w:pPr>
      <w:rPr>
        <w:rFonts w:hint="eastAsia"/>
        <w:spacing w:val="100"/>
      </w:rPr>
    </w:lvl>
    <w:lvl w:ilvl="1" w:tentative="0">
      <w:start w:val="1"/>
      <w:numFmt w:val="decimal"/>
      <w:pStyle w:val="63"/>
      <w:suff w:val="nothing"/>
      <w:lvlText w:val="%1.%2　"/>
      <w:lvlJc w:val="left"/>
      <w:pPr>
        <w:ind w:left="0" w:firstLine="0"/>
      </w:pPr>
      <w:rPr>
        <w:rFonts w:hint="eastAsia" w:ascii="黑体" w:eastAsia="黑体"/>
        <w:b w:val="0"/>
        <w:i w:val="0"/>
        <w:sz w:val="21"/>
      </w:rPr>
    </w:lvl>
    <w:lvl w:ilvl="2" w:tentative="0">
      <w:start w:val="1"/>
      <w:numFmt w:val="decimal"/>
      <w:pStyle w:val="64"/>
      <w:suff w:val="nothing"/>
      <w:lvlText w:val="%1.%2.%3　"/>
      <w:lvlJc w:val="left"/>
      <w:pPr>
        <w:ind w:left="0" w:firstLine="0"/>
      </w:pPr>
      <w:rPr>
        <w:rFonts w:hint="eastAsia" w:ascii="黑体" w:eastAsia="黑体"/>
        <w:b w:val="0"/>
        <w:i w:val="0"/>
        <w:sz w:val="21"/>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67"/>
      <w:suff w:val="nothing"/>
      <w:lvlText w:val="%1.%2.%3.%4.%5　"/>
      <w:lvlJc w:val="left"/>
      <w:pPr>
        <w:ind w:left="0" w:firstLine="0"/>
      </w:pPr>
      <w:rPr>
        <w:rFonts w:hint="eastAsia" w:ascii="黑体" w:eastAsia="黑体"/>
        <w:b w:val="0"/>
        <w:i w:val="0"/>
        <w:sz w:val="21"/>
      </w:rPr>
    </w:lvl>
    <w:lvl w:ilvl="5" w:tentative="0">
      <w:start w:val="1"/>
      <w:numFmt w:val="decimal"/>
      <w:pStyle w:val="6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65"/>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8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5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235"/>
      <w:suff w:val="nothing"/>
      <w:lvlText w:val="%1"/>
      <w:lvlJc w:val="left"/>
      <w:pPr>
        <w:ind w:left="0" w:firstLine="0"/>
      </w:pPr>
      <w:rPr>
        <w:rFonts w:hint="eastAsia"/>
      </w:rPr>
    </w:lvl>
    <w:lvl w:ilvl="1" w:tentative="0">
      <w:start w:val="1"/>
      <w:numFmt w:val="decimal"/>
      <w:pStyle w:val="85"/>
      <w:suff w:val="nothing"/>
      <w:lvlText w:val="%1%2　"/>
      <w:lvlJc w:val="left"/>
      <w:pPr>
        <w:ind w:left="0" w:firstLine="0"/>
      </w:pPr>
      <w:rPr>
        <w:rFonts w:hint="eastAsia" w:ascii="黑体" w:eastAsia="黑体"/>
        <w:b w:val="0"/>
        <w:i w:val="0"/>
        <w:sz w:val="21"/>
      </w:rPr>
    </w:lvl>
    <w:lvl w:ilvl="2" w:tentative="0">
      <w:start w:val="1"/>
      <w:numFmt w:val="decimal"/>
      <w:pStyle w:val="8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rPr>
    </w:lvl>
    <w:lvl w:ilvl="3" w:tentative="0">
      <w:start w:val="1"/>
      <w:numFmt w:val="decimal"/>
      <w:pStyle w:val="51"/>
      <w:suff w:val="nothing"/>
      <w:lvlText w:val="%1%2.%3.%4　"/>
      <w:lvlJc w:val="left"/>
      <w:pPr>
        <w:ind w:left="0" w:firstLine="0"/>
      </w:pPr>
      <w:rPr>
        <w:rFonts w:hint="eastAsia" w:ascii="黑体" w:eastAsia="黑体"/>
        <w:b w:val="0"/>
        <w:i w:val="0"/>
        <w:sz w:val="21"/>
      </w:rPr>
    </w:lvl>
    <w:lvl w:ilvl="4" w:tentative="0">
      <w:start w:val="1"/>
      <w:numFmt w:val="decimal"/>
      <w:pStyle w:val="78"/>
      <w:suff w:val="nothing"/>
      <w:lvlText w:val="%1%2.%3.%4.%5　"/>
      <w:lvlJc w:val="left"/>
      <w:pPr>
        <w:ind w:left="0" w:firstLine="0"/>
      </w:pPr>
      <w:rPr>
        <w:rFonts w:hint="eastAsia" w:ascii="黑体" w:eastAsia="黑体"/>
        <w:b w:val="0"/>
        <w:i w:val="0"/>
        <w:sz w:val="21"/>
      </w:rPr>
    </w:lvl>
    <w:lvl w:ilvl="5" w:tentative="0">
      <w:start w:val="1"/>
      <w:numFmt w:val="decimal"/>
      <w:pStyle w:val="81"/>
      <w:suff w:val="nothing"/>
      <w:lvlText w:val="%1%2.%3.%4.%5.%6　"/>
      <w:lvlJc w:val="left"/>
      <w:pPr>
        <w:ind w:left="0" w:firstLine="0"/>
      </w:pPr>
      <w:rPr>
        <w:rFonts w:hint="eastAsia" w:ascii="黑体" w:eastAsia="黑体"/>
        <w:b w:val="0"/>
        <w:i w:val="0"/>
        <w:sz w:val="21"/>
      </w:rPr>
    </w:lvl>
    <w:lvl w:ilvl="6" w:tentative="0">
      <w:start w:val="1"/>
      <w:numFmt w:val="decimal"/>
      <w:pStyle w:val="8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58"/>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9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18"/>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vjNlaAm9gwLRm7eUlRPzAG5olk9FskT/3qp2BFnc38hHAVnyneS/chES1CXDdyjm9tJPkHjLL6/2jU1+8cVbzg==" w:salt="wOlhXDaNHSog3RUPA7NIgA=="/>
  <w:defaultTabStop w:val="420"/>
  <w:drawingGridHorizontalSpacing w:val="105"/>
  <w:drawingGridVerticalSpacing w:val="156"/>
  <w:doNotShadeFormData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33C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268"/>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390"/>
    <w:rsid w:val="001D0499"/>
    <w:rsid w:val="001D0BBE"/>
    <w:rsid w:val="001D0ED4"/>
    <w:rsid w:val="001D212F"/>
    <w:rsid w:val="001D29D7"/>
    <w:rsid w:val="001D2DE7"/>
    <w:rsid w:val="001D411C"/>
    <w:rsid w:val="001D5463"/>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0980"/>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3CA"/>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628"/>
    <w:rsid w:val="003D0FF6"/>
    <w:rsid w:val="003D262C"/>
    <w:rsid w:val="003D6BB8"/>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6E28"/>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5FE"/>
    <w:rsid w:val="005D6A95"/>
    <w:rsid w:val="005D6B2C"/>
    <w:rsid w:val="005D6D9C"/>
    <w:rsid w:val="005E2335"/>
    <w:rsid w:val="005E34CA"/>
    <w:rsid w:val="005E3C18"/>
    <w:rsid w:val="005E6812"/>
    <w:rsid w:val="005E7881"/>
    <w:rsid w:val="005E78E0"/>
    <w:rsid w:val="005F0D9C"/>
    <w:rsid w:val="005F284E"/>
    <w:rsid w:val="006015CE"/>
    <w:rsid w:val="00602975"/>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1FDA"/>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63F1"/>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7E8"/>
    <w:rsid w:val="006F03A8"/>
    <w:rsid w:val="006F0FEB"/>
    <w:rsid w:val="006F2ACA"/>
    <w:rsid w:val="006F2ADC"/>
    <w:rsid w:val="006F2BFE"/>
    <w:rsid w:val="006F31E9"/>
    <w:rsid w:val="006F6284"/>
    <w:rsid w:val="007002C5"/>
    <w:rsid w:val="00704387"/>
    <w:rsid w:val="00707669"/>
    <w:rsid w:val="00711CBA"/>
    <w:rsid w:val="00711FB5"/>
    <w:rsid w:val="0071297A"/>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0CC"/>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0EC6"/>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5FB8"/>
    <w:rsid w:val="009B6029"/>
    <w:rsid w:val="009B6971"/>
    <w:rsid w:val="009C27F1"/>
    <w:rsid w:val="009C3152"/>
    <w:rsid w:val="009C4CFA"/>
    <w:rsid w:val="009C5070"/>
    <w:rsid w:val="009D112C"/>
    <w:rsid w:val="009D250A"/>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7B1"/>
    <w:rsid w:val="00B378E5"/>
    <w:rsid w:val="00B405BD"/>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6D37"/>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182"/>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64A"/>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2F6A"/>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8D2B62"/>
    <w:rsid w:val="057D4C33"/>
    <w:rsid w:val="063D71D3"/>
    <w:rsid w:val="077324C8"/>
    <w:rsid w:val="08A05126"/>
    <w:rsid w:val="090A7449"/>
    <w:rsid w:val="0B3478EC"/>
    <w:rsid w:val="0B8C2721"/>
    <w:rsid w:val="0B9C51B1"/>
    <w:rsid w:val="0C2144F6"/>
    <w:rsid w:val="0C541CC6"/>
    <w:rsid w:val="0E734A59"/>
    <w:rsid w:val="0E920377"/>
    <w:rsid w:val="0FCC6544"/>
    <w:rsid w:val="10612F41"/>
    <w:rsid w:val="11AE5061"/>
    <w:rsid w:val="13342C7A"/>
    <w:rsid w:val="1481152F"/>
    <w:rsid w:val="14A35CE8"/>
    <w:rsid w:val="150F669C"/>
    <w:rsid w:val="15F63A51"/>
    <w:rsid w:val="160305AF"/>
    <w:rsid w:val="17725AA6"/>
    <w:rsid w:val="184B2356"/>
    <w:rsid w:val="19B22E30"/>
    <w:rsid w:val="1AD37022"/>
    <w:rsid w:val="1B3B7E53"/>
    <w:rsid w:val="1C226AB8"/>
    <w:rsid w:val="1C71455E"/>
    <w:rsid w:val="1D4F5B0B"/>
    <w:rsid w:val="1D6C5480"/>
    <w:rsid w:val="1FCF15F0"/>
    <w:rsid w:val="1FDD69B2"/>
    <w:rsid w:val="20804A00"/>
    <w:rsid w:val="23C50DBF"/>
    <w:rsid w:val="24CD5239"/>
    <w:rsid w:val="25572735"/>
    <w:rsid w:val="25946618"/>
    <w:rsid w:val="25C315D8"/>
    <w:rsid w:val="267C5D09"/>
    <w:rsid w:val="297E60A1"/>
    <w:rsid w:val="2AA42601"/>
    <w:rsid w:val="2E160C7F"/>
    <w:rsid w:val="2F272C24"/>
    <w:rsid w:val="2FD30600"/>
    <w:rsid w:val="30167675"/>
    <w:rsid w:val="30FB5285"/>
    <w:rsid w:val="326F14F6"/>
    <w:rsid w:val="341B7960"/>
    <w:rsid w:val="36820DFD"/>
    <w:rsid w:val="37D320D5"/>
    <w:rsid w:val="380A7980"/>
    <w:rsid w:val="380D113A"/>
    <w:rsid w:val="39A7027D"/>
    <w:rsid w:val="3BE84838"/>
    <w:rsid w:val="3C2D507F"/>
    <w:rsid w:val="3C581BAF"/>
    <w:rsid w:val="3D5742AE"/>
    <w:rsid w:val="3DCA47BA"/>
    <w:rsid w:val="3EFE1C7B"/>
    <w:rsid w:val="3F9625DF"/>
    <w:rsid w:val="4014276A"/>
    <w:rsid w:val="434E0587"/>
    <w:rsid w:val="439C027C"/>
    <w:rsid w:val="43A0523B"/>
    <w:rsid w:val="442B2FE3"/>
    <w:rsid w:val="4468266A"/>
    <w:rsid w:val="459B1F40"/>
    <w:rsid w:val="46F43BB4"/>
    <w:rsid w:val="48585F4F"/>
    <w:rsid w:val="4892756A"/>
    <w:rsid w:val="49257007"/>
    <w:rsid w:val="4F105D44"/>
    <w:rsid w:val="50095472"/>
    <w:rsid w:val="50147B70"/>
    <w:rsid w:val="53E95CA3"/>
    <w:rsid w:val="55E73CB4"/>
    <w:rsid w:val="56A571E1"/>
    <w:rsid w:val="589A09FD"/>
    <w:rsid w:val="590E195A"/>
    <w:rsid w:val="59E04A84"/>
    <w:rsid w:val="59E3711A"/>
    <w:rsid w:val="5A267F88"/>
    <w:rsid w:val="5B890F4B"/>
    <w:rsid w:val="5EA82A53"/>
    <w:rsid w:val="5F9A313B"/>
    <w:rsid w:val="605A14C2"/>
    <w:rsid w:val="60B24332"/>
    <w:rsid w:val="619604FA"/>
    <w:rsid w:val="621701DE"/>
    <w:rsid w:val="63F34F3A"/>
    <w:rsid w:val="64AB13C3"/>
    <w:rsid w:val="675E1E05"/>
    <w:rsid w:val="68CC58FB"/>
    <w:rsid w:val="699318AC"/>
    <w:rsid w:val="6A0670D5"/>
    <w:rsid w:val="6A633D2E"/>
    <w:rsid w:val="6A666A6F"/>
    <w:rsid w:val="6B213BD1"/>
    <w:rsid w:val="6D3950EF"/>
    <w:rsid w:val="6DC16B63"/>
    <w:rsid w:val="6FC1122F"/>
    <w:rsid w:val="700233CF"/>
    <w:rsid w:val="70B22CBD"/>
    <w:rsid w:val="713E1DD0"/>
    <w:rsid w:val="714E594B"/>
    <w:rsid w:val="71975776"/>
    <w:rsid w:val="71FF6396"/>
    <w:rsid w:val="73C41E81"/>
    <w:rsid w:val="73DB6E48"/>
    <w:rsid w:val="74BC3EB4"/>
    <w:rsid w:val="759813F3"/>
    <w:rsid w:val="76D52484"/>
    <w:rsid w:val="79F42ABF"/>
    <w:rsid w:val="7AD0650C"/>
    <w:rsid w:val="7BA47B75"/>
    <w:rsid w:val="7C712359"/>
    <w:rsid w:val="7CA36FBB"/>
    <w:rsid w:val="7CCD2AB6"/>
    <w:rsid w:val="7CD069E4"/>
    <w:rsid w:val="7E8C502E"/>
    <w:rsid w:val="7FB87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20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06"/>
    <w:qFormat/>
    <w:uiPriority w:val="0"/>
    <w:pPr>
      <w:keepNext/>
      <w:keepLines/>
      <w:spacing w:before="260" w:after="260" w:line="416" w:lineRule="auto"/>
      <w:outlineLvl w:val="2"/>
    </w:pPr>
    <w:rPr>
      <w:b/>
      <w:bCs/>
      <w:sz w:val="32"/>
      <w:szCs w:val="32"/>
    </w:rPr>
  </w:style>
  <w:style w:type="paragraph" w:styleId="5">
    <w:name w:val="heading 4"/>
    <w:basedOn w:val="1"/>
    <w:next w:val="1"/>
    <w:link w:val="20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0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20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21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21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21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219"/>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215"/>
    <w:unhideWhenUsed/>
    <w:qFormat/>
    <w:uiPriority w:val="99"/>
    <w:rPr>
      <w:sz w:val="18"/>
      <w:szCs w:val="18"/>
    </w:rPr>
  </w:style>
  <w:style w:type="paragraph" w:styleId="17">
    <w:name w:val="footer"/>
    <w:basedOn w:val="1"/>
    <w:link w:val="21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21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22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217"/>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rPr>
  </w:style>
  <w:style w:type="character" w:styleId="33">
    <w:name w:val="footnote reference"/>
    <w:semiHidden/>
    <w:qFormat/>
    <w:uiPriority w:val="0"/>
    <w:rPr>
      <w:rFonts w:ascii="宋体" w:hAnsi="宋体" w:eastAsia="宋体" w:cs="Times New Roman"/>
      <w:spacing w:val="0"/>
      <w:sz w:val="18"/>
      <w:vertAlign w:val="superscript"/>
    </w:rPr>
  </w:style>
  <w:style w:type="paragraph" w:customStyle="1" w:styleId="34">
    <w:name w:val="引用1"/>
    <w:basedOn w:val="1"/>
    <w:next w:val="1"/>
    <w:link w:val="216"/>
    <w:qFormat/>
    <w:uiPriority w:val="29"/>
    <w:rPr>
      <w:i/>
      <w:iCs/>
      <w:color w:val="000000"/>
    </w:rPr>
  </w:style>
  <w:style w:type="paragraph" w:customStyle="1" w:styleId="3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37">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3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39">
    <w:name w:val="标准书眉一"/>
    <w:qFormat/>
    <w:uiPriority w:val="0"/>
    <w:pPr>
      <w:jc w:val="both"/>
    </w:pPr>
    <w:rPr>
      <w:rFonts w:ascii="Times New Roman" w:hAnsi="Times New Roman" w:eastAsia="宋体" w:cs="Times New Roman"/>
      <w:lang w:val="en-US" w:eastAsia="zh-CN" w:bidi="ar-SA"/>
    </w:rPr>
  </w:style>
  <w:style w:type="paragraph" w:customStyle="1" w:styleId="40">
    <w:name w:val="标准文件_ICS"/>
    <w:basedOn w:val="1"/>
    <w:qFormat/>
    <w:uiPriority w:val="0"/>
    <w:pPr>
      <w:spacing w:line="0" w:lineRule="atLeast"/>
    </w:pPr>
    <w:rPr>
      <w:rFonts w:ascii="黑体" w:hAnsi="宋体" w:eastAsia="黑体"/>
    </w:rPr>
  </w:style>
  <w:style w:type="paragraph" w:customStyle="1" w:styleId="41">
    <w:name w:val="标准文件_标准正文"/>
    <w:basedOn w:val="1"/>
    <w:next w:val="42"/>
    <w:qFormat/>
    <w:uiPriority w:val="0"/>
    <w:pPr>
      <w:snapToGrid w:val="0"/>
      <w:ind w:firstLine="200" w:firstLineChars="200"/>
    </w:pPr>
    <w:rPr>
      <w:kern w:val="0"/>
    </w:rPr>
  </w:style>
  <w:style w:type="paragraph" w:customStyle="1" w:styleId="42">
    <w:name w:val="标准文件_段"/>
    <w:link w:val="22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标准文件_版本"/>
    <w:basedOn w:val="41"/>
    <w:qFormat/>
    <w:uiPriority w:val="0"/>
    <w:pPr>
      <w:adjustRightInd/>
      <w:snapToGrid/>
      <w:ind w:firstLine="0" w:firstLineChars="0"/>
    </w:pPr>
    <w:rPr>
      <w:rFonts w:ascii="宋体" w:hAnsi="宋体"/>
      <w:kern w:val="2"/>
    </w:rPr>
  </w:style>
  <w:style w:type="paragraph" w:customStyle="1" w:styleId="44">
    <w:name w:val="标准文件_标准部门"/>
    <w:basedOn w:val="1"/>
    <w:qFormat/>
    <w:uiPriority w:val="0"/>
    <w:pPr>
      <w:jc w:val="center"/>
    </w:pPr>
    <w:rPr>
      <w:rFonts w:ascii="黑体" w:eastAsia="黑体"/>
      <w:kern w:val="0"/>
      <w:sz w:val="44"/>
    </w:rPr>
  </w:style>
  <w:style w:type="paragraph" w:customStyle="1" w:styleId="45">
    <w:name w:val="标准文件_标准代替"/>
    <w:basedOn w:val="1"/>
    <w:next w:val="1"/>
    <w:qFormat/>
    <w:uiPriority w:val="0"/>
    <w:pPr>
      <w:spacing w:line="310" w:lineRule="exact"/>
      <w:jc w:val="right"/>
    </w:pPr>
    <w:rPr>
      <w:rFonts w:ascii="宋体" w:hAnsi="宋体"/>
      <w:kern w:val="0"/>
    </w:rPr>
  </w:style>
  <w:style w:type="paragraph" w:customStyle="1" w:styleId="4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4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8">
    <w:name w:val="标准文件_页眉偶数页"/>
    <w:basedOn w:val="47"/>
    <w:next w:val="1"/>
    <w:qFormat/>
    <w:uiPriority w:val="0"/>
    <w:pPr>
      <w:jc w:val="left"/>
    </w:pPr>
  </w:style>
  <w:style w:type="paragraph" w:customStyle="1" w:styleId="49">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50">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51">
    <w:name w:val="标准文件_二级条标题"/>
    <w:next w:val="42"/>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52">
    <w:name w:val="标准文件_方框数字列项"/>
    <w:basedOn w:val="42"/>
    <w:qFormat/>
    <w:uiPriority w:val="0"/>
    <w:pPr>
      <w:numPr>
        <w:ilvl w:val="0"/>
        <w:numId w:val="3"/>
      </w:numPr>
      <w:ind w:firstLine="0" w:firstLineChars="0"/>
    </w:pPr>
  </w:style>
  <w:style w:type="paragraph" w:customStyle="1" w:styleId="53">
    <w:name w:val="标准文件_封面标准编号"/>
    <w:basedOn w:val="1"/>
    <w:next w:val="45"/>
    <w:qFormat/>
    <w:uiPriority w:val="0"/>
    <w:pPr>
      <w:spacing w:line="310" w:lineRule="exact"/>
      <w:jc w:val="right"/>
    </w:pPr>
    <w:rPr>
      <w:rFonts w:ascii="黑体" w:eastAsia="黑体"/>
      <w:kern w:val="0"/>
      <w:sz w:val="28"/>
    </w:rPr>
  </w:style>
  <w:style w:type="paragraph" w:customStyle="1" w:styleId="54">
    <w:name w:val="标准文件_封面标准分类号"/>
    <w:basedOn w:val="1"/>
    <w:qFormat/>
    <w:uiPriority w:val="0"/>
    <w:rPr>
      <w:rFonts w:ascii="黑体" w:eastAsia="黑体"/>
      <w:b/>
      <w:kern w:val="0"/>
      <w:sz w:val="28"/>
    </w:rPr>
  </w:style>
  <w:style w:type="paragraph" w:customStyle="1" w:styleId="55">
    <w:name w:val="标准文件_封面标准名称"/>
    <w:basedOn w:val="1"/>
    <w:qFormat/>
    <w:uiPriority w:val="0"/>
    <w:pPr>
      <w:spacing w:line="240" w:lineRule="auto"/>
      <w:jc w:val="center"/>
    </w:pPr>
    <w:rPr>
      <w:rFonts w:ascii="黑体" w:eastAsia="黑体"/>
      <w:kern w:val="0"/>
      <w:sz w:val="52"/>
    </w:rPr>
  </w:style>
  <w:style w:type="paragraph" w:customStyle="1" w:styleId="56">
    <w:name w:val="标准文件_封面标准英文名称"/>
    <w:basedOn w:val="1"/>
    <w:qFormat/>
    <w:uiPriority w:val="0"/>
    <w:pPr>
      <w:spacing w:line="240" w:lineRule="auto"/>
      <w:jc w:val="center"/>
    </w:pPr>
    <w:rPr>
      <w:rFonts w:ascii="黑体" w:eastAsia="黑体"/>
      <w:b/>
      <w:sz w:val="28"/>
    </w:rPr>
  </w:style>
  <w:style w:type="paragraph" w:customStyle="1" w:styleId="57">
    <w:name w:val="标准文件_封面发布日期"/>
    <w:basedOn w:val="1"/>
    <w:qFormat/>
    <w:uiPriority w:val="0"/>
    <w:pPr>
      <w:spacing w:line="310" w:lineRule="exact"/>
    </w:pPr>
    <w:rPr>
      <w:rFonts w:ascii="黑体" w:eastAsia="黑体"/>
      <w:kern w:val="0"/>
      <w:sz w:val="28"/>
    </w:rPr>
  </w:style>
  <w:style w:type="paragraph" w:customStyle="1" w:styleId="58">
    <w:name w:val="标准文件_封面密级"/>
    <w:basedOn w:val="1"/>
    <w:qFormat/>
    <w:uiPriority w:val="0"/>
    <w:rPr>
      <w:rFonts w:eastAsia="黑体"/>
      <w:sz w:val="32"/>
    </w:rPr>
  </w:style>
  <w:style w:type="paragraph" w:customStyle="1" w:styleId="59">
    <w:name w:val="标准文件_封面实施日期"/>
    <w:basedOn w:val="1"/>
    <w:qFormat/>
    <w:uiPriority w:val="0"/>
    <w:pPr>
      <w:spacing w:line="310" w:lineRule="exact"/>
      <w:jc w:val="right"/>
    </w:pPr>
    <w:rPr>
      <w:rFonts w:ascii="黑体" w:eastAsia="黑体"/>
      <w:sz w:val="28"/>
    </w:rPr>
  </w:style>
  <w:style w:type="paragraph" w:customStyle="1" w:styleId="60">
    <w:name w:val="标准文件_封面抬头"/>
    <w:basedOn w:val="42"/>
    <w:qFormat/>
    <w:uiPriority w:val="0"/>
    <w:pPr>
      <w:adjustRightInd w:val="0"/>
      <w:spacing w:line="800" w:lineRule="exact"/>
      <w:ind w:firstLine="0" w:firstLineChars="0"/>
      <w:jc w:val="distribute"/>
    </w:pPr>
    <w:rPr>
      <w:rFonts w:ascii="黑体" w:eastAsia="黑体"/>
      <w:b/>
      <w:sz w:val="64"/>
    </w:rPr>
  </w:style>
  <w:style w:type="paragraph" w:customStyle="1" w:styleId="61">
    <w:name w:val="标准文件_附录标识"/>
    <w:next w:val="42"/>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62">
    <w:name w:val="标准文件_附录表标题"/>
    <w:next w:val="42"/>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63">
    <w:name w:val="标准文件_附录一级条标题"/>
    <w:next w:val="42"/>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64">
    <w:name w:val="标准文件_附录二级条标题"/>
    <w:basedOn w:val="63"/>
    <w:next w:val="42"/>
    <w:qFormat/>
    <w:uiPriority w:val="0"/>
    <w:pPr>
      <w:widowControl/>
      <w:numPr>
        <w:ilvl w:val="2"/>
      </w:numPr>
      <w:wordWrap w:val="0"/>
      <w:overflowPunct w:val="0"/>
      <w:autoSpaceDE w:val="0"/>
      <w:autoSpaceDN w:val="0"/>
      <w:textAlignment w:val="baseline"/>
      <w:outlineLvl w:val="3"/>
    </w:pPr>
  </w:style>
  <w:style w:type="paragraph" w:customStyle="1" w:styleId="65">
    <w:name w:val="标准文件_附录公式"/>
    <w:basedOn w:val="41"/>
    <w:next w:val="41"/>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66">
    <w:name w:val="标准文件_附录三级条标题"/>
    <w:next w:val="42"/>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67">
    <w:name w:val="标准文件_附录四级条标题"/>
    <w:next w:val="42"/>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68">
    <w:name w:val="标准文件_附录图标题"/>
    <w:next w:val="42"/>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69">
    <w:name w:val="标准文件_附录五级条标题"/>
    <w:next w:val="42"/>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70">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71">
    <w:name w:val="标准文件_附录章标题"/>
    <w:next w:val="4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2">
    <w:name w:val="标准文件_公式后的破折号"/>
    <w:basedOn w:val="42"/>
    <w:next w:val="42"/>
    <w:qFormat/>
    <w:uiPriority w:val="0"/>
    <w:pPr>
      <w:ind w:left="488" w:leftChars="200" w:hanging="289" w:hangingChars="290"/>
    </w:pPr>
  </w:style>
  <w:style w:type="paragraph" w:customStyle="1" w:styleId="73">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74">
    <w:name w:val="标准文件_目次、标准名称标题"/>
    <w:basedOn w:val="73"/>
    <w:next w:val="42"/>
    <w:qFormat/>
    <w:uiPriority w:val="0"/>
    <w:pPr>
      <w:spacing w:line="460" w:lineRule="exact"/>
    </w:pPr>
  </w:style>
  <w:style w:type="paragraph" w:customStyle="1" w:styleId="75">
    <w:name w:val="标准文件_目录标题"/>
    <w:basedOn w:val="1"/>
    <w:qFormat/>
    <w:uiPriority w:val="0"/>
    <w:pPr>
      <w:spacing w:afterLines="150" w:line="240" w:lineRule="auto"/>
      <w:jc w:val="center"/>
    </w:pPr>
    <w:rPr>
      <w:rFonts w:ascii="黑体" w:eastAsia="黑体"/>
      <w:sz w:val="32"/>
    </w:rPr>
  </w:style>
  <w:style w:type="paragraph" w:customStyle="1" w:styleId="7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77">
    <w:name w:val="标准文件_破折号列项（二级）"/>
    <w:basedOn w:val="76"/>
    <w:qFormat/>
    <w:uiPriority w:val="0"/>
    <w:pPr>
      <w:numPr>
        <w:numId w:val="10"/>
      </w:numPr>
      <w:ind w:left="0" w:firstLine="200"/>
    </w:pPr>
  </w:style>
  <w:style w:type="paragraph" w:customStyle="1" w:styleId="78">
    <w:name w:val="标准文件_三级条标题"/>
    <w:basedOn w:val="51"/>
    <w:next w:val="42"/>
    <w:qFormat/>
    <w:uiPriority w:val="0"/>
    <w:pPr>
      <w:widowControl/>
      <w:numPr>
        <w:ilvl w:val="4"/>
      </w:numPr>
      <w:outlineLvl w:val="3"/>
    </w:pPr>
  </w:style>
  <w:style w:type="paragraph" w:customStyle="1" w:styleId="79">
    <w:name w:val="标准文件_示例后续"/>
    <w:basedOn w:val="1"/>
    <w:qFormat/>
    <w:uiPriority w:val="0"/>
    <w:pPr>
      <w:adjustRightInd/>
      <w:spacing w:line="240" w:lineRule="auto"/>
      <w:ind w:firstLine="200" w:firstLineChars="200"/>
    </w:pPr>
    <w:rPr>
      <w:sz w:val="18"/>
      <w:szCs w:val="24"/>
    </w:rPr>
  </w:style>
  <w:style w:type="paragraph" w:customStyle="1" w:styleId="8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81">
    <w:name w:val="标准文件_四级条标题"/>
    <w:next w:val="42"/>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82">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83">
    <w:name w:val="标准文件_图表脚注"/>
    <w:basedOn w:val="1"/>
    <w:next w:val="42"/>
    <w:qFormat/>
    <w:uiPriority w:val="0"/>
    <w:pPr>
      <w:numPr>
        <w:ilvl w:val="0"/>
        <w:numId w:val="12"/>
      </w:numPr>
      <w:spacing w:line="240" w:lineRule="auto"/>
      <w:jc w:val="left"/>
    </w:pPr>
    <w:rPr>
      <w:rFonts w:ascii="宋体" w:hAnsi="宋体"/>
      <w:sz w:val="18"/>
    </w:rPr>
  </w:style>
  <w:style w:type="paragraph" w:customStyle="1" w:styleId="84">
    <w:name w:val="标准文件_五级条标题"/>
    <w:next w:val="42"/>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85">
    <w:name w:val="标准文件_章标题"/>
    <w:next w:val="42"/>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86">
    <w:name w:val="标准文件_一级条标题"/>
    <w:basedOn w:val="85"/>
    <w:next w:val="42"/>
    <w:qFormat/>
    <w:uiPriority w:val="0"/>
    <w:pPr>
      <w:numPr>
        <w:ilvl w:val="2"/>
      </w:numPr>
      <w:spacing w:beforeLines="50" w:afterLines="50"/>
      <w:outlineLvl w:val="1"/>
    </w:pPr>
  </w:style>
  <w:style w:type="paragraph" w:customStyle="1" w:styleId="87">
    <w:name w:val="标准文件_一致程度"/>
    <w:basedOn w:val="1"/>
    <w:qFormat/>
    <w:uiPriority w:val="0"/>
    <w:pPr>
      <w:spacing w:line="440" w:lineRule="exact"/>
      <w:jc w:val="center"/>
    </w:pPr>
    <w:rPr>
      <w:sz w:val="28"/>
    </w:rPr>
  </w:style>
  <w:style w:type="paragraph" w:customStyle="1" w:styleId="8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89">
    <w:name w:val="标准文件_英文图表脚注"/>
    <w:basedOn w:val="41"/>
    <w:qFormat/>
    <w:uiPriority w:val="0"/>
    <w:pPr>
      <w:widowControl/>
      <w:adjustRightInd/>
      <w:snapToGrid/>
      <w:spacing w:line="240" w:lineRule="auto"/>
      <w:ind w:left="79" w:hanging="79" w:hangingChars="80"/>
    </w:pPr>
    <w:rPr>
      <w:rFonts w:ascii="宋体" w:hAnsi="宋体"/>
    </w:rPr>
  </w:style>
  <w:style w:type="paragraph" w:customStyle="1" w:styleId="9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91">
    <w:name w:val="标准文件_英文注："/>
    <w:basedOn w:val="1"/>
    <w:next w:val="42"/>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9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93">
    <w:name w:val="标准文件_正文表标题"/>
    <w:next w:val="42"/>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94">
    <w:name w:val="标准文件_正文公式"/>
    <w:basedOn w:val="1"/>
    <w:next w:val="41"/>
    <w:qFormat/>
    <w:uiPriority w:val="0"/>
    <w:pPr>
      <w:tabs>
        <w:tab w:val="center" w:pos="4678"/>
        <w:tab w:val="right" w:leader="middleDot" w:pos="9356"/>
      </w:tabs>
      <w:spacing w:line="240" w:lineRule="auto"/>
    </w:pPr>
    <w:rPr>
      <w:rFonts w:ascii="宋体" w:hAnsi="宋体"/>
    </w:rPr>
  </w:style>
  <w:style w:type="paragraph" w:customStyle="1" w:styleId="95">
    <w:name w:val="标准文件_正文图标题"/>
    <w:next w:val="42"/>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96">
    <w:name w:val="标准文件_正文英文表标题"/>
    <w:next w:val="42"/>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97">
    <w:name w:val="标准文件_正文英文图标题"/>
    <w:next w:val="42"/>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9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9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00">
    <w:name w:val="发布部门"/>
    <w:next w:val="4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01">
    <w:name w:val="发布日期"/>
    <w:qFormat/>
    <w:uiPriority w:val="0"/>
    <w:rPr>
      <w:rFonts w:ascii="Times New Roman" w:hAnsi="Times New Roman" w:eastAsia="黑体" w:cs="Times New Roman"/>
      <w:sz w:val="28"/>
      <w:lang w:val="en-US" w:eastAsia="zh-CN" w:bidi="ar-SA"/>
    </w:rPr>
  </w:style>
  <w:style w:type="paragraph" w:customStyle="1" w:styleId="10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0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0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08">
    <w:name w:val="封面正文"/>
    <w:qFormat/>
    <w:uiPriority w:val="0"/>
    <w:pPr>
      <w:jc w:val="both"/>
    </w:pPr>
    <w:rPr>
      <w:rFonts w:ascii="Times New Roman" w:hAnsi="Times New Roman" w:eastAsia="宋体" w:cs="Times New Roman"/>
      <w:lang w:val="en-US" w:eastAsia="zh-CN" w:bidi="ar-SA"/>
    </w:rPr>
  </w:style>
  <w:style w:type="paragraph" w:customStyle="1" w:styleId="109">
    <w:name w:val="附录二级无标题条"/>
    <w:basedOn w:val="1"/>
    <w:next w:val="42"/>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10">
    <w:name w:val="附录三级无标题条"/>
    <w:basedOn w:val="109"/>
    <w:next w:val="42"/>
    <w:qFormat/>
    <w:uiPriority w:val="0"/>
    <w:pPr>
      <w:outlineLvl w:val="4"/>
    </w:pPr>
  </w:style>
  <w:style w:type="paragraph" w:customStyle="1" w:styleId="111">
    <w:name w:val="附录四级无标题条"/>
    <w:basedOn w:val="110"/>
    <w:next w:val="42"/>
    <w:qFormat/>
    <w:uiPriority w:val="0"/>
    <w:pPr>
      <w:outlineLvl w:val="5"/>
    </w:pPr>
  </w:style>
  <w:style w:type="paragraph" w:customStyle="1" w:styleId="112">
    <w:name w:val="附录图"/>
    <w:next w:val="42"/>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1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14">
    <w:name w:val="附录五级无标题条"/>
    <w:basedOn w:val="111"/>
    <w:next w:val="42"/>
    <w:qFormat/>
    <w:uiPriority w:val="0"/>
    <w:pPr>
      <w:outlineLvl w:val="6"/>
    </w:pPr>
  </w:style>
  <w:style w:type="paragraph" w:customStyle="1" w:styleId="115">
    <w:name w:val="附录性质"/>
    <w:basedOn w:val="1"/>
    <w:qFormat/>
    <w:uiPriority w:val="0"/>
    <w:pPr>
      <w:widowControl/>
      <w:adjustRightInd/>
      <w:jc w:val="center"/>
    </w:pPr>
    <w:rPr>
      <w:rFonts w:ascii="黑体" w:eastAsia="黑体"/>
    </w:rPr>
  </w:style>
  <w:style w:type="paragraph" w:customStyle="1" w:styleId="116">
    <w:name w:val="附录一级无标题条"/>
    <w:basedOn w:val="71"/>
    <w:next w:val="42"/>
    <w:qFormat/>
    <w:uiPriority w:val="0"/>
    <w:pPr>
      <w:autoSpaceDN w:val="0"/>
      <w:outlineLvl w:val="2"/>
    </w:pPr>
    <w:rPr>
      <w:rFonts w:ascii="宋体" w:hAnsi="宋体" w:eastAsia="宋体"/>
    </w:rPr>
  </w:style>
  <w:style w:type="paragraph" w:customStyle="1" w:styleId="117">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18">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19">
    <w:name w:val="列项·"/>
    <w:basedOn w:val="42"/>
    <w:qFormat/>
    <w:uiPriority w:val="0"/>
    <w:pPr>
      <w:tabs>
        <w:tab w:val="left" w:pos="840"/>
      </w:tabs>
    </w:pPr>
  </w:style>
  <w:style w:type="paragraph" w:customStyle="1" w:styleId="12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1">
    <w:name w:val="目录 21"/>
    <w:basedOn w:val="1"/>
    <w:next w:val="1"/>
    <w:semiHidden/>
    <w:qFormat/>
    <w:uiPriority w:val="0"/>
    <w:pPr>
      <w:adjustRightInd/>
      <w:spacing w:line="240" w:lineRule="auto"/>
      <w:jc w:val="left"/>
    </w:pPr>
    <w:rPr>
      <w:bCs/>
      <w:iCs/>
    </w:rPr>
  </w:style>
  <w:style w:type="paragraph" w:customStyle="1" w:styleId="122">
    <w:name w:val="目录 31"/>
    <w:basedOn w:val="1"/>
    <w:next w:val="1"/>
    <w:semiHidden/>
    <w:qFormat/>
    <w:uiPriority w:val="0"/>
    <w:pPr>
      <w:spacing w:line="240" w:lineRule="auto"/>
    </w:pPr>
    <w:rPr>
      <w:rFonts w:ascii="宋体" w:hAnsi="宋体"/>
      <w:iCs/>
    </w:rPr>
  </w:style>
  <w:style w:type="paragraph" w:customStyle="1" w:styleId="123">
    <w:name w:val="目录 41"/>
    <w:basedOn w:val="1"/>
    <w:next w:val="1"/>
    <w:semiHidden/>
    <w:qFormat/>
    <w:uiPriority w:val="0"/>
    <w:pPr>
      <w:adjustRightInd/>
      <w:spacing w:line="240" w:lineRule="auto"/>
      <w:jc w:val="left"/>
    </w:pPr>
  </w:style>
  <w:style w:type="paragraph" w:customStyle="1" w:styleId="124">
    <w:name w:val="目录 51"/>
    <w:basedOn w:val="1"/>
    <w:next w:val="1"/>
    <w:semiHidden/>
    <w:qFormat/>
    <w:uiPriority w:val="0"/>
    <w:pPr>
      <w:spacing w:line="240" w:lineRule="auto"/>
    </w:pPr>
    <w:rPr>
      <w:rFonts w:ascii="宋体" w:hAnsi="宋体"/>
    </w:rPr>
  </w:style>
  <w:style w:type="paragraph" w:customStyle="1" w:styleId="125">
    <w:name w:val="目录 61"/>
    <w:basedOn w:val="1"/>
    <w:next w:val="1"/>
    <w:semiHidden/>
    <w:qFormat/>
    <w:uiPriority w:val="0"/>
    <w:pPr>
      <w:adjustRightInd/>
      <w:spacing w:line="240" w:lineRule="auto"/>
      <w:jc w:val="left"/>
    </w:pPr>
  </w:style>
  <w:style w:type="paragraph" w:customStyle="1" w:styleId="126">
    <w:name w:val="目录 71"/>
    <w:basedOn w:val="125"/>
    <w:semiHidden/>
    <w:qFormat/>
    <w:uiPriority w:val="0"/>
    <w:pPr>
      <w:ind w:left="1260"/>
    </w:pPr>
  </w:style>
  <w:style w:type="paragraph" w:customStyle="1" w:styleId="127">
    <w:name w:val="目录 81"/>
    <w:basedOn w:val="126"/>
    <w:semiHidden/>
    <w:qFormat/>
    <w:uiPriority w:val="0"/>
    <w:pPr>
      <w:ind w:left="1470"/>
    </w:pPr>
  </w:style>
  <w:style w:type="paragraph" w:customStyle="1" w:styleId="128">
    <w:name w:val="目录 91"/>
    <w:basedOn w:val="127"/>
    <w:semiHidden/>
    <w:qFormat/>
    <w:uiPriority w:val="0"/>
    <w:pPr>
      <w:ind w:left="1680"/>
    </w:pPr>
  </w:style>
  <w:style w:type="paragraph" w:customStyle="1" w:styleId="1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30">
    <w:name w:val="其他发布部门"/>
    <w:basedOn w:val="100"/>
    <w:qFormat/>
    <w:uiPriority w:val="0"/>
    <w:pPr>
      <w:framePr w:wrap="around"/>
      <w:spacing w:line="0" w:lineRule="atLeast"/>
    </w:pPr>
    <w:rPr>
      <w:rFonts w:ascii="黑体" w:eastAsia="黑体"/>
      <w:b w:val="0"/>
    </w:rPr>
  </w:style>
  <w:style w:type="paragraph" w:customStyle="1" w:styleId="131">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2">
    <w:name w:val="三级无标题条"/>
    <w:basedOn w:val="1"/>
    <w:qFormat/>
    <w:uiPriority w:val="0"/>
    <w:pPr>
      <w:numPr>
        <w:ilvl w:val="4"/>
        <w:numId w:val="20"/>
      </w:numPr>
      <w:adjustRightInd/>
      <w:spacing w:line="240" w:lineRule="auto"/>
    </w:pPr>
    <w:rPr>
      <w:rFonts w:ascii="宋体" w:hAnsi="宋体"/>
      <w:szCs w:val="24"/>
    </w:rPr>
  </w:style>
  <w:style w:type="paragraph" w:customStyle="1" w:styleId="133">
    <w:name w:val="实施日期"/>
    <w:basedOn w:val="101"/>
    <w:qFormat/>
    <w:uiPriority w:val="0"/>
    <w:pPr>
      <w:framePr w:wrap="around" w:vAnchor="margin" w:hAnchor="text" w:xAlign="right" w:y="1"/>
      <w:jc w:val="right"/>
    </w:pPr>
  </w:style>
  <w:style w:type="paragraph" w:customStyle="1" w:styleId="134">
    <w:name w:val="四级无标题条"/>
    <w:basedOn w:val="1"/>
    <w:qFormat/>
    <w:uiPriority w:val="0"/>
    <w:pPr>
      <w:numPr>
        <w:ilvl w:val="5"/>
        <w:numId w:val="20"/>
      </w:numPr>
      <w:adjustRightInd/>
      <w:spacing w:line="240" w:lineRule="auto"/>
    </w:pPr>
    <w:rPr>
      <w:rFonts w:ascii="宋体" w:hAnsi="宋体"/>
      <w:szCs w:val="24"/>
    </w:rPr>
  </w:style>
  <w:style w:type="paragraph" w:customStyle="1" w:styleId="13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36">
    <w:name w:val="无标题条"/>
    <w:next w:val="42"/>
    <w:qFormat/>
    <w:uiPriority w:val="0"/>
    <w:pPr>
      <w:jc w:val="both"/>
    </w:pPr>
    <w:rPr>
      <w:rFonts w:ascii="宋体" w:hAnsi="宋体" w:eastAsia="宋体" w:cs="Times New Roman"/>
      <w:sz w:val="21"/>
      <w:lang w:val="en-US" w:eastAsia="zh-CN" w:bidi="ar-SA"/>
    </w:rPr>
  </w:style>
  <w:style w:type="paragraph" w:customStyle="1" w:styleId="137">
    <w:name w:val="五级无标题条"/>
    <w:basedOn w:val="1"/>
    <w:qFormat/>
    <w:uiPriority w:val="0"/>
    <w:pPr>
      <w:numPr>
        <w:ilvl w:val="6"/>
        <w:numId w:val="20"/>
      </w:numPr>
      <w:adjustRightInd/>
    </w:pPr>
    <w:rPr>
      <w:szCs w:val="24"/>
    </w:rPr>
  </w:style>
  <w:style w:type="paragraph" w:customStyle="1" w:styleId="138">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39">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40">
    <w:name w:val="注×:后续"/>
    <w:basedOn w:val="139"/>
    <w:qFormat/>
    <w:uiPriority w:val="0"/>
    <w:pPr>
      <w:ind w:left="1406" w:leftChars="0" w:hanging="499" w:firstLineChars="0"/>
    </w:pPr>
  </w:style>
  <w:style w:type="paragraph" w:customStyle="1" w:styleId="141">
    <w:name w:val="标准文件_一级无标题"/>
    <w:basedOn w:val="86"/>
    <w:qFormat/>
    <w:uiPriority w:val="0"/>
    <w:pPr>
      <w:spacing w:beforeLines="0" w:afterLines="0"/>
      <w:outlineLvl w:val="9"/>
    </w:pPr>
    <w:rPr>
      <w:rFonts w:ascii="宋体" w:eastAsia="宋体"/>
    </w:rPr>
  </w:style>
  <w:style w:type="paragraph" w:customStyle="1" w:styleId="142">
    <w:name w:val="标准文件_五级无标题"/>
    <w:basedOn w:val="84"/>
    <w:qFormat/>
    <w:uiPriority w:val="0"/>
    <w:pPr>
      <w:spacing w:beforeLines="0" w:afterLines="0"/>
      <w:outlineLvl w:val="9"/>
    </w:pPr>
    <w:rPr>
      <w:rFonts w:ascii="宋体" w:eastAsia="宋体"/>
    </w:rPr>
  </w:style>
  <w:style w:type="paragraph" w:customStyle="1" w:styleId="143">
    <w:name w:val="标准文件_三级无标题"/>
    <w:basedOn w:val="78"/>
    <w:qFormat/>
    <w:uiPriority w:val="0"/>
    <w:pPr>
      <w:spacing w:beforeLines="0" w:afterLines="0"/>
      <w:outlineLvl w:val="9"/>
    </w:pPr>
    <w:rPr>
      <w:rFonts w:ascii="宋体" w:eastAsia="宋体"/>
    </w:rPr>
  </w:style>
  <w:style w:type="paragraph" w:customStyle="1" w:styleId="144">
    <w:name w:val="标准文件_二级无标题"/>
    <w:basedOn w:val="51"/>
    <w:qFormat/>
    <w:uiPriority w:val="0"/>
    <w:pPr>
      <w:spacing w:beforeLines="0" w:afterLines="0"/>
      <w:outlineLvl w:val="9"/>
    </w:pPr>
    <w:rPr>
      <w:rFonts w:ascii="宋体" w:eastAsia="宋体"/>
    </w:rPr>
  </w:style>
  <w:style w:type="paragraph" w:customStyle="1" w:styleId="145">
    <w:name w:val="标准_四级无标题"/>
    <w:basedOn w:val="81"/>
    <w:next w:val="42"/>
    <w:qFormat/>
    <w:uiPriority w:val="0"/>
    <w:rPr>
      <w:rFonts w:eastAsia="宋体"/>
    </w:rPr>
  </w:style>
  <w:style w:type="paragraph" w:customStyle="1" w:styleId="146">
    <w:name w:val="标准文件_四级无标题"/>
    <w:basedOn w:val="81"/>
    <w:qFormat/>
    <w:uiPriority w:val="0"/>
    <w:pPr>
      <w:spacing w:beforeLines="0" w:afterLines="0"/>
      <w:outlineLvl w:val="9"/>
    </w:pPr>
    <w:rPr>
      <w:rFonts w:ascii="宋体" w:hAnsi="黑体" w:eastAsia="宋体"/>
      <w:szCs w:val="52"/>
    </w:rPr>
  </w:style>
  <w:style w:type="paragraph" w:customStyle="1" w:styleId="147">
    <w:name w:val="标准文件_大写罗马数字编号列项"/>
    <w:basedOn w:val="42"/>
    <w:qFormat/>
    <w:uiPriority w:val="0"/>
    <w:pPr>
      <w:numPr>
        <w:ilvl w:val="0"/>
        <w:numId w:val="23"/>
      </w:numPr>
      <w:ind w:firstLine="0" w:firstLineChars="0"/>
    </w:pPr>
    <w:rPr>
      <w:rFonts w:ascii="Times New Roman" w:cs="Arial"/>
      <w:szCs w:val="28"/>
    </w:rPr>
  </w:style>
  <w:style w:type="paragraph" w:customStyle="1" w:styleId="148">
    <w:name w:val="标准文件_小写罗马数字编号列项"/>
    <w:basedOn w:val="42"/>
    <w:qFormat/>
    <w:uiPriority w:val="0"/>
    <w:pPr>
      <w:numPr>
        <w:ilvl w:val="0"/>
        <w:numId w:val="24"/>
      </w:numPr>
      <w:ind w:firstLine="0" w:firstLineChars="0"/>
    </w:pPr>
    <w:rPr>
      <w:rFonts w:cs="Arial"/>
      <w:szCs w:val="28"/>
    </w:rPr>
  </w:style>
  <w:style w:type="paragraph" w:customStyle="1" w:styleId="149">
    <w:name w:val="标准文件_附录标题"/>
    <w:basedOn w:val="61"/>
    <w:qFormat/>
    <w:uiPriority w:val="0"/>
    <w:pPr>
      <w:numPr>
        <w:numId w:val="0"/>
      </w:numPr>
      <w:spacing w:after="280"/>
      <w:outlineLvl w:val="9"/>
    </w:pPr>
  </w:style>
  <w:style w:type="paragraph" w:customStyle="1" w:styleId="150">
    <w:name w:val="标准文件_二级项"/>
    <w:qFormat/>
    <w:uiPriority w:val="0"/>
    <w:rPr>
      <w:rFonts w:ascii="宋体" w:hAnsi="Times New Roman" w:eastAsia="宋体" w:cs="Times New Roman"/>
      <w:sz w:val="21"/>
      <w:lang w:val="en-US" w:eastAsia="zh-CN" w:bidi="ar-SA"/>
    </w:rPr>
  </w:style>
  <w:style w:type="paragraph" w:customStyle="1" w:styleId="151">
    <w:name w:val="标准文件_三级项"/>
    <w:basedOn w:val="1"/>
    <w:qFormat/>
    <w:uiPriority w:val="0"/>
    <w:pPr>
      <w:numPr>
        <w:ilvl w:val="2"/>
        <w:numId w:val="21"/>
      </w:numPr>
      <w:tabs>
        <w:tab w:val="left" w:pos="851"/>
      </w:tabs>
      <w:spacing w:line="300" w:lineRule="exact"/>
    </w:pPr>
    <w:rPr>
      <w:rFonts w:ascii="Times New Roman" w:hAnsi="Times New Roman"/>
    </w:rPr>
  </w:style>
  <w:style w:type="paragraph" w:customStyle="1" w:styleId="152">
    <w:name w:val="图表脚注说明"/>
    <w:basedOn w:val="1"/>
    <w:next w:val="42"/>
    <w:qFormat/>
    <w:uiPriority w:val="0"/>
    <w:pPr>
      <w:numPr>
        <w:ilvl w:val="0"/>
        <w:numId w:val="25"/>
      </w:numPr>
      <w:adjustRightInd/>
      <w:spacing w:line="240" w:lineRule="auto"/>
      <w:ind w:left="783"/>
    </w:pPr>
    <w:rPr>
      <w:rFonts w:ascii="宋体" w:hAnsi="Times New Roman"/>
      <w:sz w:val="18"/>
      <w:szCs w:val="18"/>
    </w:rPr>
  </w:style>
  <w:style w:type="paragraph" w:customStyle="1" w:styleId="153">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54">
    <w:name w:val="标准文件_索引字母"/>
    <w:next w:val="42"/>
    <w:qFormat/>
    <w:uiPriority w:val="0"/>
    <w:pPr>
      <w:jc w:val="center"/>
    </w:pPr>
    <w:rPr>
      <w:rFonts w:ascii="宋体" w:hAnsi="宋体" w:eastAsia="Times New Roman" w:cs="Times New Roman"/>
      <w:b/>
      <w:kern w:val="2"/>
      <w:sz w:val="21"/>
      <w:lang w:val="en-US" w:eastAsia="zh-CN" w:bidi="ar-SA"/>
    </w:rPr>
  </w:style>
  <w:style w:type="paragraph" w:customStyle="1" w:styleId="155">
    <w:name w:val="标准文件_附录前"/>
    <w:next w:val="4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56">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57">
    <w:name w:val="标准文件_表格"/>
    <w:basedOn w:val="42"/>
    <w:qFormat/>
    <w:uiPriority w:val="0"/>
    <w:pPr>
      <w:ind w:firstLine="0" w:firstLineChars="0"/>
      <w:jc w:val="center"/>
    </w:pPr>
    <w:rPr>
      <w:sz w:val="18"/>
    </w:rPr>
  </w:style>
  <w:style w:type="paragraph" w:customStyle="1" w:styleId="158">
    <w:name w:val="标准文件_注："/>
    <w:next w:val="42"/>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59">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60">
    <w:name w:val="标准文件_示例："/>
    <w:next w:val="161"/>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61">
    <w:name w:val="标准文件_示例内容"/>
    <w:basedOn w:val="42"/>
    <w:qFormat/>
    <w:uiPriority w:val="0"/>
    <w:pPr>
      <w:ind w:firstLine="420"/>
    </w:pPr>
    <w:rPr>
      <w:sz w:val="18"/>
    </w:rPr>
  </w:style>
  <w:style w:type="paragraph" w:customStyle="1" w:styleId="162">
    <w:name w:val="标准文件_示例×："/>
    <w:basedOn w:val="1"/>
    <w:next w:val="161"/>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63">
    <w:name w:val="标准文件_表格续"/>
    <w:basedOn w:val="42"/>
    <w:next w:val="42"/>
    <w:qFormat/>
    <w:uiPriority w:val="0"/>
    <w:pPr>
      <w:jc w:val="center"/>
    </w:pPr>
    <w:rPr>
      <w:rFonts w:ascii="黑体" w:hAnsi="黑体" w:eastAsia="黑体"/>
    </w:rPr>
  </w:style>
  <w:style w:type="paragraph" w:customStyle="1" w:styleId="164">
    <w:name w:val="标准文件_二级项2"/>
    <w:basedOn w:val="42"/>
    <w:qFormat/>
    <w:uiPriority w:val="0"/>
    <w:pPr>
      <w:numPr>
        <w:ilvl w:val="1"/>
        <w:numId w:val="21"/>
      </w:numPr>
      <w:tabs>
        <w:tab w:val="left" w:pos="851"/>
      </w:tabs>
      <w:ind w:left="1271" w:hanging="420" w:firstLineChars="0"/>
    </w:pPr>
  </w:style>
  <w:style w:type="paragraph" w:customStyle="1" w:styleId="165">
    <w:name w:val="标准文件_三级项2"/>
    <w:basedOn w:val="42"/>
    <w:qFormat/>
    <w:uiPriority w:val="0"/>
    <w:pPr>
      <w:numPr>
        <w:ilvl w:val="0"/>
        <w:numId w:val="30"/>
      </w:numPr>
      <w:spacing w:line="300" w:lineRule="exact"/>
      <w:ind w:left="1276" w:hanging="425" w:firstLineChars="0"/>
    </w:pPr>
    <w:rPr>
      <w:rFonts w:ascii="Times New Roman"/>
    </w:rPr>
  </w:style>
  <w:style w:type="paragraph" w:customStyle="1" w:styleId="166">
    <w:name w:val="标准文件_一级项2"/>
    <w:basedOn w:val="42"/>
    <w:qFormat/>
    <w:uiPriority w:val="0"/>
    <w:pPr>
      <w:numPr>
        <w:ilvl w:val="0"/>
        <w:numId w:val="31"/>
      </w:numPr>
      <w:spacing w:line="300" w:lineRule="exact"/>
      <w:ind w:left="1271" w:hanging="420" w:firstLineChars="0"/>
    </w:pPr>
    <w:rPr>
      <w:rFonts w:ascii="Times New Roman"/>
    </w:rPr>
  </w:style>
  <w:style w:type="paragraph" w:customStyle="1" w:styleId="167">
    <w:name w:val="标准文件_提示"/>
    <w:basedOn w:val="42"/>
    <w:next w:val="42"/>
    <w:qFormat/>
    <w:uiPriority w:val="0"/>
    <w:pPr>
      <w:ind w:firstLine="420"/>
    </w:pPr>
    <w:rPr>
      <w:rFonts w:ascii="黑体" w:eastAsia="黑体"/>
    </w:rPr>
  </w:style>
  <w:style w:type="paragraph" w:customStyle="1" w:styleId="168">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69">
    <w:name w:val="其他发布日期"/>
    <w:basedOn w:val="101"/>
    <w:qFormat/>
    <w:uiPriority w:val="0"/>
    <w:pPr>
      <w:framePr w:w="3997" w:h="471" w:hRule="exact" w:vSpace="181" w:wrap="around" w:vAnchor="page" w:hAnchor="page" w:x="1419" w:y="14097"/>
    </w:pPr>
  </w:style>
  <w:style w:type="paragraph" w:customStyle="1" w:styleId="170">
    <w:name w:val="其他实施日期"/>
    <w:basedOn w:val="133"/>
    <w:qFormat/>
    <w:uiPriority w:val="0"/>
    <w:pPr>
      <w:framePr w:w="3997" w:h="471" w:hRule="exact" w:vSpace="181" w:wrap="around" w:vAnchor="page" w:hAnchor="page" w:x="7089" w:y="14097"/>
    </w:pPr>
  </w:style>
  <w:style w:type="paragraph" w:customStyle="1" w:styleId="171">
    <w:name w:val="标准文件_文件编号"/>
    <w:basedOn w:val="42"/>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72">
    <w:name w:val="标准文件_替换文件编号"/>
    <w:basedOn w:val="171"/>
    <w:qFormat/>
    <w:uiPriority w:val="0"/>
    <w:pPr>
      <w:framePr w:wrap="around"/>
      <w:spacing w:before="57"/>
    </w:pPr>
    <w:rPr>
      <w:sz w:val="21"/>
    </w:rPr>
  </w:style>
  <w:style w:type="paragraph" w:customStyle="1" w:styleId="173">
    <w:name w:val="标准文件_文件名称"/>
    <w:basedOn w:val="42"/>
    <w:next w:val="42"/>
    <w:qFormat/>
    <w:uiPriority w:val="0"/>
    <w:pPr>
      <w:framePr w:w="9639" w:h="6976" w:hRule="exact" w:wrap="around" w:vAnchor="page" w:hAnchor="page" w:y="6408"/>
      <w:spacing w:line="700" w:lineRule="exact"/>
      <w:ind w:firstLine="0" w:firstLineChars="0"/>
      <w:jc w:val="center"/>
    </w:pPr>
    <w:rPr>
      <w:rFonts w:ascii="黑体" w:hAnsi="黑体" w:eastAsia="黑体"/>
      <w:bCs/>
      <w:sz w:val="52"/>
    </w:rPr>
  </w:style>
  <w:style w:type="paragraph" w:customStyle="1" w:styleId="174">
    <w:name w:val="标准文件_附录图标号"/>
    <w:basedOn w:val="42"/>
    <w:next w:val="42"/>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75">
    <w:name w:val="标准文件_附录表标号"/>
    <w:basedOn w:val="42"/>
    <w:next w:val="42"/>
    <w:qFormat/>
    <w:uiPriority w:val="0"/>
    <w:pPr>
      <w:numPr>
        <w:ilvl w:val="0"/>
        <w:numId w:val="5"/>
      </w:numPr>
      <w:spacing w:line="14" w:lineRule="exact"/>
      <w:ind w:firstLine="0" w:firstLineChars="0"/>
      <w:jc w:val="center"/>
    </w:pPr>
    <w:rPr>
      <w:rFonts w:eastAsia="黑体"/>
      <w:vanish/>
      <w:sz w:val="2"/>
    </w:rPr>
  </w:style>
  <w:style w:type="paragraph" w:customStyle="1" w:styleId="176">
    <w:name w:val="标准文件_引言一级条标题"/>
    <w:basedOn w:val="42"/>
    <w:next w:val="42"/>
    <w:qFormat/>
    <w:uiPriority w:val="0"/>
    <w:pPr>
      <w:numPr>
        <w:ilvl w:val="1"/>
        <w:numId w:val="8"/>
      </w:numPr>
      <w:spacing w:beforeLines="50" w:afterLines="50"/>
      <w:ind w:firstLineChars="0"/>
    </w:pPr>
    <w:rPr>
      <w:rFonts w:ascii="黑体" w:eastAsia="黑体"/>
    </w:rPr>
  </w:style>
  <w:style w:type="paragraph" w:customStyle="1" w:styleId="177">
    <w:name w:val="标准文件_引言二级条标题"/>
    <w:basedOn w:val="42"/>
    <w:next w:val="42"/>
    <w:qFormat/>
    <w:uiPriority w:val="0"/>
    <w:pPr>
      <w:numPr>
        <w:ilvl w:val="2"/>
        <w:numId w:val="8"/>
      </w:numPr>
      <w:spacing w:beforeLines="50" w:afterLines="50"/>
      <w:ind w:firstLineChars="0"/>
    </w:pPr>
    <w:rPr>
      <w:rFonts w:ascii="黑体" w:eastAsia="黑体"/>
    </w:rPr>
  </w:style>
  <w:style w:type="paragraph" w:customStyle="1" w:styleId="178">
    <w:name w:val="标准文件_引言三级条标题"/>
    <w:basedOn w:val="42"/>
    <w:next w:val="42"/>
    <w:qFormat/>
    <w:uiPriority w:val="0"/>
    <w:pPr>
      <w:numPr>
        <w:ilvl w:val="3"/>
        <w:numId w:val="8"/>
      </w:numPr>
      <w:spacing w:beforeLines="50" w:afterLines="50"/>
      <w:ind w:firstLineChars="0"/>
    </w:pPr>
    <w:rPr>
      <w:rFonts w:ascii="黑体" w:eastAsia="黑体"/>
    </w:rPr>
  </w:style>
  <w:style w:type="paragraph" w:customStyle="1" w:styleId="179">
    <w:name w:val="标准文件_引言四级条标题"/>
    <w:basedOn w:val="42"/>
    <w:next w:val="42"/>
    <w:qFormat/>
    <w:uiPriority w:val="0"/>
    <w:pPr>
      <w:numPr>
        <w:ilvl w:val="4"/>
        <w:numId w:val="8"/>
      </w:numPr>
      <w:spacing w:beforeLines="50" w:afterLines="50"/>
      <w:ind w:firstLineChars="0"/>
    </w:pPr>
    <w:rPr>
      <w:rFonts w:ascii="黑体" w:eastAsia="黑体"/>
    </w:rPr>
  </w:style>
  <w:style w:type="paragraph" w:customStyle="1" w:styleId="180">
    <w:name w:val="标准文件_引言五级条标题"/>
    <w:basedOn w:val="42"/>
    <w:next w:val="42"/>
    <w:qFormat/>
    <w:uiPriority w:val="0"/>
    <w:pPr>
      <w:numPr>
        <w:ilvl w:val="5"/>
        <w:numId w:val="8"/>
      </w:numPr>
      <w:spacing w:beforeLines="50" w:afterLines="50"/>
      <w:ind w:firstLineChars="0"/>
    </w:pPr>
    <w:rPr>
      <w:rFonts w:ascii="黑体" w:eastAsia="黑体"/>
    </w:rPr>
  </w:style>
  <w:style w:type="paragraph" w:customStyle="1" w:styleId="181">
    <w:name w:val="标准文件_注后"/>
    <w:basedOn w:val="42"/>
    <w:qFormat/>
    <w:uiPriority w:val="0"/>
    <w:pPr>
      <w:ind w:left="811" w:firstLine="0" w:firstLineChars="0"/>
    </w:pPr>
    <w:rPr>
      <w:sz w:val="18"/>
    </w:rPr>
  </w:style>
  <w:style w:type="paragraph" w:customStyle="1" w:styleId="182">
    <w:name w:val="标准文件_注X后"/>
    <w:basedOn w:val="42"/>
    <w:qFormat/>
    <w:uiPriority w:val="0"/>
    <w:pPr>
      <w:ind w:left="811" w:firstLine="0" w:firstLineChars="0"/>
    </w:pPr>
    <w:rPr>
      <w:sz w:val="18"/>
    </w:rPr>
  </w:style>
  <w:style w:type="paragraph" w:customStyle="1" w:styleId="183">
    <w:name w:val="标准文件_示例后"/>
    <w:basedOn w:val="42"/>
    <w:qFormat/>
    <w:uiPriority w:val="0"/>
    <w:pPr>
      <w:ind w:left="964" w:firstLine="0" w:firstLineChars="0"/>
    </w:pPr>
    <w:rPr>
      <w:sz w:val="18"/>
    </w:rPr>
  </w:style>
  <w:style w:type="paragraph" w:customStyle="1" w:styleId="184">
    <w:name w:val="标准文件_示例X后"/>
    <w:basedOn w:val="42"/>
    <w:link w:val="228"/>
    <w:qFormat/>
    <w:uiPriority w:val="0"/>
    <w:pPr>
      <w:ind w:left="1049" w:firstLine="0" w:firstLineChars="0"/>
    </w:pPr>
    <w:rPr>
      <w:sz w:val="18"/>
    </w:rPr>
  </w:style>
  <w:style w:type="paragraph" w:customStyle="1" w:styleId="185">
    <w:name w:val="标准文件_索引项"/>
    <w:basedOn w:val="42"/>
    <w:next w:val="42"/>
    <w:qFormat/>
    <w:uiPriority w:val="0"/>
    <w:pPr>
      <w:tabs>
        <w:tab w:val="right" w:leader="dot" w:pos="9356"/>
      </w:tabs>
      <w:ind w:left="210" w:hanging="210" w:firstLineChars="0"/>
      <w:jc w:val="left"/>
    </w:pPr>
  </w:style>
  <w:style w:type="paragraph" w:customStyle="1" w:styleId="186">
    <w:name w:val="标准文件_附录一级无标题"/>
    <w:basedOn w:val="63"/>
    <w:qFormat/>
    <w:uiPriority w:val="0"/>
    <w:pPr>
      <w:spacing w:beforeLines="0" w:afterLines="0" w:line="276" w:lineRule="auto"/>
      <w:outlineLvl w:val="9"/>
    </w:pPr>
    <w:rPr>
      <w:rFonts w:ascii="宋体" w:eastAsia="宋体"/>
    </w:rPr>
  </w:style>
  <w:style w:type="paragraph" w:customStyle="1" w:styleId="187">
    <w:name w:val="标准文件_附录二级无标题"/>
    <w:basedOn w:val="64"/>
    <w:qFormat/>
    <w:uiPriority w:val="0"/>
    <w:pPr>
      <w:spacing w:beforeLines="0" w:afterLines="0" w:line="276" w:lineRule="auto"/>
      <w:outlineLvl w:val="9"/>
    </w:pPr>
    <w:rPr>
      <w:rFonts w:ascii="宋体" w:eastAsia="宋体"/>
    </w:rPr>
  </w:style>
  <w:style w:type="paragraph" w:customStyle="1" w:styleId="188">
    <w:name w:val="标准文件_附录三级无标题"/>
    <w:basedOn w:val="66"/>
    <w:qFormat/>
    <w:uiPriority w:val="0"/>
    <w:pPr>
      <w:spacing w:beforeLines="0" w:afterLines="0" w:line="276" w:lineRule="auto"/>
      <w:outlineLvl w:val="9"/>
    </w:pPr>
    <w:rPr>
      <w:rFonts w:ascii="宋体" w:eastAsia="宋体"/>
    </w:rPr>
  </w:style>
  <w:style w:type="paragraph" w:customStyle="1" w:styleId="189">
    <w:name w:val="标准文件_附录四级无标题"/>
    <w:basedOn w:val="67"/>
    <w:qFormat/>
    <w:uiPriority w:val="0"/>
    <w:pPr>
      <w:spacing w:beforeLines="0" w:afterLines="0" w:line="276" w:lineRule="auto"/>
      <w:outlineLvl w:val="9"/>
    </w:pPr>
    <w:rPr>
      <w:rFonts w:ascii="宋体" w:eastAsia="宋体"/>
    </w:rPr>
  </w:style>
  <w:style w:type="paragraph" w:customStyle="1" w:styleId="190">
    <w:name w:val="标准文件_附录五级无标题"/>
    <w:basedOn w:val="69"/>
    <w:qFormat/>
    <w:uiPriority w:val="0"/>
    <w:pPr>
      <w:spacing w:beforeLines="0" w:afterLines="0" w:line="276" w:lineRule="auto"/>
      <w:outlineLvl w:val="9"/>
    </w:pPr>
    <w:rPr>
      <w:rFonts w:ascii="宋体" w:eastAsia="宋体"/>
    </w:rPr>
  </w:style>
  <w:style w:type="paragraph" w:customStyle="1" w:styleId="191">
    <w:name w:val="标准文件_引言一级无标题"/>
    <w:basedOn w:val="176"/>
    <w:next w:val="42"/>
    <w:qFormat/>
    <w:uiPriority w:val="0"/>
    <w:pPr>
      <w:spacing w:beforeLines="0" w:afterLines="0" w:line="276" w:lineRule="auto"/>
    </w:pPr>
    <w:rPr>
      <w:rFonts w:ascii="宋体" w:eastAsia="宋体"/>
    </w:rPr>
  </w:style>
  <w:style w:type="paragraph" w:customStyle="1" w:styleId="192">
    <w:name w:val="标准文件_引言二级无标题"/>
    <w:basedOn w:val="177"/>
    <w:next w:val="42"/>
    <w:qFormat/>
    <w:uiPriority w:val="0"/>
    <w:pPr>
      <w:spacing w:beforeLines="0" w:afterLines="0" w:line="276" w:lineRule="auto"/>
    </w:pPr>
    <w:rPr>
      <w:rFonts w:ascii="宋体" w:eastAsia="宋体"/>
    </w:rPr>
  </w:style>
  <w:style w:type="paragraph" w:customStyle="1" w:styleId="193">
    <w:name w:val="标准文件_引言三级无标题"/>
    <w:basedOn w:val="178"/>
    <w:next w:val="42"/>
    <w:qFormat/>
    <w:uiPriority w:val="0"/>
    <w:pPr>
      <w:spacing w:beforeLines="0" w:afterLines="0" w:line="276" w:lineRule="auto"/>
    </w:pPr>
    <w:rPr>
      <w:rFonts w:ascii="宋体" w:eastAsia="宋体"/>
    </w:rPr>
  </w:style>
  <w:style w:type="paragraph" w:customStyle="1" w:styleId="194">
    <w:name w:val="标准文件_引言四级无标题"/>
    <w:basedOn w:val="179"/>
    <w:next w:val="42"/>
    <w:qFormat/>
    <w:uiPriority w:val="0"/>
    <w:pPr>
      <w:spacing w:beforeLines="0" w:afterLines="0" w:line="276" w:lineRule="auto"/>
    </w:pPr>
    <w:rPr>
      <w:rFonts w:ascii="宋体" w:eastAsia="宋体"/>
    </w:rPr>
  </w:style>
  <w:style w:type="paragraph" w:customStyle="1" w:styleId="195">
    <w:name w:val="标准文件_引言五级无标题"/>
    <w:basedOn w:val="180"/>
    <w:next w:val="42"/>
    <w:qFormat/>
    <w:uiPriority w:val="0"/>
    <w:pPr>
      <w:spacing w:beforeLines="0" w:afterLines="0" w:line="276" w:lineRule="auto"/>
    </w:pPr>
    <w:rPr>
      <w:rFonts w:ascii="宋体" w:eastAsia="宋体"/>
    </w:rPr>
  </w:style>
  <w:style w:type="paragraph" w:customStyle="1" w:styleId="196">
    <w:name w:val="标准文件_索引标题"/>
    <w:basedOn w:val="49"/>
    <w:next w:val="42"/>
    <w:qFormat/>
    <w:uiPriority w:val="0"/>
    <w:rPr>
      <w:rFonts w:hAnsi="黑体"/>
    </w:rPr>
  </w:style>
  <w:style w:type="paragraph" w:customStyle="1" w:styleId="197">
    <w:name w:val="标准文件_脚注内容"/>
    <w:basedOn w:val="42"/>
    <w:qFormat/>
    <w:uiPriority w:val="0"/>
    <w:pPr>
      <w:ind w:left="400" w:leftChars="200" w:hanging="200" w:hangingChars="200"/>
    </w:pPr>
    <w:rPr>
      <w:sz w:val="15"/>
    </w:rPr>
  </w:style>
  <w:style w:type="paragraph" w:customStyle="1" w:styleId="198">
    <w:name w:val="标准文件_术语条一"/>
    <w:basedOn w:val="141"/>
    <w:next w:val="42"/>
    <w:qFormat/>
    <w:uiPriority w:val="0"/>
  </w:style>
  <w:style w:type="paragraph" w:customStyle="1" w:styleId="199">
    <w:name w:val="标准文件_术语条二"/>
    <w:basedOn w:val="144"/>
    <w:next w:val="42"/>
    <w:qFormat/>
    <w:uiPriority w:val="0"/>
  </w:style>
  <w:style w:type="paragraph" w:customStyle="1" w:styleId="200">
    <w:name w:val="标准文件_术语条三"/>
    <w:basedOn w:val="143"/>
    <w:next w:val="42"/>
    <w:qFormat/>
    <w:uiPriority w:val="0"/>
  </w:style>
  <w:style w:type="paragraph" w:customStyle="1" w:styleId="201">
    <w:name w:val="标准文件_术语条四"/>
    <w:basedOn w:val="146"/>
    <w:next w:val="42"/>
    <w:qFormat/>
    <w:uiPriority w:val="0"/>
  </w:style>
  <w:style w:type="paragraph" w:customStyle="1" w:styleId="202">
    <w:name w:val="标准文件_术语条五"/>
    <w:basedOn w:val="142"/>
    <w:next w:val="42"/>
    <w:qFormat/>
    <w:uiPriority w:val="0"/>
  </w:style>
  <w:style w:type="paragraph" w:customStyle="1" w:styleId="20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4">
    <w:name w:val="标题 1 Char"/>
    <w:link w:val="2"/>
    <w:qFormat/>
    <w:uiPriority w:val="0"/>
    <w:rPr>
      <w:rFonts w:ascii="Times New Roman" w:hAnsi="Times New Roman" w:eastAsia="宋体" w:cs="Times New Roman"/>
      <w:b/>
      <w:bCs/>
      <w:kern w:val="44"/>
      <w:sz w:val="44"/>
      <w:szCs w:val="44"/>
    </w:rPr>
  </w:style>
  <w:style w:type="character" w:customStyle="1" w:styleId="205">
    <w:name w:val="标题 2 Char"/>
    <w:link w:val="3"/>
    <w:qFormat/>
    <w:uiPriority w:val="0"/>
    <w:rPr>
      <w:rFonts w:ascii="Arial" w:hAnsi="Arial" w:eastAsia="黑体" w:cs="Times New Roman"/>
      <w:b/>
      <w:bCs/>
      <w:sz w:val="32"/>
      <w:szCs w:val="32"/>
    </w:rPr>
  </w:style>
  <w:style w:type="character" w:customStyle="1" w:styleId="206">
    <w:name w:val="标题 3 Char"/>
    <w:link w:val="4"/>
    <w:qFormat/>
    <w:uiPriority w:val="0"/>
    <w:rPr>
      <w:rFonts w:ascii="Times New Roman" w:hAnsi="Times New Roman" w:eastAsia="宋体" w:cs="Times New Roman"/>
      <w:b/>
      <w:bCs/>
      <w:sz w:val="32"/>
      <w:szCs w:val="32"/>
    </w:rPr>
  </w:style>
  <w:style w:type="character" w:customStyle="1" w:styleId="207">
    <w:name w:val="标题 4 Char"/>
    <w:link w:val="5"/>
    <w:qFormat/>
    <w:uiPriority w:val="0"/>
    <w:rPr>
      <w:rFonts w:ascii="Arial" w:hAnsi="Arial" w:eastAsia="黑体" w:cs="Times New Roman"/>
      <w:b/>
      <w:bCs/>
      <w:sz w:val="28"/>
      <w:szCs w:val="28"/>
    </w:rPr>
  </w:style>
  <w:style w:type="character" w:customStyle="1" w:styleId="208">
    <w:name w:val="标题 5 Char"/>
    <w:link w:val="6"/>
    <w:qFormat/>
    <w:uiPriority w:val="0"/>
    <w:rPr>
      <w:rFonts w:ascii="Times New Roman" w:hAnsi="Times New Roman" w:eastAsia="宋体" w:cs="Times New Roman"/>
      <w:b/>
      <w:bCs/>
      <w:sz w:val="28"/>
      <w:szCs w:val="28"/>
    </w:rPr>
  </w:style>
  <w:style w:type="character" w:customStyle="1" w:styleId="209">
    <w:name w:val="标题 6 Char"/>
    <w:link w:val="7"/>
    <w:qFormat/>
    <w:uiPriority w:val="0"/>
    <w:rPr>
      <w:rFonts w:ascii="Arial" w:hAnsi="Arial" w:eastAsia="黑体" w:cs="Times New Roman"/>
      <w:b/>
      <w:bCs/>
      <w:sz w:val="24"/>
      <w:szCs w:val="24"/>
    </w:rPr>
  </w:style>
  <w:style w:type="character" w:customStyle="1" w:styleId="210">
    <w:name w:val="标题 7 Char"/>
    <w:link w:val="8"/>
    <w:qFormat/>
    <w:uiPriority w:val="0"/>
    <w:rPr>
      <w:rFonts w:ascii="Times New Roman" w:hAnsi="Times New Roman" w:eastAsia="宋体" w:cs="Times New Roman"/>
      <w:b/>
      <w:bCs/>
      <w:sz w:val="24"/>
      <w:szCs w:val="24"/>
    </w:rPr>
  </w:style>
  <w:style w:type="character" w:customStyle="1" w:styleId="211">
    <w:name w:val="标题 8 Char"/>
    <w:link w:val="9"/>
    <w:qFormat/>
    <w:uiPriority w:val="0"/>
    <w:rPr>
      <w:rFonts w:ascii="Arial" w:hAnsi="Arial" w:eastAsia="黑体" w:cs="Times New Roman"/>
      <w:sz w:val="24"/>
      <w:szCs w:val="24"/>
    </w:rPr>
  </w:style>
  <w:style w:type="character" w:customStyle="1" w:styleId="212">
    <w:name w:val="标题 9 Char"/>
    <w:link w:val="10"/>
    <w:qFormat/>
    <w:uiPriority w:val="0"/>
    <w:rPr>
      <w:rFonts w:ascii="Arial" w:hAnsi="Arial" w:eastAsia="黑体" w:cs="Times New Roman"/>
      <w:szCs w:val="21"/>
    </w:rPr>
  </w:style>
  <w:style w:type="character" w:customStyle="1" w:styleId="213">
    <w:name w:val="页眉 Char"/>
    <w:link w:val="18"/>
    <w:qFormat/>
    <w:uiPriority w:val="99"/>
    <w:rPr>
      <w:rFonts w:ascii="Times New Roman" w:hAnsi="Times New Roman" w:eastAsia="宋体" w:cs="Times New Roman"/>
      <w:sz w:val="18"/>
      <w:szCs w:val="18"/>
    </w:rPr>
  </w:style>
  <w:style w:type="character" w:customStyle="1" w:styleId="214">
    <w:name w:val="页脚 Char"/>
    <w:link w:val="17"/>
    <w:qFormat/>
    <w:uiPriority w:val="99"/>
    <w:rPr>
      <w:rFonts w:ascii="宋体" w:hAnsi="Times New Roman" w:eastAsia="宋体" w:cs="Times New Roman"/>
      <w:sz w:val="18"/>
      <w:szCs w:val="18"/>
    </w:rPr>
  </w:style>
  <w:style w:type="character" w:customStyle="1" w:styleId="215">
    <w:name w:val="批注框文本 Char"/>
    <w:link w:val="16"/>
    <w:semiHidden/>
    <w:qFormat/>
    <w:uiPriority w:val="99"/>
    <w:rPr>
      <w:sz w:val="18"/>
      <w:szCs w:val="18"/>
    </w:rPr>
  </w:style>
  <w:style w:type="character" w:customStyle="1" w:styleId="216">
    <w:name w:val="引用 Char"/>
    <w:link w:val="34"/>
    <w:qFormat/>
    <w:uiPriority w:val="29"/>
    <w:rPr>
      <w:i/>
      <w:iCs/>
      <w:color w:val="000000"/>
    </w:rPr>
  </w:style>
  <w:style w:type="character" w:customStyle="1" w:styleId="217">
    <w:name w:val="标题 Char"/>
    <w:link w:val="25"/>
    <w:qFormat/>
    <w:uiPriority w:val="0"/>
    <w:rPr>
      <w:rFonts w:ascii="Arial" w:hAnsi="Arial" w:eastAsia="宋体" w:cs="Arial"/>
      <w:b/>
      <w:bCs/>
      <w:sz w:val="32"/>
      <w:szCs w:val="32"/>
    </w:rPr>
  </w:style>
  <w:style w:type="character" w:customStyle="1" w:styleId="218">
    <w:name w:val="标准文件_发布"/>
    <w:qFormat/>
    <w:uiPriority w:val="0"/>
    <w:rPr>
      <w:rFonts w:ascii="黑体" w:eastAsia="黑体"/>
      <w:spacing w:val="0"/>
      <w:w w:val="100"/>
      <w:position w:val="3"/>
      <w:sz w:val="28"/>
    </w:rPr>
  </w:style>
  <w:style w:type="character" w:customStyle="1" w:styleId="219">
    <w:name w:val="正文文本 Char"/>
    <w:link w:val="13"/>
    <w:qFormat/>
    <w:uiPriority w:val="0"/>
    <w:rPr>
      <w:rFonts w:ascii="Times New Roman" w:hAnsi="Times New Roman" w:eastAsia="宋体" w:cs="Times New Roman"/>
      <w:szCs w:val="20"/>
    </w:rPr>
  </w:style>
  <w:style w:type="character" w:customStyle="1" w:styleId="220">
    <w:name w:val="不明显参考1"/>
    <w:qFormat/>
    <w:uiPriority w:val="31"/>
    <w:rPr>
      <w:smallCaps/>
      <w:color w:val="C0504D"/>
      <w:u w:val="single"/>
    </w:rPr>
  </w:style>
  <w:style w:type="character" w:customStyle="1" w:styleId="221">
    <w:name w:val="脚注文本 Char"/>
    <w:link w:val="21"/>
    <w:semiHidden/>
    <w:qFormat/>
    <w:uiPriority w:val="0"/>
    <w:rPr>
      <w:rFonts w:ascii="宋体" w:hAnsi="Times New Roman" w:eastAsia="宋体" w:cs="Times New Roman"/>
      <w:sz w:val="18"/>
      <w:szCs w:val="18"/>
    </w:rPr>
  </w:style>
  <w:style w:type="character" w:customStyle="1" w:styleId="222">
    <w:name w:val="标准文件_图表脚注内容"/>
    <w:qFormat/>
    <w:uiPriority w:val="0"/>
    <w:rPr>
      <w:rFonts w:ascii="宋体" w:hAnsi="宋体" w:eastAsia="宋体" w:cs="Times New Roman"/>
      <w:spacing w:val="0"/>
      <w:sz w:val="18"/>
      <w:vertAlign w:val="superscript"/>
    </w:rPr>
  </w:style>
  <w:style w:type="character" w:customStyle="1" w:styleId="223">
    <w:name w:val="个人答复风格"/>
    <w:qFormat/>
    <w:uiPriority w:val="0"/>
    <w:rPr>
      <w:rFonts w:ascii="Arial" w:hAnsi="Arial" w:eastAsia="宋体" w:cs="Arial"/>
      <w:color w:val="auto"/>
      <w:spacing w:val="0"/>
      <w:sz w:val="20"/>
    </w:rPr>
  </w:style>
  <w:style w:type="character" w:customStyle="1" w:styleId="224">
    <w:name w:val="个人撰写风格"/>
    <w:qFormat/>
    <w:uiPriority w:val="0"/>
    <w:rPr>
      <w:rFonts w:ascii="Arial" w:hAnsi="Arial" w:eastAsia="宋体" w:cs="Arial"/>
      <w:color w:val="auto"/>
      <w:spacing w:val="0"/>
      <w:sz w:val="20"/>
    </w:rPr>
  </w:style>
  <w:style w:type="character" w:customStyle="1" w:styleId="225">
    <w:name w:val="标准文件_段 Char"/>
    <w:link w:val="42"/>
    <w:qFormat/>
    <w:uiPriority w:val="0"/>
    <w:rPr>
      <w:rFonts w:ascii="宋体" w:hAnsi="Times New Roman"/>
      <w:sz w:val="21"/>
    </w:rPr>
  </w:style>
  <w:style w:type="character" w:customStyle="1" w:styleId="226">
    <w:name w:val="占位符文本1"/>
    <w:basedOn w:val="28"/>
    <w:semiHidden/>
    <w:qFormat/>
    <w:uiPriority w:val="99"/>
    <w:rPr>
      <w:color w:val="808080"/>
    </w:rPr>
  </w:style>
  <w:style w:type="character" w:customStyle="1" w:styleId="227">
    <w:name w:val="标准文件_来源"/>
    <w:basedOn w:val="28"/>
    <w:qFormat/>
    <w:uiPriority w:val="1"/>
    <w:rPr>
      <w:rFonts w:eastAsia="宋体"/>
      <w:sz w:val="21"/>
    </w:rPr>
  </w:style>
  <w:style w:type="character" w:customStyle="1" w:styleId="228">
    <w:name w:val="标准文件_示例X后 字符"/>
    <w:basedOn w:val="225"/>
    <w:link w:val="184"/>
    <w:qFormat/>
    <w:uiPriority w:val="0"/>
    <w:rPr>
      <w:rFonts w:ascii="宋体" w:hAnsi="Times New Roman"/>
      <w:sz w:val="18"/>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1">
    <w:name w:val="章标题"/>
    <w:next w:val="230"/>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32">
    <w:name w:val="一级条标题"/>
    <w:next w:val="230"/>
    <w:qFormat/>
    <w:uiPriority w:val="0"/>
    <w:pPr>
      <w:outlineLvl w:val="2"/>
    </w:pPr>
    <w:rPr>
      <w:rFonts w:ascii="Times New Roman" w:hAnsi="Times New Roman" w:eastAsia="黑体" w:cs="Times New Roman"/>
      <w:sz w:val="21"/>
      <w:lang w:val="en-US" w:eastAsia="zh-CN" w:bidi="ar-SA"/>
    </w:rPr>
  </w:style>
  <w:style w:type="paragraph" w:customStyle="1" w:styleId="233">
    <w:name w:val="0"/>
    <w:basedOn w:val="1"/>
    <w:qFormat/>
    <w:uiPriority w:val="0"/>
    <w:pPr>
      <w:widowControl/>
      <w:spacing w:line="365" w:lineRule="atLeast"/>
      <w:ind w:left="1"/>
      <w:textAlignment w:val="bottom"/>
    </w:pPr>
    <w:rPr>
      <w:kern w:val="0"/>
      <w:sz w:val="20"/>
    </w:rPr>
  </w:style>
  <w:style w:type="paragraph" w:customStyle="1" w:styleId="234">
    <w:name w:val="附录标识"/>
    <w:basedOn w:val="235"/>
    <w:next w:val="230"/>
    <w:qFormat/>
    <w:uiPriority w:val="0"/>
    <w:pPr>
      <w:numPr>
        <w:numId w:val="0"/>
      </w:numPr>
      <w:tabs>
        <w:tab w:val="left" w:pos="6405"/>
      </w:tabs>
      <w:spacing w:after="200"/>
    </w:pPr>
    <w:rPr>
      <w:sz w:val="21"/>
    </w:rPr>
  </w:style>
  <w:style w:type="paragraph" w:customStyle="1" w:styleId="235">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6">
    <w:name w:val="附录章标题"/>
    <w:next w:val="23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6631;&#20934;2021\&#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4B40E1-D370-4A24-BF8D-DC6EB7953492}">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489</Words>
  <Characters>2789</Characters>
  <Lines>23</Lines>
  <Paragraphs>6</Paragraphs>
  <TotalTime>24</TotalTime>
  <ScaleCrop>false</ScaleCrop>
  <LinksUpToDate>false</LinksUpToDate>
  <CharactersWithSpaces>3272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2021-02-04T08:31:00Z</dcterms:created>
  <dc:creator>w</dc:creator>
  <dc:description>&lt;config cover="true" show_menu="true" version="1.0.0" doctype="SDKXY"&gt;_x000d_
&lt;/config&gt;</dc:description>
  <cp:lastModifiedBy>王洵银</cp:lastModifiedBy>
  <cp:lastPrinted>2021-09-28T02:00:00Z</cp:lastPrinted>
  <dcterms:modified xsi:type="dcterms:W3CDTF">2021-10-18T08:52:26Z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2052-11.8.2.8950</vt:lpwstr>
  </property>
  <property fmtid="{D5CDD505-2E9C-101B-9397-08002B2CF9AE}" pid="15" name="ICV">
    <vt:lpwstr>72326298F38D418396DAC23AF75076B6</vt:lpwstr>
  </property>
  <property fmtid="{D5CDD505-2E9C-101B-9397-08002B2CF9AE}" pid="16" name="showFlag">
    <vt:bool>true</vt:bool>
  </property>
</Properties>
</file>