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left"/>
        <w:outlineLvl w:val="0"/>
        <w:rPr>
          <w:rFonts w:ascii="黑体" w:hAnsi="黑体" w:eastAsia="黑体" w:cs="黑体"/>
          <w:b/>
          <w:bCs/>
          <w:sz w:val="36"/>
          <w:szCs w:val="36"/>
        </w:rPr>
      </w:pPr>
      <w:bookmarkStart w:id="0" w:name="_Toc17361"/>
      <w:r>
        <w:rPr>
          <w:rFonts w:hint="eastAsia" w:ascii="仿宋" w:hAnsi="仿宋" w:eastAsia="仿宋" w:cs="仿宋"/>
          <w:b w:val="0"/>
          <w:bCs w:val="0"/>
          <w:sz w:val="32"/>
          <w:szCs w:val="32"/>
        </w:rPr>
        <w:t>附件</w:t>
      </w:r>
      <w:bookmarkEnd w:id="0"/>
    </w:p>
    <w:p>
      <w:pPr>
        <w:spacing w:line="360" w:lineRule="auto"/>
        <w:jc w:val="both"/>
        <w:outlineLvl w:val="1"/>
        <w:rPr>
          <w:rFonts w:hint="eastAsia" w:ascii="方正小标宋简体" w:hAnsi="方正小标宋简体" w:eastAsia="方正小标宋简体" w:cs="方正小标宋简体"/>
          <w:b w:val="0"/>
          <w:bCs w:val="0"/>
          <w:sz w:val="36"/>
          <w:szCs w:val="36"/>
          <w:lang w:val="en-US" w:eastAsia="zh-CN"/>
        </w:rPr>
      </w:pPr>
      <w:bookmarkStart w:id="1" w:name="_Toc5917"/>
      <w:r>
        <w:rPr>
          <w:rFonts w:hint="eastAsia" w:ascii="方正小标宋简体" w:hAnsi="方正小标宋简体" w:eastAsia="方正小标宋简体" w:cs="方正小标宋简体"/>
          <w:b w:val="0"/>
          <w:bCs w:val="0"/>
          <w:sz w:val="36"/>
          <w:szCs w:val="36"/>
          <w:lang w:val="en-US" w:eastAsia="zh-CN"/>
        </w:rPr>
        <w:t>1.汕尾市重污染天气应急指挥部成员名单及职责</w:t>
      </w:r>
      <w:bookmarkEnd w:id="1"/>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21"/>
        <w:gridCol w:w="1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b/>
                <w:bCs/>
                <w:color w:val="000000"/>
                <w:kern w:val="0"/>
                <w:sz w:val="24"/>
              </w:rPr>
            </w:pPr>
            <w:r>
              <w:rPr>
                <w:rFonts w:hint="eastAsia" w:ascii="Times New Roman" w:hAnsi="Times New Roman" w:eastAsia="仿宋" w:cs="Times New Roman"/>
                <w:b/>
                <w:bCs/>
                <w:color w:val="000000"/>
                <w:kern w:val="0"/>
                <w:sz w:val="24"/>
              </w:rPr>
              <w:t>序号</w:t>
            </w:r>
          </w:p>
        </w:tc>
        <w:tc>
          <w:tcPr>
            <w:tcW w:w="2321" w:type="dxa"/>
            <w:noWrap w:val="0"/>
            <w:vAlign w:val="center"/>
          </w:tcPr>
          <w:p>
            <w:pPr>
              <w:widowControl/>
              <w:jc w:val="center"/>
              <w:rPr>
                <w:rFonts w:ascii="Times New Roman" w:hAnsi="Times New Roman" w:eastAsia="仿宋" w:cs="Times New Roman"/>
                <w:b/>
                <w:bCs/>
                <w:color w:val="000000"/>
                <w:kern w:val="0"/>
                <w:sz w:val="24"/>
              </w:rPr>
            </w:pPr>
            <w:r>
              <w:rPr>
                <w:rFonts w:hint="eastAsia" w:ascii="Times New Roman" w:hAnsi="Times New Roman" w:eastAsia="仿宋" w:cs="Times New Roman"/>
                <w:b/>
                <w:bCs/>
                <w:color w:val="000000"/>
                <w:kern w:val="0"/>
                <w:sz w:val="24"/>
              </w:rPr>
              <w:t>成员单位</w:t>
            </w:r>
          </w:p>
        </w:tc>
        <w:tc>
          <w:tcPr>
            <w:tcW w:w="11847" w:type="dxa"/>
            <w:noWrap w:val="0"/>
            <w:vAlign w:val="center"/>
          </w:tcPr>
          <w:p>
            <w:pPr>
              <w:widowControl/>
              <w:jc w:val="center"/>
              <w:rPr>
                <w:rFonts w:ascii="Times New Roman" w:hAnsi="Times New Roman" w:eastAsia="仿宋" w:cs="Times New Roman"/>
                <w:b/>
                <w:bCs/>
                <w:color w:val="000000"/>
                <w:kern w:val="0"/>
                <w:sz w:val="24"/>
              </w:rPr>
            </w:pPr>
            <w:r>
              <w:rPr>
                <w:rFonts w:hint="eastAsia" w:ascii="仿宋_GB2312" w:eastAsia="仿宋_GB2312"/>
                <w:b/>
                <w:bCs/>
                <w:sz w:val="24"/>
              </w:rPr>
              <w:t>职</w:t>
            </w:r>
            <w:r>
              <w:rPr>
                <w:rFonts w:ascii="仿宋_GB2312" w:eastAsia="仿宋_GB2312"/>
                <w:b/>
                <w:bCs/>
                <w:sz w:val="24"/>
              </w:rPr>
              <w:t xml:space="preserve">          </w:t>
            </w:r>
            <w:r>
              <w:rPr>
                <w:rFonts w:hint="eastAsia" w:ascii="仿宋_GB2312" w:eastAsia="仿宋_GB2312"/>
                <w:b/>
                <w:bCs/>
                <w:sz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b/>
                <w:bCs/>
                <w:sz w:val="24"/>
              </w:rPr>
            </w:pPr>
            <w:r>
              <w:rPr>
                <w:rFonts w:ascii="仿宋_GB2312" w:eastAsia="仿宋_GB2312"/>
                <w:b/>
                <w:bCs/>
                <w:sz w:val="24"/>
              </w:rPr>
              <w:t>各县（市、区）</w:t>
            </w:r>
            <w:r>
              <w:rPr>
                <w:rFonts w:hint="eastAsia" w:ascii="仿宋_GB2312" w:eastAsia="仿宋_GB2312"/>
                <w:b/>
                <w:bCs/>
                <w:sz w:val="24"/>
              </w:rPr>
              <w:t>人民</w:t>
            </w:r>
            <w:r>
              <w:rPr>
                <w:rFonts w:ascii="仿宋_GB2312" w:eastAsia="仿宋_GB2312"/>
                <w:b/>
                <w:bCs/>
                <w:sz w:val="24"/>
              </w:rPr>
              <w:t>政府</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更新、提交本地区工业源、移动源、扬尘源等应急减排项目清单和相应预警级别下的减排措施；</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配合市级部门制定本地区工业企业停、限产等减排措施、工地停工名单；</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指导应急减排项目清单涉及的工业企业按照要求制定重污染天气应急响应操作方案；</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向地区相关部门转发、传达重污染天气应急预警信息、督导各部门做好相关应急工作；</w:t>
            </w:r>
          </w:p>
          <w:p>
            <w:pPr>
              <w:numPr>
                <w:ilvl w:val="0"/>
                <w:numId w:val="0"/>
              </w:numPr>
              <w:adjustRightInd w:val="0"/>
              <w:snapToGrid w:val="0"/>
              <w:spacing w:line="240" w:lineRule="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为重污染天气各项应急工作提供本地区相关资金保障；</w:t>
            </w:r>
          </w:p>
          <w:p>
            <w:pPr>
              <w:numPr>
                <w:ilvl w:val="0"/>
                <w:numId w:val="0"/>
              </w:num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加强施工扬尘、道路遗撒、露天焚烧（秸秆、落叶、沥青、油毡、橡胶、塑料、皮革、垃圾）、露天烧烤、油烟排放以及经营性燃煤等污染源执法检查</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2</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 w:cs="Times New Roman"/>
                <w:color w:val="000000"/>
                <w:kern w:val="0"/>
                <w:szCs w:val="21"/>
              </w:rPr>
            </w:pPr>
            <w:r>
              <w:rPr>
                <w:rFonts w:hint="eastAsia" w:ascii="仿宋_GB2312" w:eastAsia="仿宋_GB2312"/>
                <w:b/>
                <w:bCs/>
                <w:sz w:val="24"/>
              </w:rPr>
              <w:t>市生态环境局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承担市</w:t>
            </w:r>
            <w:r>
              <w:rPr>
                <w:rFonts w:hint="eastAsia" w:ascii="仿宋" w:hAnsi="仿宋" w:eastAsia="仿宋" w:cs="仿宋"/>
                <w:sz w:val="24"/>
                <w:lang w:eastAsia="zh-CN"/>
              </w:rPr>
              <w:t>指挥部办公室</w:t>
            </w:r>
            <w:r>
              <w:rPr>
                <w:rFonts w:hint="eastAsia" w:ascii="仿宋" w:hAnsi="仿宋" w:eastAsia="仿宋" w:cs="仿宋"/>
                <w:sz w:val="24"/>
              </w:rPr>
              <w:t>日常工作；</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牵头制（修）订《汕尾市重污染天气应急预案》；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会同气象部门加强空气质量监测、分析和预报，及时发布监测预报预警信息；</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4.</w:t>
            </w:r>
            <w:r>
              <w:rPr>
                <w:rFonts w:hint="eastAsia" w:ascii="仿宋" w:hAnsi="仿宋" w:eastAsia="仿宋" w:cs="仿宋"/>
                <w:sz w:val="24"/>
              </w:rPr>
              <w:t>组织对重点排污企业污染物减排情况、落实重污染天气应急预案情况进行执法检查；</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5.</w:t>
            </w:r>
            <w:r>
              <w:rPr>
                <w:rFonts w:hint="eastAsia" w:ascii="仿宋" w:hAnsi="仿宋" w:eastAsia="仿宋" w:cs="仿宋"/>
                <w:sz w:val="24"/>
              </w:rPr>
              <w:t>联合相关部门加强大气污染控制和应急减排措施的落实。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3</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_GB2312" w:cs="Times New Roman"/>
                <w:color w:val="000000"/>
                <w:kern w:val="0"/>
                <w:szCs w:val="21"/>
              </w:rPr>
            </w:pPr>
            <w:r>
              <w:rPr>
                <w:rFonts w:hint="eastAsia" w:ascii="仿宋_GB2312" w:eastAsia="仿宋_GB2312"/>
                <w:b/>
                <w:bCs/>
                <w:sz w:val="24"/>
              </w:rPr>
              <w:t>市气象局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负责全市大气环境气象条件监测、预报工作；</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会同市生态环境局开展重污染天气过程会商、分析、预报；</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4.</w:t>
            </w:r>
            <w:r>
              <w:rPr>
                <w:rFonts w:hint="eastAsia" w:ascii="仿宋" w:hAnsi="仿宋" w:eastAsia="仿宋" w:cs="仿宋"/>
                <w:sz w:val="24"/>
              </w:rPr>
              <w:t>根据天气条件组织实施人工影响天气作业。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4</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b/>
                <w:bCs/>
                <w:sz w:val="24"/>
              </w:rPr>
            </w:pPr>
            <w:r>
              <w:rPr>
                <w:rFonts w:hint="eastAsia" w:ascii="仿宋_GB2312" w:eastAsia="仿宋_GB2312"/>
                <w:b/>
                <w:bCs/>
                <w:sz w:val="24"/>
              </w:rPr>
              <w:t>市财政局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为重污染天气监测、预警、应急处置与救援、监督检查，以及基础设施建设、运行和维护，应急技术支持和应急演练等各项工作提供相关资金保障；</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为重污染天气事件的应急处置、有关部门应急能力建设和应急物资的储备提供资金保障；</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完成市重污染天气应急指挥部交办的其他事项。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5</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b/>
                <w:bCs/>
                <w:sz w:val="24"/>
              </w:rPr>
            </w:pPr>
            <w:r>
              <w:rPr>
                <w:rFonts w:hint="eastAsia" w:ascii="仿宋_GB2312" w:eastAsia="仿宋_GB2312"/>
                <w:b/>
                <w:bCs/>
                <w:sz w:val="24"/>
              </w:rPr>
              <w:t>市应急管理局</w:t>
            </w:r>
          </w:p>
        </w:tc>
        <w:tc>
          <w:tcPr>
            <w:tcW w:w="11847" w:type="dxa"/>
            <w:noWrap w:val="0"/>
            <w:vAlign w:val="center"/>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配合相关部门统筹做好重污染天气应急预警及响应体系完善工作</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6</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 w:cs="Times New Roman"/>
                <w:color w:val="000000"/>
                <w:kern w:val="0"/>
                <w:szCs w:val="21"/>
              </w:rPr>
            </w:pPr>
            <w:r>
              <w:rPr>
                <w:rFonts w:hint="eastAsia" w:ascii="仿宋_GB2312" w:eastAsia="仿宋_GB2312"/>
                <w:b/>
                <w:bCs/>
                <w:sz w:val="24"/>
              </w:rPr>
              <w:t>市委宣传部</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负责组织重污染天气应对的媒体宣传、大气污染防治有关知识的科普宣传；</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协调本市广播、电视等传统媒体和各类新媒体及时做好预警信息的对外发布工作。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7</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_GB2312" w:cs="Times New Roman"/>
                <w:color w:val="000000"/>
                <w:kern w:val="0"/>
                <w:szCs w:val="21"/>
              </w:rPr>
            </w:pPr>
            <w:r>
              <w:rPr>
                <w:rFonts w:hint="eastAsia" w:ascii="仿宋_GB2312" w:eastAsia="仿宋_GB2312"/>
                <w:b/>
                <w:bCs/>
                <w:sz w:val="24"/>
              </w:rPr>
              <w:t>市卫生健康局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组织开展污染天气对人体健康影响科普和防病知识宣传工作，加强对特殊人群的健康防护指导；</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组织各医疗机构加强相关疾病门（急）诊力量，做好医疗救治工作。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8</w:t>
            </w:r>
          </w:p>
        </w:tc>
        <w:tc>
          <w:tcPr>
            <w:tcW w:w="2321" w:type="dxa"/>
            <w:noWrap w:val="0"/>
            <w:vAlign w:val="center"/>
          </w:tcPr>
          <w:p>
            <w:pPr>
              <w:adjustRightInd w:val="0"/>
              <w:snapToGrid w:val="0"/>
              <w:spacing w:line="276" w:lineRule="auto"/>
              <w:ind w:left="0" w:leftChars="0" w:firstLine="0" w:firstLineChars="0"/>
              <w:jc w:val="center"/>
              <w:rPr>
                <w:rFonts w:hint="eastAsia" w:ascii="仿宋_GB2312" w:eastAsia="仿宋_GB2312"/>
                <w:b/>
                <w:bCs/>
                <w:sz w:val="24"/>
              </w:rPr>
            </w:pPr>
            <w:r>
              <w:rPr>
                <w:rFonts w:hint="eastAsia" w:ascii="仿宋_GB2312" w:eastAsia="仿宋_GB2312"/>
                <w:b/>
                <w:bCs/>
                <w:sz w:val="24"/>
              </w:rPr>
              <w:t>市文化广电旅游</w:t>
            </w:r>
          </w:p>
          <w:p>
            <w:pPr>
              <w:adjustRightInd w:val="0"/>
              <w:snapToGrid w:val="0"/>
              <w:spacing w:line="276" w:lineRule="auto"/>
              <w:ind w:left="0" w:leftChars="0" w:firstLine="0" w:firstLineChars="0"/>
              <w:jc w:val="center"/>
              <w:rPr>
                <w:rFonts w:ascii="Times New Roman" w:hAnsi="Times New Roman" w:eastAsia="仿宋" w:cs="Times New Roman"/>
                <w:color w:val="000000"/>
                <w:kern w:val="0"/>
                <w:szCs w:val="21"/>
              </w:rPr>
            </w:pPr>
            <w:r>
              <w:rPr>
                <w:rFonts w:hint="eastAsia" w:ascii="仿宋_GB2312" w:eastAsia="仿宋_GB2312"/>
                <w:b/>
                <w:bCs/>
                <w:sz w:val="24"/>
              </w:rPr>
              <w:t>体育局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负责协助相关部门做好重污染天气科普宣传、预警信息传达工作；</w:t>
            </w:r>
          </w:p>
          <w:p>
            <w:pPr>
              <w:numPr>
                <w:ilvl w:val="0"/>
                <w:numId w:val="0"/>
              </w:numPr>
              <w:adjustRightInd w:val="0"/>
              <w:snapToGrid w:val="0"/>
              <w:spacing w:line="240" w:lineRule="auto"/>
              <w:rPr>
                <w:rFonts w:hint="eastAsia" w:ascii="仿宋" w:hAnsi="仿宋" w:eastAsia="仿宋" w:cs="仿宋"/>
                <w:color w:val="000000"/>
                <w:kern w:val="0"/>
                <w:sz w:val="24"/>
                <w:lang w:eastAsia="zh-CN"/>
              </w:rPr>
            </w:pPr>
            <w:r>
              <w:rPr>
                <w:rFonts w:hint="eastAsia" w:ascii="仿宋" w:hAnsi="仿宋" w:eastAsia="仿宋" w:cs="仿宋"/>
                <w:sz w:val="24"/>
                <w:lang w:val="en-US" w:eastAsia="zh-CN"/>
              </w:rPr>
              <w:t>2.</w:t>
            </w:r>
            <w:r>
              <w:rPr>
                <w:rFonts w:hint="eastAsia" w:ascii="仿宋" w:hAnsi="仿宋" w:eastAsia="仿宋" w:cs="仿宋"/>
                <w:sz w:val="24"/>
              </w:rPr>
              <w:t>负责安排重污染天气期间户外大型文化体育活动延期举办、现场应急工作</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9</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 w:cs="Times New Roman"/>
                <w:color w:val="000000"/>
                <w:kern w:val="0"/>
                <w:szCs w:val="21"/>
              </w:rPr>
            </w:pPr>
            <w:r>
              <w:rPr>
                <w:rFonts w:hint="eastAsia" w:ascii="仿宋_GB2312" w:eastAsia="仿宋_GB2312"/>
                <w:b/>
                <w:bCs/>
                <w:sz w:val="24"/>
              </w:rPr>
              <w:t>市教育局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负责重污染天气预警期间全市幼儿园、中小学和市属高校的应急工作部署，根据不同的预警级别应急响应措施要求，负责及时将相关应急措施通知教育行政部门和学校，组织落实本市中小学及幼儿园实施健康防护、停止户外运动以及停课等相关措施；</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督导各级各类学校、教育机构落实措施。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10</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_GB2312" w:cs="Times New Roman"/>
                <w:color w:val="000000"/>
                <w:kern w:val="0"/>
                <w:szCs w:val="21"/>
              </w:rPr>
            </w:pPr>
            <w:r>
              <w:rPr>
                <w:rFonts w:hint="eastAsia" w:ascii="仿宋_GB2312" w:eastAsia="仿宋_GB2312"/>
                <w:b/>
                <w:bCs/>
                <w:sz w:val="24"/>
              </w:rPr>
              <w:t>市工业和信息化局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负责配合市生态环境部门制定重污染天气预警期间工业企业限产、停产工业企业名单；</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负责及时向企业转发、传达预警信息，督导各区落实企业响应情况；</w:t>
            </w:r>
          </w:p>
          <w:p>
            <w:pPr>
              <w:numPr>
                <w:ilvl w:val="0"/>
                <w:numId w:val="0"/>
              </w:numPr>
              <w:adjustRightInd w:val="0"/>
              <w:snapToGrid w:val="0"/>
              <w:spacing w:line="240" w:lineRule="auto"/>
              <w:rPr>
                <w:rFonts w:hint="eastAsia" w:ascii="仿宋" w:hAnsi="仿宋" w:eastAsia="仿宋" w:cs="仿宋"/>
                <w:color w:val="000000"/>
                <w:kern w:val="0"/>
                <w:sz w:val="24"/>
                <w:lang w:eastAsia="zh-CN"/>
              </w:rPr>
            </w:pPr>
            <w:r>
              <w:rPr>
                <w:rFonts w:hint="eastAsia" w:ascii="仿宋" w:hAnsi="仿宋" w:eastAsia="仿宋" w:cs="仿宋"/>
                <w:sz w:val="24"/>
                <w:lang w:val="en-US" w:eastAsia="zh-CN"/>
              </w:rPr>
              <w:t>4.</w:t>
            </w:r>
            <w:r>
              <w:rPr>
                <w:rFonts w:hint="eastAsia" w:ascii="仿宋" w:hAnsi="仿宋" w:eastAsia="仿宋" w:cs="仿宋"/>
                <w:sz w:val="24"/>
              </w:rPr>
              <w:t>会同生态环境部门组织落实工业企业停、限产措施</w:t>
            </w:r>
            <w:r>
              <w:rPr>
                <w:rFonts w:hint="eastAsia" w:ascii="仿宋" w:hAnsi="仿宋" w:eastAsia="仿宋" w:cs="仿宋"/>
                <w:sz w:val="24"/>
                <w:lang w:eastAsia="zh-CN"/>
              </w:rPr>
              <w:t>；</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5.</w:t>
            </w:r>
            <w:r>
              <w:rPr>
                <w:rFonts w:hint="eastAsia" w:ascii="仿宋" w:hAnsi="仿宋" w:eastAsia="仿宋" w:cs="仿宋"/>
                <w:sz w:val="24"/>
              </w:rPr>
              <w:t>与省工信委、周边城市工信部门沟通协调，做好周边市（县、区）工业企业停、限产联防联控工作；</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6.</w:t>
            </w:r>
            <w:r>
              <w:rPr>
                <w:rFonts w:hint="eastAsia" w:ascii="仿宋" w:hAnsi="仿宋" w:eastAsia="仿宋" w:cs="仿宋"/>
                <w:sz w:val="24"/>
              </w:rPr>
              <w:t>组织协调各电信运营企业发布环境空气质量信息、重污染天气预警信息、卫生防护建议。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11</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_GB2312" w:cs="Times New Roman"/>
                <w:color w:val="000000"/>
                <w:kern w:val="0"/>
                <w:szCs w:val="21"/>
              </w:rPr>
            </w:pPr>
            <w:r>
              <w:rPr>
                <w:rFonts w:hint="eastAsia" w:ascii="仿宋_GB2312" w:eastAsia="仿宋_GB2312"/>
                <w:b/>
                <w:bCs/>
                <w:sz w:val="24"/>
              </w:rPr>
              <w:t>市公安局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2.</w:t>
            </w:r>
            <w:r>
              <w:rPr>
                <w:rFonts w:hint="eastAsia" w:ascii="仿宋" w:hAnsi="仿宋" w:eastAsia="仿宋" w:cs="仿宋"/>
                <w:sz w:val="24"/>
              </w:rPr>
              <w:t>负责重污染天气预警期间向公众告知重污染期间采取的交通管理措施，做好对相应范围内禁行（限行）监管执法等工作；</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加大交通疏导、禁止燃放烟花爆竹等应急工作力度；</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4.</w:t>
            </w:r>
            <w:r>
              <w:rPr>
                <w:rFonts w:hint="eastAsia" w:ascii="仿宋" w:hAnsi="仿宋" w:eastAsia="仿宋" w:cs="仿宋"/>
                <w:sz w:val="24"/>
              </w:rPr>
              <w:t>完善中心城区电子警察抓拍系统</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12</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b/>
                <w:bCs/>
                <w:sz w:val="24"/>
              </w:rPr>
            </w:pPr>
            <w:r>
              <w:rPr>
                <w:rFonts w:hint="eastAsia" w:ascii="仿宋_GB2312" w:eastAsia="仿宋_GB2312"/>
                <w:b/>
                <w:bCs/>
                <w:sz w:val="24"/>
              </w:rPr>
              <w:t>市交通运输局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负责及时更新、提交本部门重点交通建设工程扬尘源信息名单；</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负责及时向交通建设工程施工方转发、传达预警信息，督导交通建设工地扬尘控制</w:t>
            </w:r>
          </w:p>
          <w:p>
            <w:pPr>
              <w:numPr>
                <w:ilvl w:val="0"/>
                <w:numId w:val="0"/>
              </w:numPr>
              <w:adjustRightInd w:val="0"/>
              <w:snapToGrid w:val="0"/>
              <w:spacing w:line="240" w:lineRule="auto"/>
              <w:rPr>
                <w:rFonts w:hint="eastAsia" w:ascii="仿宋" w:hAnsi="仿宋" w:eastAsia="仿宋" w:cs="仿宋"/>
                <w:color w:val="000000"/>
                <w:kern w:val="0"/>
                <w:sz w:val="24"/>
                <w:lang w:eastAsia="zh-CN"/>
              </w:rPr>
            </w:pPr>
            <w:r>
              <w:rPr>
                <w:rFonts w:hint="eastAsia" w:ascii="仿宋" w:hAnsi="仿宋" w:eastAsia="仿宋" w:cs="仿宋"/>
                <w:sz w:val="24"/>
                <w:lang w:val="en-US" w:eastAsia="zh-CN"/>
              </w:rPr>
              <w:t>4.</w:t>
            </w:r>
            <w:r>
              <w:rPr>
                <w:rFonts w:hint="eastAsia" w:ascii="仿宋" w:hAnsi="仿宋" w:eastAsia="仿宋" w:cs="仿宋"/>
                <w:sz w:val="24"/>
              </w:rPr>
              <w:t>负责重污染天气所管辖的道路扬尘控制，做好响应期间的公共交通运力保障</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13</w:t>
            </w:r>
          </w:p>
        </w:tc>
        <w:tc>
          <w:tcPr>
            <w:tcW w:w="2321" w:type="dxa"/>
            <w:noWrap w:val="0"/>
            <w:vAlign w:val="center"/>
          </w:tcPr>
          <w:p>
            <w:pPr>
              <w:adjustRightInd w:val="0"/>
              <w:snapToGrid w:val="0"/>
              <w:spacing w:line="276" w:lineRule="auto"/>
              <w:ind w:left="0" w:leftChars="0" w:firstLine="0" w:firstLineChars="0"/>
              <w:jc w:val="center"/>
              <w:rPr>
                <w:rFonts w:hint="eastAsia" w:ascii="仿宋_GB2312" w:eastAsia="仿宋_GB2312"/>
                <w:b/>
                <w:bCs/>
                <w:sz w:val="24"/>
              </w:rPr>
            </w:pPr>
            <w:r>
              <w:rPr>
                <w:rFonts w:hint="eastAsia" w:ascii="仿宋_GB2312" w:eastAsia="仿宋_GB2312"/>
                <w:b/>
                <w:bCs/>
                <w:sz w:val="24"/>
              </w:rPr>
              <w:t>市住房和城乡</w:t>
            </w:r>
          </w:p>
          <w:p>
            <w:pPr>
              <w:adjustRightInd w:val="0"/>
              <w:snapToGrid w:val="0"/>
              <w:spacing w:line="276" w:lineRule="auto"/>
              <w:ind w:left="0" w:leftChars="0" w:firstLine="0" w:firstLineChars="0"/>
              <w:jc w:val="center"/>
              <w:rPr>
                <w:rFonts w:ascii="Times New Roman" w:hAnsi="Times New Roman" w:eastAsia="仿宋_GB2312" w:cs="Times New Roman"/>
                <w:color w:val="000000"/>
                <w:kern w:val="0"/>
                <w:szCs w:val="21"/>
              </w:rPr>
            </w:pPr>
            <w:r>
              <w:rPr>
                <w:rFonts w:hint="eastAsia" w:ascii="仿宋_GB2312" w:eastAsia="仿宋_GB2312"/>
                <w:b/>
                <w:bCs/>
                <w:sz w:val="24"/>
              </w:rPr>
              <w:t>建设局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负责更新、提交本部门重点建设工程扬尘源信息名单；</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负责向重点建设工程施工方转发、传达预警信息，督导工地扬尘控制；</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4.</w:t>
            </w:r>
            <w:r>
              <w:rPr>
                <w:rFonts w:hint="eastAsia" w:ascii="仿宋" w:hAnsi="仿宋" w:eastAsia="仿宋" w:cs="仿宋"/>
                <w:sz w:val="24"/>
              </w:rPr>
              <w:t>负责重污染天气建筑工地及其堆场的扬尘控制、燃油机械使用管理；</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5.</w:t>
            </w:r>
            <w:r>
              <w:rPr>
                <w:rFonts w:hint="eastAsia" w:ascii="仿宋" w:hAnsi="仿宋" w:eastAsia="仿宋" w:cs="仿宋"/>
                <w:sz w:val="24"/>
              </w:rPr>
              <w:t>及时落实监管范围内房屋建设、房屋修缮、大型商业建筑装修、外立面改造等的喷涂粉刷施工场地合理停工。</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6.</w:t>
            </w:r>
            <w:r>
              <w:rPr>
                <w:rFonts w:hint="eastAsia" w:ascii="仿宋" w:hAnsi="仿宋" w:eastAsia="仿宋" w:cs="仿宋"/>
                <w:sz w:val="24"/>
              </w:rPr>
              <w:t>督促城市管理部门加强道路清扫保洁，落实机扫、洒水措施，按要求开启道路绿化带喷洒设备。</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7.</w:t>
            </w:r>
            <w:r>
              <w:rPr>
                <w:rFonts w:hint="eastAsia" w:ascii="仿宋" w:hAnsi="仿宋" w:eastAsia="仿宋" w:cs="仿宋"/>
                <w:sz w:val="24"/>
              </w:rPr>
              <w:t>加强指导和督促实行综合执法的县(市、区)对建成区施工扬尘、道路遗撒、无照流动或占道经营露天烧烤、秸秆燃烧、焚烧生活垃圾等违法行为依法进行查处；配合有关部门对渣土车、砂石车等易扬尘车辆停运情况进行检查，并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14</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b/>
                <w:bCs/>
                <w:sz w:val="24"/>
              </w:rPr>
            </w:pPr>
            <w:r>
              <w:rPr>
                <w:rFonts w:hint="eastAsia" w:ascii="仿宋_GB2312" w:eastAsia="仿宋_GB2312"/>
                <w:b/>
                <w:bCs/>
                <w:sz w:val="24"/>
              </w:rPr>
              <w:t>市农业农村局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负责指导秸秆的农业综合利用、落实农业机械报废更新措施；</w:t>
            </w:r>
          </w:p>
          <w:p>
            <w:pPr>
              <w:numPr>
                <w:ilvl w:val="0"/>
                <w:numId w:val="0"/>
              </w:num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lang w:val="en-US" w:eastAsia="zh-CN"/>
              </w:rPr>
              <w:t>3.</w:t>
            </w:r>
            <w:r>
              <w:rPr>
                <w:rFonts w:hint="eastAsia" w:ascii="仿宋" w:hAnsi="仿宋" w:eastAsia="仿宋" w:cs="仿宋"/>
                <w:sz w:val="24"/>
              </w:rPr>
              <w:t>负责配合各县（市、区）人民政府开展督查农作物秸秆露天禁烧等行为</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15</w:t>
            </w:r>
          </w:p>
        </w:tc>
        <w:tc>
          <w:tcPr>
            <w:tcW w:w="2321" w:type="dxa"/>
            <w:noWrap w:val="0"/>
            <w:vAlign w:val="center"/>
          </w:tcPr>
          <w:p>
            <w:pPr>
              <w:adjustRightInd w:val="0"/>
              <w:snapToGrid w:val="0"/>
              <w:spacing w:line="276" w:lineRule="auto"/>
              <w:ind w:left="0" w:leftChars="0" w:firstLine="0" w:firstLineChars="0"/>
              <w:jc w:val="center"/>
              <w:rPr>
                <w:rFonts w:ascii="Times New Roman" w:hAnsi="Times New Roman" w:eastAsia="仿宋_GB2312" w:cs="Times New Roman"/>
                <w:color w:val="000000"/>
                <w:kern w:val="0"/>
                <w:szCs w:val="21"/>
              </w:rPr>
            </w:pPr>
            <w:r>
              <w:rPr>
                <w:rFonts w:hint="eastAsia" w:ascii="仿宋_GB2312" w:eastAsia="仿宋_GB2312"/>
                <w:b/>
                <w:bCs/>
                <w:sz w:val="24"/>
              </w:rPr>
              <w:t>市发展和改革局</w:t>
            </w:r>
          </w:p>
        </w:tc>
        <w:tc>
          <w:tcPr>
            <w:tcW w:w="11847" w:type="dxa"/>
            <w:noWrap w:val="0"/>
            <w:vAlign w:val="center"/>
          </w:tcPr>
          <w:p>
            <w:pPr>
              <w:adjustRightInd w:val="0"/>
              <w:snapToGrid w:val="0"/>
              <w:spacing w:line="240" w:lineRule="auto"/>
              <w:rPr>
                <w:rFonts w:ascii="仿宋" w:hAnsi="仿宋" w:eastAsia="仿宋" w:cs="仿宋"/>
                <w:color w:val="000000"/>
                <w:kern w:val="0"/>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负责优化区域空间布局，调整产业结构，推动清洁能源利用。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16</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b/>
                <w:bCs/>
                <w:sz w:val="24"/>
              </w:rPr>
            </w:pPr>
            <w:r>
              <w:rPr>
                <w:rFonts w:ascii="仿宋_GB2312" w:eastAsia="仿宋_GB2312"/>
                <w:b/>
                <w:bCs/>
                <w:sz w:val="24"/>
              </w:rPr>
              <w:t>汕尾供电局</w:t>
            </w:r>
          </w:p>
        </w:tc>
        <w:tc>
          <w:tcPr>
            <w:tcW w:w="11847" w:type="dxa"/>
            <w:noWrap w:val="0"/>
            <w:vAlign w:val="center"/>
          </w:tcPr>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负责配合市工信局按照相应响应级别对限产、停产企业实施供电管控，对关停取缔企业采取停电措施；</w:t>
            </w:r>
          </w:p>
          <w:p>
            <w:pPr>
              <w:numPr>
                <w:ilvl w:val="0"/>
                <w:numId w:val="0"/>
              </w:numPr>
              <w:adjustRightInd w:val="0"/>
              <w:snapToGrid w:val="0"/>
              <w:spacing w:line="24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完成市重污染天气应急指挥部交办的其他事项。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noWrap w:val="0"/>
            <w:vAlign w:val="center"/>
          </w:tcPr>
          <w:p>
            <w:pPr>
              <w:widowControl/>
              <w:ind w:left="0" w:leftChars="0" w:firstLine="0" w:firstLineChars="0"/>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17</w:t>
            </w:r>
          </w:p>
        </w:tc>
        <w:tc>
          <w:tcPr>
            <w:tcW w:w="2321" w:type="dxa"/>
            <w:noWrap w:val="0"/>
            <w:vAlign w:val="center"/>
          </w:tcPr>
          <w:p>
            <w:pPr>
              <w:adjustRightInd w:val="0"/>
              <w:snapToGrid w:val="0"/>
              <w:spacing w:line="276" w:lineRule="auto"/>
              <w:ind w:left="0" w:leftChars="0" w:firstLine="0" w:firstLineChars="0"/>
              <w:jc w:val="center"/>
              <w:rPr>
                <w:rFonts w:ascii="仿宋_GB2312" w:eastAsia="仿宋_GB2312"/>
                <w:sz w:val="24"/>
              </w:rPr>
            </w:pPr>
            <w:r>
              <w:rPr>
                <w:rFonts w:hint="eastAsia" w:ascii="仿宋_GB2312" w:eastAsia="仿宋_GB2312"/>
                <w:b/>
                <w:bCs/>
                <w:sz w:val="24"/>
              </w:rPr>
              <w:t>汕尾海事局</w:t>
            </w:r>
          </w:p>
        </w:tc>
        <w:tc>
          <w:tcPr>
            <w:tcW w:w="11847" w:type="dxa"/>
            <w:noWrap w:val="0"/>
            <w:vAlign w:val="center"/>
          </w:tcPr>
          <w:p>
            <w:pPr>
              <w:adjustRightInd w:val="0"/>
              <w:snapToGrid w:val="0"/>
              <w:spacing w:line="240" w:lineRule="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编制（修订）本部门重污染天气应急专项方案</w:t>
            </w:r>
            <w:r>
              <w:rPr>
                <w:rFonts w:hint="eastAsia" w:ascii="仿宋" w:hAnsi="仿宋" w:eastAsia="仿宋" w:cs="仿宋"/>
                <w:sz w:val="24"/>
                <w:lang w:eastAsia="zh-CN"/>
              </w:rPr>
              <w:t>；</w:t>
            </w:r>
          </w:p>
          <w:p>
            <w:pPr>
              <w:adjustRightInd w:val="0"/>
              <w:snapToGrid w:val="0"/>
              <w:spacing w:line="240" w:lineRule="auto"/>
              <w:rPr>
                <w:rFonts w:ascii="仿宋_GB2312" w:eastAsia="仿宋_GB2312"/>
                <w:sz w:val="24"/>
              </w:rPr>
            </w:pPr>
            <w:r>
              <w:rPr>
                <w:rFonts w:hint="eastAsia" w:ascii="仿宋" w:hAnsi="仿宋" w:eastAsia="仿宋" w:cs="仿宋"/>
                <w:sz w:val="24"/>
                <w:lang w:val="en-US" w:eastAsia="zh-CN"/>
              </w:rPr>
              <w:t>2.</w:t>
            </w:r>
            <w:r>
              <w:rPr>
                <w:rFonts w:hint="eastAsia" w:ascii="仿宋" w:hAnsi="仿宋" w:eastAsia="仿宋" w:cs="仿宋"/>
                <w:sz w:val="24"/>
              </w:rPr>
              <w:t>负责协调落实商船的大气污染控制工作。</w:t>
            </w:r>
          </w:p>
        </w:tc>
      </w:tr>
    </w:tbl>
    <w:p>
      <w:pPr>
        <w:spacing w:line="360" w:lineRule="auto"/>
        <w:rPr>
          <w:b/>
          <w:bCs/>
          <w:sz w:val="32"/>
          <w:szCs w:val="32"/>
        </w:rPr>
      </w:pPr>
    </w:p>
    <w:p>
      <w:pPr>
        <w:spacing w:line="600" w:lineRule="exact"/>
        <w:ind w:firstLine="960" w:firstLineChars="300"/>
        <w:outlineLvl w:val="0"/>
        <w:rPr>
          <w:rFonts w:hint="eastAsia" w:ascii="仿宋" w:hAnsi="仿宋" w:eastAsia="仿宋" w:cs="仿宋"/>
          <w:color w:val="auto"/>
          <w:sz w:val="32"/>
          <w:szCs w:val="32"/>
        </w:rPr>
        <w:sectPr>
          <w:pgSz w:w="16838" w:h="11906" w:orient="landscape"/>
          <w:pgMar w:top="1440" w:right="1080" w:bottom="1440" w:left="1080" w:header="851" w:footer="992" w:gutter="0"/>
          <w:pgNumType w:fmt="decimal"/>
          <w:cols w:space="720" w:num="1"/>
          <w:docGrid w:type="lines" w:linePitch="312" w:charSpace="0"/>
        </w:sectPr>
      </w:pPr>
    </w:p>
    <w:p>
      <w:pPr>
        <w:spacing w:line="360" w:lineRule="auto"/>
        <w:ind w:left="0" w:leftChars="0" w:firstLine="720" w:firstLineChars="200"/>
        <w:jc w:val="both"/>
        <w:outlineLvl w:val="1"/>
        <w:rPr>
          <w:rFonts w:hint="default" w:ascii="黑体" w:hAnsi="黑体" w:eastAsia="黑体" w:cs="黑体"/>
          <w:b/>
          <w:bCs/>
          <w:sz w:val="36"/>
          <w:szCs w:val="36"/>
          <w:lang w:val="en-US" w:eastAsia="zh-CN"/>
        </w:rPr>
      </w:pPr>
      <w:bookmarkStart w:id="2" w:name="_Toc13028"/>
      <w:r>
        <w:rPr>
          <w:rFonts w:hint="eastAsia" w:ascii="方正小标宋简体" w:hAnsi="方正小标宋简体" w:eastAsia="方正小标宋简体" w:cs="方正小标宋简体"/>
          <w:b w:val="0"/>
          <w:bCs w:val="0"/>
          <w:sz w:val="36"/>
          <w:szCs w:val="36"/>
          <w:lang w:val="en-US" w:eastAsia="zh-CN"/>
        </w:rPr>
        <w:t>2.汕尾市重污染天气应急响应措施</w:t>
      </w:r>
      <w:bookmarkEnd w:id="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679"/>
        <w:gridCol w:w="4679"/>
        <w:gridCol w:w="4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eastAsia="仿宋_GB2312"/>
                <w:b/>
                <w:bCs/>
                <w:iCs/>
                <w:sz w:val="24"/>
              </w:rPr>
            </w:pPr>
            <w:r>
              <w:rPr>
                <w:rFonts w:hint="eastAsia" w:ascii="仿宋_GB2312" w:eastAsia="仿宋_GB2312"/>
                <w:b/>
                <w:bCs/>
                <w:iCs/>
                <w:sz w:val="24"/>
              </w:rPr>
              <w:t>级别</w:t>
            </w:r>
          </w:p>
        </w:tc>
        <w:tc>
          <w:tcPr>
            <w:tcW w:w="4679" w:type="dxa"/>
            <w:tcBorders>
              <w:top w:val="single" w:color="auto" w:sz="4" w:space="0"/>
              <w:left w:val="single" w:color="auto" w:sz="4" w:space="0"/>
              <w:bottom w:val="single" w:color="auto" w:sz="4" w:space="0"/>
              <w:right w:val="single" w:color="auto" w:sz="4" w:space="0"/>
            </w:tcBorders>
            <w:shd w:val="clear" w:color="auto" w:fill="FFFF0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eastAsia="仿宋_GB2312"/>
                <w:b/>
                <w:bCs/>
                <w:iCs/>
                <w:sz w:val="24"/>
              </w:rPr>
            </w:pPr>
            <w:r>
              <w:rPr>
                <w:rFonts w:hint="eastAsia" w:ascii="仿宋_GB2312" w:eastAsia="仿宋_GB2312"/>
                <w:b/>
                <w:bCs/>
                <w:iCs/>
                <w:sz w:val="24"/>
              </w:rPr>
              <w:t>黄色预警（Ⅲ级响应）</w:t>
            </w:r>
          </w:p>
        </w:tc>
        <w:tc>
          <w:tcPr>
            <w:tcW w:w="4679" w:type="dxa"/>
            <w:tcBorders>
              <w:top w:val="single" w:color="auto" w:sz="4" w:space="0"/>
              <w:left w:val="single" w:color="auto" w:sz="4" w:space="0"/>
              <w:bottom w:val="single" w:color="auto" w:sz="4" w:space="0"/>
              <w:right w:val="single" w:color="auto" w:sz="4" w:space="0"/>
            </w:tcBorders>
            <w:shd w:val="clear" w:color="auto" w:fill="FFC00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eastAsia="仿宋_GB2312"/>
                <w:b/>
                <w:bCs/>
                <w:iCs/>
                <w:sz w:val="24"/>
              </w:rPr>
            </w:pPr>
            <w:r>
              <w:rPr>
                <w:rFonts w:hint="eastAsia" w:ascii="仿宋_GB2312" w:eastAsia="仿宋_GB2312"/>
                <w:b/>
                <w:bCs/>
                <w:iCs/>
                <w:sz w:val="24"/>
              </w:rPr>
              <w:t>橙色预警（Ⅱ级响应）</w:t>
            </w:r>
          </w:p>
        </w:tc>
        <w:tc>
          <w:tcPr>
            <w:tcW w:w="4682" w:type="dxa"/>
            <w:tcBorders>
              <w:top w:val="single" w:color="auto" w:sz="4" w:space="0"/>
              <w:left w:val="single" w:color="auto" w:sz="4" w:space="0"/>
              <w:bottom w:val="single" w:color="auto" w:sz="4" w:space="0"/>
              <w:right w:val="single" w:color="auto" w:sz="4" w:space="0"/>
            </w:tcBorders>
            <w:shd w:val="clear" w:color="auto" w:fill="FF000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eastAsia="仿宋_GB2312"/>
                <w:b/>
                <w:bCs/>
                <w:iCs/>
                <w:sz w:val="24"/>
              </w:rPr>
            </w:pPr>
            <w:r>
              <w:rPr>
                <w:rFonts w:hint="eastAsia" w:ascii="仿宋_GB2312" w:eastAsia="仿宋_GB2312"/>
                <w:b/>
                <w:bCs/>
                <w:iCs/>
                <w:sz w:val="24"/>
              </w:rPr>
              <w:t>红色预警（Ⅰ级响应）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
          <w:p/>
          <w:p/>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公</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施</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（1）</w:t>
            </w:r>
            <w:r>
              <w:rPr>
                <w:rFonts w:hint="eastAsia" w:ascii="仿宋_GB2312" w:eastAsia="仿宋_GB2312"/>
                <w:b/>
                <w:bCs w:val="0"/>
                <w:iCs/>
                <w:sz w:val="24"/>
              </w:rPr>
              <w:t>儿童、老年人和呼吸道、心脑血管病及其他慢性疾病患者</w:t>
            </w:r>
            <w:r>
              <w:rPr>
                <w:rFonts w:hint="eastAsia" w:ascii="仿宋_GB2312" w:eastAsia="仿宋_GB2312"/>
                <w:bCs/>
                <w:iCs/>
                <w:sz w:val="24"/>
              </w:rPr>
              <w:t>尽量留在室内，避免户外活动，确需外出尽量采取防护措施；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（2）中小学、幼儿园</w:t>
            </w:r>
            <w:r>
              <w:rPr>
                <w:rFonts w:hint="eastAsia" w:ascii="仿宋_GB2312" w:eastAsia="仿宋_GB2312"/>
                <w:b/>
                <w:bCs w:val="0"/>
                <w:iCs/>
                <w:sz w:val="24"/>
              </w:rPr>
              <w:t>减少户外活动</w:t>
            </w:r>
            <w:r>
              <w:rPr>
                <w:rFonts w:hint="eastAsia" w:ascii="仿宋_GB2312" w:eastAsia="仿宋_GB2312"/>
                <w:bCs/>
                <w:iCs/>
                <w:sz w:val="24"/>
                <w:lang w:eastAsia="zh-CN"/>
              </w:rPr>
              <w:t>；</w:t>
            </w:r>
            <w:r>
              <w:rPr>
                <w:rFonts w:hint="eastAsia" w:ascii="仿宋_GB2312" w:eastAsia="仿宋_GB2312"/>
                <w:bCs/>
                <w:iCs/>
                <w:sz w:val="24"/>
              </w:rPr>
              <w:t>教育部门协调幼儿园、中小学校等教育机构取消户外活动；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（3）一般人群减少或避免户外活动；室外工作、执勤、作业、活动等人员</w:t>
            </w:r>
            <w:r>
              <w:rPr>
                <w:rFonts w:hint="eastAsia" w:ascii="仿宋_GB2312" w:eastAsia="仿宋_GB2312"/>
                <w:b/>
                <w:bCs w:val="0"/>
                <w:iCs/>
                <w:sz w:val="24"/>
              </w:rPr>
              <w:t>可以采取佩戴口罩、缩短户外工作时间等必要的防护措施；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eastAsia="仿宋_GB2312"/>
                <w:bCs/>
                <w:iCs/>
                <w:sz w:val="24"/>
              </w:rPr>
            </w:pPr>
            <w:r>
              <w:rPr>
                <w:rFonts w:hint="eastAsia" w:ascii="仿宋_GB2312" w:eastAsia="仿宋_GB2312"/>
                <w:bCs/>
                <w:iCs/>
                <w:sz w:val="24"/>
              </w:rPr>
              <w:t>（4）卫生部门协调医疗机构适当增设相关疾病门诊急诊，增加医护人员数量，加强对呼吸类疾病患者的就医指导和诊疗保障。</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（1）</w:t>
            </w:r>
            <w:r>
              <w:rPr>
                <w:rFonts w:hint="eastAsia" w:ascii="仿宋_GB2312" w:eastAsia="仿宋_GB2312"/>
                <w:b/>
                <w:bCs w:val="0"/>
                <w:iCs/>
                <w:sz w:val="24"/>
              </w:rPr>
              <w:t>儿童、孕妇、老年人和呼吸道、心脑血管病及其他慢性疾病患者</w:t>
            </w:r>
            <w:r>
              <w:rPr>
                <w:rFonts w:hint="eastAsia" w:ascii="仿宋_GB2312" w:eastAsia="仿宋_GB2312"/>
                <w:bCs/>
                <w:iCs/>
                <w:sz w:val="24"/>
              </w:rPr>
              <w:t>尽量留在室内，避免户外活动，确需外出</w:t>
            </w:r>
            <w:r>
              <w:rPr>
                <w:rFonts w:hint="eastAsia" w:ascii="仿宋_GB2312" w:eastAsia="仿宋_GB2312"/>
                <w:b/>
                <w:bCs w:val="0"/>
                <w:iCs/>
                <w:sz w:val="24"/>
              </w:rPr>
              <w:t>强烈建议</w:t>
            </w:r>
            <w:r>
              <w:rPr>
                <w:rFonts w:hint="eastAsia" w:ascii="仿宋_GB2312" w:eastAsia="仿宋_GB2312"/>
                <w:bCs/>
                <w:iCs/>
                <w:sz w:val="24"/>
              </w:rPr>
              <w:t>采取防护措施；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Cs/>
                <w:iCs/>
                <w:sz w:val="24"/>
              </w:rPr>
              <w:t>（2）中小学、幼儿园</w:t>
            </w:r>
            <w:r>
              <w:rPr>
                <w:rFonts w:hint="eastAsia" w:ascii="仿宋_GB2312" w:eastAsia="仿宋_GB2312"/>
                <w:b/>
                <w:bCs w:val="0"/>
                <w:iCs/>
                <w:sz w:val="24"/>
              </w:rPr>
              <w:t>停止体育课、课间操、运动会等户外运动，减少其他户外活动</w:t>
            </w:r>
            <w:r>
              <w:rPr>
                <w:rFonts w:hint="eastAsia" w:ascii="仿宋_GB2312" w:eastAsia="仿宋_GB2312"/>
                <w:bCs/>
                <w:iCs/>
                <w:sz w:val="24"/>
              </w:rPr>
              <w:t>，确需外出强烈建议采取防护措施；</w:t>
            </w:r>
            <w:r>
              <w:rPr>
                <w:rFonts w:hint="eastAsia" w:ascii="仿宋_GB2312" w:eastAsia="仿宋_GB2312"/>
                <w:b/>
                <w:bCs w:val="0"/>
                <w:iCs/>
                <w:sz w:val="24"/>
              </w:rPr>
              <w:t>教育部门指导中小学、幼儿园可采取弹性教学，停止</w:t>
            </w:r>
            <w:r>
              <w:rPr>
                <w:rFonts w:hint="eastAsia" w:ascii="仿宋_GB2312" w:eastAsia="仿宋_GB2312"/>
                <w:b/>
                <w:bCs w:val="0"/>
                <w:iCs/>
                <w:sz w:val="24"/>
                <w:lang w:val="en-US" w:eastAsia="zh-CN"/>
              </w:rPr>
              <w:t>户外</w:t>
            </w:r>
            <w:r>
              <w:rPr>
                <w:rFonts w:hint="eastAsia" w:ascii="仿宋_GB2312" w:eastAsia="仿宋_GB2312"/>
                <w:b/>
                <w:bCs w:val="0"/>
                <w:iCs/>
                <w:sz w:val="24"/>
              </w:rPr>
              <w:t>课程及活动；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Cs/>
                <w:iCs/>
                <w:sz w:val="24"/>
              </w:rPr>
              <w:t>（3）</w:t>
            </w:r>
            <w:r>
              <w:rPr>
                <w:rFonts w:hint="eastAsia" w:ascii="仿宋_GB2312" w:eastAsia="仿宋_GB2312"/>
                <w:b/>
                <w:bCs w:val="0"/>
                <w:iCs/>
                <w:sz w:val="24"/>
              </w:rPr>
              <w:t>减少露天体育比赛活动及其他露天举办的群体性活动；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Cs/>
                <w:iCs/>
                <w:sz w:val="24"/>
              </w:rPr>
              <w:t>（4）一般人群减少或避免户外活动；室外工作、执勤、作业、活动等人员</w:t>
            </w:r>
            <w:r>
              <w:rPr>
                <w:rFonts w:hint="eastAsia" w:ascii="仿宋_GB2312" w:eastAsia="仿宋_GB2312"/>
                <w:b/>
                <w:bCs w:val="0"/>
                <w:iCs/>
                <w:sz w:val="24"/>
              </w:rPr>
              <w:t>强烈建议采取佩戴口罩、缩短户外工作时间等必要的防护措施；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eastAsia="仿宋_GB2312"/>
                <w:bCs/>
                <w:iCs/>
                <w:sz w:val="24"/>
              </w:rPr>
            </w:pPr>
            <w:r>
              <w:rPr>
                <w:rFonts w:hint="eastAsia" w:ascii="仿宋_GB2312" w:eastAsia="仿宋_GB2312"/>
                <w:bCs/>
                <w:iCs/>
                <w:sz w:val="24"/>
              </w:rPr>
              <w:t>（5）卫生部门协调医疗机构适当增设相关疾病门诊急诊，增加医护人员数量，加强对呼吸类疾病患者的就医指导和诊疗保障。</w:t>
            </w:r>
          </w:p>
        </w:tc>
        <w:tc>
          <w:tcPr>
            <w:tcW w:w="4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（1）</w:t>
            </w:r>
            <w:r>
              <w:rPr>
                <w:rFonts w:hint="eastAsia" w:ascii="仿宋_GB2312" w:eastAsia="仿宋_GB2312"/>
                <w:b/>
                <w:bCs w:val="0"/>
                <w:iCs/>
                <w:sz w:val="24"/>
              </w:rPr>
              <w:t>儿童、孕妇、老年人和呼吸道、心脑血管病及其他慢性疾病患者留在室内</w:t>
            </w:r>
            <w:r>
              <w:rPr>
                <w:rFonts w:hint="eastAsia" w:ascii="仿宋_GB2312" w:eastAsia="仿宋_GB2312"/>
                <w:bCs/>
                <w:iCs/>
                <w:sz w:val="24"/>
              </w:rPr>
              <w:t>，避免户外活动，确需外出</w:t>
            </w:r>
            <w:r>
              <w:rPr>
                <w:rFonts w:hint="eastAsia" w:ascii="仿宋_GB2312" w:eastAsia="仿宋_GB2312"/>
                <w:b/>
                <w:bCs w:val="0"/>
                <w:iCs/>
                <w:sz w:val="24"/>
              </w:rPr>
              <w:t>强烈建议</w:t>
            </w:r>
            <w:r>
              <w:rPr>
                <w:rFonts w:hint="eastAsia" w:ascii="仿宋_GB2312" w:eastAsia="仿宋_GB2312"/>
                <w:bCs/>
                <w:iCs/>
                <w:sz w:val="24"/>
              </w:rPr>
              <w:t>采取防护措施；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（2）中小学、幼儿园</w:t>
            </w:r>
            <w:r>
              <w:rPr>
                <w:rFonts w:hint="eastAsia" w:ascii="仿宋_GB2312" w:eastAsia="仿宋_GB2312"/>
                <w:b/>
                <w:bCs w:val="0"/>
                <w:iCs/>
                <w:sz w:val="24"/>
              </w:rPr>
              <w:t>停止体育课、课间操、运动会等户外运动；教育部门协调和指导中小学、幼儿园等教育机构采取弹性教学或停课措施，停止室外课程及活动。</w:t>
            </w:r>
            <w:r>
              <w:rPr>
                <w:rFonts w:hint="eastAsia" w:ascii="仿宋_GB2312" w:eastAsia="仿宋_GB2312"/>
                <w:bCs/>
                <w:iCs/>
                <w:sz w:val="24"/>
              </w:rPr>
              <w:t>对已经到校的学生，学校可安排学生自习；对未到校的学生，学校可通过远程教育等方式，安排学生在家学习；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 w:val="0"/>
                <w:bCs/>
                <w:iCs/>
                <w:sz w:val="24"/>
              </w:rPr>
              <w:t>（3）</w:t>
            </w:r>
            <w:r>
              <w:rPr>
                <w:rFonts w:hint="eastAsia" w:ascii="仿宋_GB2312" w:eastAsia="仿宋_GB2312"/>
                <w:b/>
                <w:bCs w:val="0"/>
                <w:iCs/>
                <w:sz w:val="24"/>
              </w:rPr>
              <w:t>禁止举办大型户外活动；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Cs/>
                <w:iCs/>
                <w:sz w:val="24"/>
              </w:rPr>
              <w:t>（4）一般人群避免户外活动；室外工作、执勤、作业、活动等人员</w:t>
            </w:r>
            <w:r>
              <w:rPr>
                <w:rFonts w:hint="eastAsia" w:ascii="仿宋_GB2312" w:eastAsia="仿宋_GB2312"/>
                <w:b/>
                <w:bCs w:val="0"/>
                <w:iCs/>
                <w:sz w:val="24"/>
              </w:rPr>
              <w:t>强烈建议采取佩戴口罩、缩短户外工作时间等必要的防护措施；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eastAsia="仿宋_GB2312"/>
                <w:bCs/>
                <w:iCs/>
                <w:sz w:val="24"/>
              </w:rPr>
            </w:pPr>
            <w:r>
              <w:rPr>
                <w:rFonts w:hint="eastAsia" w:ascii="仿宋_GB2312" w:eastAsia="仿宋_GB2312"/>
                <w:bCs/>
                <w:iCs/>
                <w:sz w:val="24"/>
              </w:rPr>
              <w:t>（5）卫生部门协调医疗机构适当增设相关疾病门诊急诊，增加医护人员数量，加强对呼吸类疾病患者的就医指导和诊疗保障。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val="en-US" w:eastAsia="zh-CN"/>
              </w:rPr>
            </w:pPr>
            <w:r>
              <w:rPr>
                <w:rFonts w:hint="eastAsia" w:ascii="仿宋_GB2312" w:eastAsia="仿宋_GB2312"/>
                <w:b/>
                <w:bCs/>
                <w:iCs/>
                <w:sz w:val="24"/>
                <w:lang w:val="en-US" w:eastAsia="zh-CN"/>
              </w:rPr>
              <w:t>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lang w:eastAsia="zh-CN"/>
              </w:rPr>
            </w:pPr>
            <w:r>
              <w:rPr>
                <w:rFonts w:hint="eastAsia" w:ascii="仿宋_GB2312" w:eastAsia="仿宋_GB2312"/>
                <w:b/>
                <w:bCs/>
                <w:iCs/>
                <w:sz w:val="24"/>
                <w:lang w:val="en-US" w:eastAsia="zh-CN"/>
              </w:rPr>
              <w:t>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eastAsia="仿宋_GB2312"/>
                <w:b/>
                <w:bCs/>
                <w:iCs/>
                <w:sz w:val="24"/>
              </w:rPr>
            </w:pPr>
            <w:r>
              <w:rPr>
                <w:rFonts w:hint="eastAsia" w:ascii="仿宋_GB2312" w:eastAsia="仿宋_GB2312"/>
                <w:b/>
                <w:bCs/>
                <w:iCs/>
                <w:sz w:val="24"/>
              </w:rPr>
              <w:t>施</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（1）倡导公众绿色出行，公众尽量乘坐公共交通工具或电动汽车等方式出行，减少燃油私家车出行；驻车时及时熄火，减少车辆怠速运行时间；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2）倡导公众绿色消费，公众和排放大气污染物的单位自觉采取措施，减少污染物排放，具体措施包括：尽量减少使用含VOCs的涂料、油漆、溶剂等原材料及产品；排污单位自觉采取措施，控制污染工序生产，减少污染物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（3）加大施工工地、裸露堆土、物料堆放等的扬尘控制力度；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eastAsia="仿宋_GB2312"/>
                <w:bCs/>
                <w:iCs/>
                <w:sz w:val="24"/>
              </w:rPr>
            </w:pPr>
            <w:r>
              <w:rPr>
                <w:rFonts w:hint="eastAsia" w:ascii="仿宋_GB2312" w:eastAsia="仿宋_GB2312"/>
                <w:bCs/>
                <w:iCs/>
                <w:sz w:val="24"/>
              </w:rPr>
              <w:t>（4）有条件的情况下，开展人工影响天气作业，缓解空气污染。</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（1）倡导公众绿色出行，公众尽量乘坐公共交通工具或电动汽车等方式出行，减少燃油私家车出行；驻车时及时熄火，减少车辆怠速运行时间；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（2）</w:t>
            </w:r>
            <w:r>
              <w:rPr>
                <w:rFonts w:hint="eastAsia" w:ascii="仿宋_GB2312" w:eastAsia="仿宋_GB2312"/>
                <w:b/>
                <w:bCs w:val="0"/>
                <w:iCs/>
                <w:sz w:val="24"/>
              </w:rPr>
              <w:t>自觉停止驾驶国四及以下燃油机动车；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3）倡导公众绿色消费，公众和排放大气污染物的单位自觉采取措施，减少污染物排放，具体措施包括：尽量减少使用含VOCs的涂料、油漆、溶剂等原材料及产品；排污单位自觉采取措施，控制污染工序生产，减少污染物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（4）加大施工工地、裸露堆土、物料堆放等的扬尘控制力度；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Cs/>
                <w:iCs/>
                <w:sz w:val="24"/>
              </w:rPr>
              <w:t>（5）</w:t>
            </w:r>
            <w:r>
              <w:rPr>
                <w:rFonts w:hint="eastAsia" w:ascii="仿宋_GB2312" w:eastAsia="仿宋_GB2312"/>
                <w:b/>
                <w:bCs w:val="0"/>
                <w:iCs/>
                <w:sz w:val="24"/>
              </w:rPr>
              <w:t>倡导企事业单位根据重污染天气实际情况、应急响应措施，采取调休、错峰上下班、远程办公等弹性工作制；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eastAsia="仿宋_GB2312"/>
                <w:bCs/>
                <w:iCs/>
                <w:sz w:val="24"/>
              </w:rPr>
            </w:pPr>
            <w:r>
              <w:rPr>
                <w:rFonts w:hint="eastAsia" w:ascii="仿宋_GB2312" w:eastAsia="仿宋_GB2312"/>
                <w:bCs/>
                <w:iCs/>
                <w:sz w:val="24"/>
              </w:rPr>
              <w:t>（6）有条件的情况下，开展人工影响天气作业，缓解空气污染。</w:t>
            </w:r>
          </w:p>
        </w:tc>
        <w:tc>
          <w:tcPr>
            <w:tcW w:w="4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（1）倡导公众绿色出行，公众尽量乘坐公共交通工具或电动汽车等方式出行，减少燃油私家车出行；驻车时及时熄火，减少车辆怠速运行时间；</w:t>
            </w:r>
            <w:r>
              <w:rPr>
                <w:rFonts w:hint="eastAsia" w:ascii="仿宋_GB2312" w:eastAsia="仿宋_GB2312"/>
                <w:b/>
                <w:bCs w:val="0"/>
                <w:iCs/>
                <w:sz w:val="24"/>
              </w:rPr>
              <w:t>公众自觉减少车辆白天加油；适当增加公共交通的班次和服务时长；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（2）</w:t>
            </w:r>
            <w:r>
              <w:rPr>
                <w:rFonts w:hint="eastAsia" w:ascii="仿宋_GB2312" w:eastAsia="仿宋_GB2312"/>
                <w:b/>
                <w:bCs w:val="0"/>
                <w:iCs/>
                <w:sz w:val="24"/>
              </w:rPr>
              <w:t>自觉停止驾驶国四及以下燃油机动车</w:t>
            </w:r>
            <w:r>
              <w:rPr>
                <w:rFonts w:hint="eastAsia" w:ascii="仿宋_GB2312" w:eastAsia="仿宋_GB2312"/>
                <w:b/>
                <w:bCs w:val="0"/>
                <w:iCs/>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3）倡导公众绿色消费，公众和排放大气污染物的单位自觉采取措施，减少污染物排放，具体措施包括：尽量减少使用含VOCs的涂料、油漆、溶剂等原材料及产品；排污单位自觉采取措施，控制污染工序生产，减少污染物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（4）</w:t>
            </w:r>
            <w:r>
              <w:rPr>
                <w:rFonts w:hint="eastAsia" w:ascii="仿宋_GB2312" w:eastAsia="仿宋_GB2312"/>
                <w:b/>
                <w:bCs w:val="0"/>
                <w:iCs/>
                <w:sz w:val="24"/>
              </w:rPr>
              <w:t>倡导公众绿色生活，节约用电，减少能源消耗，夏季可适当将空调调高1-2度；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（5）加大施工工地、裸露堆土、物料堆放等的扬尘控制力度；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
                <w:bCs w:val="0"/>
                <w:iCs/>
                <w:sz w:val="24"/>
              </w:rPr>
            </w:pPr>
            <w:r>
              <w:rPr>
                <w:rFonts w:hint="eastAsia" w:ascii="仿宋_GB2312" w:eastAsia="仿宋_GB2312"/>
                <w:bCs/>
                <w:iCs/>
                <w:sz w:val="24"/>
              </w:rPr>
              <w:t>（6）</w:t>
            </w:r>
            <w:r>
              <w:rPr>
                <w:rFonts w:hint="eastAsia" w:ascii="仿宋_GB2312" w:eastAsia="仿宋_GB2312"/>
                <w:b/>
                <w:bCs w:val="0"/>
                <w:iCs/>
                <w:sz w:val="24"/>
              </w:rPr>
              <w:t>适当增加道路清扫、洒水频次，减少道路开挖、路面整修、绿化土方整理、房屋及其他拆除等作业；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eastAsia="仿宋_GB2312"/>
                <w:bCs/>
                <w:iCs/>
                <w:sz w:val="24"/>
              </w:rPr>
            </w:pPr>
            <w:r>
              <w:rPr>
                <w:rFonts w:hint="eastAsia" w:ascii="仿宋_GB2312" w:eastAsia="仿宋_GB2312"/>
                <w:bCs/>
                <w:iCs/>
                <w:sz w:val="24"/>
              </w:rPr>
              <w:t>（7）</w:t>
            </w:r>
            <w:r>
              <w:rPr>
                <w:rFonts w:hint="eastAsia" w:ascii="仿宋_GB2312" w:eastAsia="仿宋_GB2312"/>
                <w:b/>
                <w:bCs w:val="0"/>
                <w:iCs/>
                <w:sz w:val="24"/>
              </w:rPr>
              <w:t>倡导企事业单位根据重污染天气实际情况、应急响应措施，采取调休、错峰上下班、远程办公等弹性工作制；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eastAsia="仿宋_GB2312"/>
                <w:bCs/>
                <w:iCs/>
                <w:sz w:val="24"/>
              </w:rPr>
            </w:pPr>
            <w:r>
              <w:rPr>
                <w:rFonts w:hint="eastAsia" w:ascii="仿宋_GB2312" w:eastAsia="仿宋_GB2312"/>
                <w:bCs/>
                <w:iCs/>
                <w:sz w:val="24"/>
              </w:rPr>
              <w:t>（8）有条件的情况下，开展人工影响天气作业，缓解空气污染。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r>
              <w:rPr>
                <w:rFonts w:hint="eastAsia" w:ascii="仿宋_GB2312" w:eastAsia="仿宋_GB2312"/>
                <w:b/>
                <w:bCs/>
                <w:iCs/>
                <w:sz w:val="24"/>
              </w:rPr>
              <w:t>施</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（1）工业企业管控措施</w:t>
            </w:r>
            <w:r>
              <w:rPr>
                <w:rFonts w:hint="eastAsia" w:ascii="仿宋_GB2312" w:eastAsia="仿宋_GB2312"/>
                <w:bCs/>
                <w:iCs/>
                <w:sz w:val="24"/>
                <w:lang w:eastAsia="zh-CN"/>
              </w:rPr>
              <w:t>：</w:t>
            </w:r>
            <w:r>
              <w:rPr>
                <w:rFonts w:hint="eastAsia" w:ascii="仿宋_GB2312" w:eastAsia="仿宋_GB2312"/>
                <w:bCs/>
                <w:iCs/>
                <w:sz w:val="24"/>
              </w:rPr>
              <w:t>纳入重污染天气应急减排项目清单的工业企业，应提前做好降低生产负荷、停产、加强污染治理等准备工作，并严格按照《汕尾市重污染天气应急减排清单》中</w:t>
            </w:r>
            <w:r>
              <w:rPr>
                <w:rFonts w:hint="eastAsia" w:ascii="仿宋_GB2312" w:eastAsia="仿宋_GB2312"/>
                <w:b/>
                <w:bCs w:val="0"/>
                <w:iCs/>
                <w:sz w:val="24"/>
              </w:rPr>
              <w:t>黄色预警应急减排措施执行</w:t>
            </w:r>
            <w:r>
              <w:rPr>
                <w:rFonts w:hint="eastAsia" w:ascii="仿宋_GB2312" w:eastAsia="仿宋_GB2312"/>
                <w:bCs/>
                <w:iCs/>
                <w:sz w:val="24"/>
              </w:rPr>
              <w:t>。</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（1）工业企业管控措施：纳入重污染天气应急减排项目清单的工业企业，应提前做好降低生产负荷、停产、加强污染治理等准备工作，并严格按照《汕尾市重污染天气应急减排清单》中</w:t>
            </w:r>
            <w:r>
              <w:rPr>
                <w:rFonts w:hint="eastAsia" w:ascii="仿宋_GB2312" w:eastAsia="仿宋_GB2312"/>
                <w:b/>
                <w:bCs w:val="0"/>
                <w:iCs/>
                <w:sz w:val="24"/>
                <w:lang w:eastAsia="zh-CN"/>
              </w:rPr>
              <w:t>橙色预警应急减排措施执行</w:t>
            </w:r>
            <w:r>
              <w:rPr>
                <w:rFonts w:hint="eastAsia" w:ascii="仿宋_GB2312" w:eastAsia="仿宋_GB2312"/>
                <w:bCs/>
                <w:iCs/>
                <w:sz w:val="24"/>
                <w:lang w:eastAsia="zh-CN"/>
              </w:rPr>
              <w:t>。</w:t>
            </w:r>
          </w:p>
        </w:tc>
        <w:tc>
          <w:tcPr>
            <w:tcW w:w="4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（1）工业企业管控措施</w:t>
            </w:r>
            <w:r>
              <w:rPr>
                <w:rFonts w:hint="eastAsia" w:ascii="仿宋_GB2312" w:eastAsia="仿宋_GB2312"/>
                <w:bCs/>
                <w:iCs/>
                <w:sz w:val="24"/>
                <w:lang w:eastAsia="zh-CN"/>
              </w:rPr>
              <w:t>：</w:t>
            </w:r>
            <w:r>
              <w:rPr>
                <w:rFonts w:hint="eastAsia" w:ascii="仿宋_GB2312" w:eastAsia="仿宋_GB2312"/>
                <w:bCs/>
                <w:iCs/>
                <w:sz w:val="24"/>
              </w:rPr>
              <w:t>纳入重污染天气应急减排项目清单的工业企业，应提前做好降低生产负荷、停产、加强污染治理等准备工作，并严格按照《汕尾市重污染天气应急减排清单》中</w:t>
            </w:r>
            <w:r>
              <w:rPr>
                <w:rFonts w:hint="eastAsia" w:ascii="仿宋_GB2312" w:eastAsia="仿宋_GB2312"/>
                <w:b/>
                <w:bCs w:val="0"/>
                <w:iCs/>
                <w:sz w:val="24"/>
              </w:rPr>
              <w:t>红色预警应急减排措施执行</w:t>
            </w:r>
            <w:r>
              <w:rPr>
                <w:rFonts w:hint="eastAsia" w:ascii="仿宋_GB2312" w:eastAsia="仿宋_GB2312"/>
                <w:bCs/>
                <w:i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（2）移动源管控措施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①施工工地、厂区和工业园区内禁止使用不达标的非道路移动机械；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rPr>
            </w:pPr>
            <w:r>
              <w:rPr>
                <w:rFonts w:hint="eastAsia" w:ascii="仿宋_GB2312" w:eastAsia="仿宋_GB2312"/>
                <w:bCs/>
                <w:iCs/>
                <w:sz w:val="24"/>
              </w:rPr>
              <w:t>②除城市运行保障（含电力企业生产用煤运输、企业环保设施正常运行所需石膏、尿素、石灰石、酸碱及保证安全生产运行物资运输、民生保障物资或特殊需求产品运输）车辆和执行任务特种车辆外，</w:t>
            </w:r>
            <w:r>
              <w:rPr>
                <w:rFonts w:hint="eastAsia" w:ascii="仿宋_GB2312" w:eastAsia="仿宋_GB2312"/>
                <w:b/>
                <w:bCs w:val="0"/>
                <w:iCs/>
                <w:sz w:val="24"/>
              </w:rPr>
              <w:t>城市主城区、县（市、区）城区范围内减少使用重型柴油货车和三轮车、禁止使用国四及以下重型柴油货车进行物料运输；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③未安装密闭装置易产生遗撒的煤炭、渣土、砂石料等运输车辆应禁止上路；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④加强道路通行疏导，减少因机动车排队等候引起的排气污染；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⑤油气回收设施不符合规范要求的加油站暂停运营。</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（2）移动源管控措施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①施工工地、厂区和工业园区内禁止使用不达标的非道路移动机械；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lang w:eastAsia="zh-CN"/>
              </w:rPr>
            </w:pPr>
            <w:r>
              <w:rPr>
                <w:rFonts w:hint="eastAsia" w:ascii="仿宋_GB2312" w:eastAsia="仿宋_GB2312"/>
                <w:bCs/>
                <w:iCs/>
                <w:sz w:val="24"/>
                <w:lang w:eastAsia="zh-CN"/>
              </w:rPr>
              <w:t>②除城市运行保障（含电力企业生产用煤运输、企业环保设施正常运行所需石膏、尿素、石灰石、酸碱及保证安全生产运行物资运输、民生保障物资或特殊需求产品运输）车辆和执行任务特种车辆外，</w:t>
            </w:r>
            <w:r>
              <w:rPr>
                <w:rFonts w:hint="eastAsia" w:ascii="仿宋_GB2312" w:eastAsia="仿宋_GB2312"/>
                <w:b/>
                <w:bCs w:val="0"/>
                <w:iCs/>
                <w:sz w:val="24"/>
                <w:lang w:eastAsia="zh-CN"/>
              </w:rPr>
              <w:t>城市主城区、县（市、区）城区内减少使用三轮车、禁止重型柴油货车的通行，并引导过境货车避开主城区行驶；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③未安装密闭装置易产生遗撒的煤炭、渣土、砂石料等运输车辆应禁止上路；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④加强道路通行疏导，减少因机动车排队等候引起的排气污染；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⑤油气回收设施不符合规范要求的加油站暂停运营；</w:t>
            </w:r>
            <w:r>
              <w:rPr>
                <w:rFonts w:hint="eastAsia" w:ascii="仿宋_GB2312" w:eastAsia="仿宋_GB2312"/>
                <w:b/>
                <w:bCs w:val="0"/>
                <w:iCs/>
                <w:sz w:val="24"/>
                <w:lang w:eastAsia="zh-CN"/>
              </w:rPr>
              <w:t>城市主城区、县（市、区）城区储油库、加油站8时至18时停止装卸油作业。</w:t>
            </w:r>
          </w:p>
        </w:tc>
        <w:tc>
          <w:tcPr>
            <w:tcW w:w="4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（2）移动源管控措施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①施工工地、厂区和工业园区内禁止使用不达标的非道路移动机械；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 w:val="0"/>
                <w:iCs/>
                <w:sz w:val="24"/>
              </w:rPr>
            </w:pPr>
            <w:r>
              <w:rPr>
                <w:rFonts w:hint="eastAsia" w:ascii="仿宋_GB2312" w:eastAsia="仿宋_GB2312"/>
                <w:bCs/>
                <w:iCs/>
                <w:sz w:val="24"/>
              </w:rPr>
              <w:t>②除城市运行保障（含电力企业生产用煤运输、企业环保设施正常运行所需石膏、尿素、石灰石、酸碱及保证安全生产运行物资运输、民生保障物资或特殊需求产品运输）车辆和执行任务特种车辆外，</w:t>
            </w:r>
            <w:r>
              <w:rPr>
                <w:rFonts w:hint="eastAsia" w:ascii="仿宋_GB2312" w:eastAsia="仿宋_GB2312"/>
                <w:b/>
                <w:bCs w:val="0"/>
                <w:i w:val="0"/>
                <w:iCs/>
                <w:sz w:val="24"/>
              </w:rPr>
              <w:t>全市范围内减少使用三轮车，城市主城区、县（市、区）城区范围内柴油货车、农用运输车实施进行，引导过境货车避开主城区行驶，对重型柴油货车实行限时穿城；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③未安装密闭装置易产生遗撒的煤炭、渣土、砂石料等运输车辆应禁止上路；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④加强道路通行疏导，减少因机动车排队等候引起的排气污染；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⑤油气回收设施不符合规范要求的加油站暂停运营；</w:t>
            </w:r>
            <w:r>
              <w:rPr>
                <w:rFonts w:hint="eastAsia" w:ascii="仿宋_GB2312" w:eastAsia="仿宋_GB2312"/>
                <w:b/>
                <w:bCs w:val="0"/>
                <w:iCs/>
                <w:sz w:val="24"/>
              </w:rPr>
              <w:t xml:space="preserve">城市主城区、县（市、区）城区储油库、加油站8时至18时停止装卸油作业。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（3）面源管控措施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①全市所有矿山、砂石厂（场）、石材厂、石板厂停止露天作业；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②涉及土石方作业的露天施工场地，需启用降尘设施；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③产生挥发性有机物的房屋建设、房屋修缮、大型商业建筑装修、外立面改造、道路画线、道路沥青铺设以及汽车维修、广告等行业的喷涂粉刷作业停工；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④适当增加道路清扫、洒水频次和作业范围；加强工业聚集区道路卫生保洁力度，保持重点区域道路湿润。</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（3）面源管控措施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①全市所有矿山、砂石厂（场）、石材厂、石板厂停止露天作业；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②</w:t>
            </w:r>
            <w:r>
              <w:rPr>
                <w:rFonts w:hint="eastAsia" w:ascii="仿宋_GB2312" w:eastAsia="仿宋_GB2312"/>
                <w:b/>
                <w:bCs w:val="0"/>
                <w:iCs/>
                <w:sz w:val="24"/>
                <w:lang w:eastAsia="zh-CN"/>
              </w:rPr>
              <w:t>除市政府批准的重点工程及应急抢险工程外</w:t>
            </w:r>
            <w:r>
              <w:rPr>
                <w:rFonts w:hint="eastAsia" w:ascii="仿宋_GB2312" w:eastAsia="仿宋_GB2312"/>
                <w:bCs/>
                <w:iCs/>
                <w:sz w:val="24"/>
                <w:lang w:eastAsia="zh-CN"/>
              </w:rPr>
              <w:t>，</w:t>
            </w:r>
            <w:r>
              <w:rPr>
                <w:rFonts w:hint="eastAsia" w:ascii="仿宋_GB2312" w:eastAsia="仿宋_GB2312"/>
                <w:b/>
                <w:bCs w:val="0"/>
                <w:iCs/>
                <w:sz w:val="24"/>
                <w:lang w:eastAsia="zh-CN"/>
              </w:rPr>
              <w:t>其他施工工地土石方作业（包括开挖、回填、场内倒运）、建筑拆除、建筑工程配套道路和管沟开挖停止作业；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lang w:eastAsia="zh-CN"/>
              </w:rPr>
            </w:pPr>
            <w:r>
              <w:rPr>
                <w:rFonts w:hint="eastAsia" w:ascii="仿宋_GB2312" w:eastAsia="仿宋_GB2312"/>
                <w:b/>
                <w:bCs w:val="0"/>
                <w:iCs/>
                <w:sz w:val="24"/>
                <w:lang w:eastAsia="zh-CN"/>
              </w:rPr>
              <w:t>③停止市城区建筑、道路工地、河道工程、绿化工程等涉土基础施工、爆破、破碎作业；其他区域减少道路开挖、路面整修、绿化土方整理、房屋及其他拆除等作业；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④产生挥发性有机物的房屋建设、房屋修缮、大型商业建筑装修、外立面改造、道路画线、道路沥青铺设以及汽车维修、广告等行业的喷涂粉刷作业停工；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⑤进一步加强道路保洁，增加主要交通干线机械化清扫和喷雾洒水频次。适当增加道路清扫、洒水频次和作业范围；加强工业聚集区道路卫生保洁力度，保持重点区域道路湿润；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⑥产生扬尘污染的干散货码头、堆场停止作业，并做好场地洒水降尘工作；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
                <w:bCs w:val="0"/>
                <w:iCs/>
                <w:sz w:val="24"/>
                <w:lang w:eastAsia="zh-CN"/>
              </w:rPr>
              <w:t>⑦船舶和机动车等维修企业减少喷涂作业。</w:t>
            </w:r>
          </w:p>
        </w:tc>
        <w:tc>
          <w:tcPr>
            <w:tcW w:w="4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（3）面源管控措施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①全市范围内所有矿山、砂石厂（场）、石材厂、石板厂停止露天作业；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rPr>
            </w:pPr>
            <w:r>
              <w:rPr>
                <w:rFonts w:hint="eastAsia" w:ascii="仿宋_GB2312" w:eastAsia="仿宋_GB2312"/>
                <w:bCs/>
                <w:iCs/>
                <w:sz w:val="24"/>
              </w:rPr>
              <w:t>②</w:t>
            </w:r>
            <w:r>
              <w:rPr>
                <w:rFonts w:hint="eastAsia" w:ascii="仿宋_GB2312" w:eastAsia="仿宋_GB2312"/>
                <w:b/>
                <w:bCs w:val="0"/>
                <w:iCs/>
                <w:sz w:val="24"/>
              </w:rPr>
              <w:t>除应急抢险工程外，暂停其他施工工地土石方作业（包括开挖、回填、场内倒运）、建筑拆除、建筑工程配套道路和管沟开挖等施工工地易扬尘作业；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rPr>
            </w:pPr>
            <w:r>
              <w:rPr>
                <w:rFonts w:hint="eastAsia" w:ascii="仿宋_GB2312" w:eastAsia="仿宋_GB2312"/>
                <w:b/>
                <w:bCs w:val="0"/>
                <w:iCs/>
                <w:sz w:val="24"/>
              </w:rPr>
              <w:t>③施工工地停止运输车辆和工程机械作业；全面停止建筑垃圾和渣土运输车、砂石运输车辆上路行驶；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rPr>
            </w:pPr>
            <w:r>
              <w:rPr>
                <w:rFonts w:hint="eastAsia" w:ascii="仿宋_GB2312" w:eastAsia="仿宋_GB2312"/>
                <w:b/>
                <w:bCs w:val="0"/>
                <w:iCs/>
                <w:sz w:val="24"/>
              </w:rPr>
              <w:t>④水泥粉磨站、混凝土搅拌站和砂浆搅拌站全面停止生产（具备全封闭且不进行原料运输的除外）；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⑤产生挥发性有机物的房屋建设、房屋修缮、大型商业建筑装修、外立面改造、道路画线、道路沥青铺设以及汽车维修、广告等行业的喷涂粉刷作业停工；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⑥一步加强道路保洁，增加主要交通干线机械化清扫和喷雾洒水频次。适当增加道路清扫、洒水频次和作业范围；加强工业聚集区道路卫生保洁力度，保持重点区域道路湿润；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rPr>
            </w:pPr>
            <w:r>
              <w:rPr>
                <w:rFonts w:hint="eastAsia" w:ascii="仿宋_GB2312" w:eastAsia="仿宋_GB2312"/>
                <w:b/>
                <w:bCs w:val="0"/>
                <w:iCs/>
                <w:sz w:val="24"/>
              </w:rPr>
              <w:t>⑦产生扬尘污染的干散货码头、堆场停止作业，并做好场地洒水降尘工作；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bCs w:val="0"/>
                <w:iCs/>
                <w:sz w:val="24"/>
              </w:rPr>
            </w:pPr>
            <w:r>
              <w:rPr>
                <w:rFonts w:hint="default" w:ascii="Times New Roman" w:hAnsi="Times New Roman" w:eastAsia="仿宋_GB2312" w:cs="Times New Roman"/>
                <w:b/>
                <w:bCs w:val="0"/>
                <w:iCs/>
                <w:sz w:val="24"/>
                <w:lang w:eastAsia="zh-CN"/>
              </w:rPr>
              <w:t>⑧</w:t>
            </w:r>
            <w:r>
              <w:rPr>
                <w:rFonts w:hint="eastAsia" w:ascii="仿宋_GB2312" w:eastAsia="仿宋_GB2312"/>
                <w:b/>
                <w:bCs w:val="0"/>
                <w:iCs/>
                <w:sz w:val="24"/>
                <w:lang w:eastAsia="zh-CN"/>
              </w:rPr>
              <w:t>船舶和机动车等维修企业减少喷涂作业。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b/>
                <w:bCs/>
                <w:iCs/>
                <w:sz w:val="24"/>
              </w:rPr>
            </w:pP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（4）全市范围内：禁止露天烧烤、燃放烟花爆竹以及露天焚烧农作物秸秆、垃圾等。</w:t>
            </w:r>
          </w:p>
        </w:tc>
        <w:tc>
          <w:tcPr>
            <w:tcW w:w="46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lang w:eastAsia="zh-CN"/>
              </w:rPr>
            </w:pPr>
            <w:r>
              <w:rPr>
                <w:rFonts w:hint="eastAsia" w:ascii="仿宋_GB2312" w:eastAsia="仿宋_GB2312"/>
                <w:bCs/>
                <w:iCs/>
                <w:sz w:val="24"/>
                <w:lang w:eastAsia="zh-CN"/>
              </w:rPr>
              <w:t>（</w:t>
            </w:r>
            <w:r>
              <w:rPr>
                <w:rFonts w:hint="eastAsia" w:ascii="仿宋_GB2312" w:eastAsia="仿宋_GB2312"/>
                <w:bCs/>
                <w:iCs/>
                <w:sz w:val="24"/>
                <w:lang w:val="en-US" w:eastAsia="zh-CN"/>
              </w:rPr>
              <w:t>4</w:t>
            </w:r>
            <w:r>
              <w:rPr>
                <w:rFonts w:hint="eastAsia" w:ascii="仿宋_GB2312" w:eastAsia="仿宋_GB2312"/>
                <w:bCs/>
                <w:iCs/>
                <w:sz w:val="24"/>
                <w:lang w:eastAsia="zh-CN"/>
              </w:rPr>
              <w:t>）全市范围内：禁止露天烧烤、燃放烟花爆竹以及农作物秸秆露天焚烧。</w:t>
            </w:r>
          </w:p>
        </w:tc>
        <w:tc>
          <w:tcPr>
            <w:tcW w:w="4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Cs/>
                <w:iCs/>
                <w:sz w:val="24"/>
              </w:rPr>
            </w:pPr>
            <w:r>
              <w:rPr>
                <w:rFonts w:hint="eastAsia" w:ascii="仿宋_GB2312" w:eastAsia="仿宋_GB2312"/>
                <w:bCs/>
                <w:iCs/>
                <w:sz w:val="24"/>
              </w:rPr>
              <w:t>（4）全市范围内：禁止露天烧烤、燃放烟花爆竹以及农作物秸秆露天焚烧。</w:t>
            </w:r>
          </w:p>
        </w:tc>
      </w:tr>
    </w:tbl>
    <w:p>
      <w:pPr>
        <w:widowControl w:val="0"/>
        <w:numPr>
          <w:ilvl w:val="0"/>
          <w:numId w:val="0"/>
        </w:numPr>
        <w:spacing w:line="360" w:lineRule="auto"/>
        <w:jc w:val="both"/>
        <w:rPr>
          <w:rFonts w:hint="default"/>
          <w:b/>
          <w:bCs/>
          <w:sz w:val="32"/>
          <w:szCs w:val="32"/>
          <w:lang w:val="en-US" w:eastAsia="zh-CN"/>
        </w:rPr>
        <w:sectPr>
          <w:pgSz w:w="16838" w:h="11906" w:orient="landscape"/>
          <w:pgMar w:top="1440" w:right="1080" w:bottom="1440" w:left="1080" w:header="851" w:footer="992" w:gutter="0"/>
          <w:pgNumType w:fmt="decimal"/>
          <w:cols w:space="720" w:num="1"/>
          <w:docGrid w:type="lines" w:linePitch="312" w:charSpace="0"/>
        </w:sectPr>
      </w:pPr>
    </w:p>
    <w:p>
      <w:pPr>
        <w:spacing w:line="360" w:lineRule="auto"/>
        <w:ind w:left="0" w:leftChars="0" w:firstLine="720" w:firstLineChars="200"/>
        <w:jc w:val="both"/>
        <w:outlineLvl w:val="1"/>
        <w:rPr>
          <w:rFonts w:hint="eastAsia" w:ascii="黑体" w:hAnsi="黑体" w:eastAsia="黑体" w:cs="黑体"/>
          <w:b/>
          <w:bCs/>
          <w:sz w:val="36"/>
          <w:szCs w:val="36"/>
          <w:lang w:val="en-US" w:eastAsia="zh-CN"/>
        </w:rPr>
      </w:pPr>
      <w:bookmarkStart w:id="3" w:name="_Toc1345"/>
      <w:r>
        <w:rPr>
          <w:rFonts w:hint="eastAsia" w:ascii="方正小标宋简体" w:hAnsi="方正小标宋简体" w:eastAsia="方正小标宋简体" w:cs="方正小标宋简体"/>
          <w:b w:val="0"/>
          <w:bCs w:val="0"/>
          <w:sz w:val="36"/>
          <w:szCs w:val="36"/>
          <w:lang w:val="en-US" w:eastAsia="zh-CN"/>
        </w:rPr>
        <w:t>3.汕尾市重污染天气应急减排重点企业名单</w:t>
      </w:r>
      <w:bookmarkEnd w:id="3"/>
    </w:p>
    <w:tbl>
      <w:tblPr>
        <w:tblStyle w:val="5"/>
        <w:tblW w:w="0" w:type="auto"/>
        <w:tblInd w:w="0" w:type="dxa"/>
        <w:tblLayout w:type="fixed"/>
        <w:tblCellMar>
          <w:top w:w="0" w:type="dxa"/>
          <w:left w:w="0" w:type="dxa"/>
          <w:bottom w:w="0" w:type="dxa"/>
          <w:right w:w="0" w:type="dxa"/>
        </w:tblCellMar>
      </w:tblPr>
      <w:tblGrid>
        <w:gridCol w:w="1192"/>
        <w:gridCol w:w="5248"/>
        <w:gridCol w:w="1422"/>
        <w:gridCol w:w="1192"/>
      </w:tblGrid>
      <w:tr>
        <w:tblPrEx>
          <w:tblCellMar>
            <w:top w:w="0" w:type="dxa"/>
            <w:left w:w="0" w:type="dxa"/>
            <w:bottom w:w="0" w:type="dxa"/>
            <w:right w:w="0" w:type="dxa"/>
          </w:tblCellMar>
        </w:tblPrEx>
        <w:trPr>
          <w:trHeight w:val="285" w:hRule="atLeast"/>
        </w:trPr>
        <w:tc>
          <w:tcPr>
            <w:tcW w:w="11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524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企业名称</w:t>
            </w:r>
          </w:p>
        </w:tc>
        <w:tc>
          <w:tcPr>
            <w:tcW w:w="14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所属行业</w:t>
            </w:r>
          </w:p>
        </w:tc>
        <w:tc>
          <w:tcPr>
            <w:tcW w:w="119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区县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广东红海湾发电有限公司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电力</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汕尾市城区东涌镇永和水泥制品场</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汕尾市城区广厦建材制品厂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汕尾市城区弘业水泥砖厂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汕尾市城区新盛水泥制品厂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汕尾市富丽混凝土搅拌有限公司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汕尾市仁裕轻质砖厂有限公司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汕尾市兴业混凝土搅拌有限公司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汕尾市营通水泥制品厂有限公司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中铁十七局集团第一工程有限公司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中铁十二局集团有限公司 广汕铁路GSSG7标项目部</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汕尾市红海湾佳龙混凝土有限公司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汕尾市城区凤山雅丽家具厂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家具制造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广东岭峰包装印刷有限公司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汕尾高峰科特纸业股份有限公司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汕尾市展光科技发展有限公司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汕尾市城区合盈塑胶五金部</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信利光电股份有限公司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信元光电有限公司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城区</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汕尾三峰环保发电有限公司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电力</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海丰县广富混凝土有限公司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汕尾市海丰建嘉混凝土搅拌有限公司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海丰县美达化工涂料有限公司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涂料制造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海丰县大邦漆业有限公司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涂料制造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海丰县城康丽彩涂料厂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涂料制造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海丰县耀彩装饰涂料加工厂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涂料制造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海丰县莲花名彩涂料厂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涂料制造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海丰县海利达胶袋加工厂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海丰县日胜服装辅料有限公司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海丰县星际动漫科技发展有限公司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海丰县启林木业有限公司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人造板制造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海丰县易丰实业有限公司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人造板制造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海丰鸿发木业有限公司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人造板制造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广东新彩科技有限公司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塑料制造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海丰县广成兴塑料制品有限公司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塑料制造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海丰县梅陇镇小山塑料厂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塑料制造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海丰县步通橡胶制品有限公司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橡胶制品制造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海丰县宏利钢材涂层有限公司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百利达服装洗烫有限公司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工业锅炉</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广东凯利来衬布实业有限公司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工业锅炉</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海丰县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陆丰宝丽华新能源电力有限公司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电力</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陆丰粤丰环保电力有限公司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电力</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陆丰市八万镇万美水泥砖厂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陆丰市博美光地水泥砖厂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陆丰市富成源混凝土有限公司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陆丰市河西安通水泥制品厂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陆丰市河西凯发水泥制品厂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陆丰市金厢丰隆机制水泥砖厂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陆丰市南塘镇四柱湖水泥制品厂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陆丰市仁盛建筑装饰有限公司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陆丰市潭西鸿宝水泥制品厂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陆丰市伟创混凝土有限公司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陆丰市中嘉水泥制品厂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陆丰市西南三鑫水泥制品厂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陆丰市粤联新型建材有限公司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砖瓦窑</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陆丰市甲子鸿大家具配件厂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陆丰市甲子兴胜五金家具配件厂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陆丰市甲子义泰五金塑料配件厂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陆丰市甲子明斌五金装璜厂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陆丰甲子家具配件厂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陆丰市甲东镇顺荣达家具配件厂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陆丰市甲子百盛家具配件厂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陆丰市甲子国威五金配件厂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陆丰市甲子和源家具配件厂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陆丰市甲子恒茂发五金制品厂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陆丰市甲子宏成塑料厂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陆丰市甲子坚固塑料制品厂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陆丰市甲子金峰五金配件厂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陆丰市甲子联盛达家具配件厂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陆丰市甲子茂业家具配件厂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陆丰市甲子铭盛五金配件厂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陆丰市甲子融通家具配件厂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陆丰市甲子睿煌家具五金配件厂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陆丰市甲子升利五金配件厂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陆丰市甲子万加家具配件厂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陆丰市甲子文信五金配件厂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陆丰市甲子旭兴五金家具配件厂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陆丰市甲子耀雄五金家具配件厂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陆丰市甲子振锋五金制品厂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陆丰市甲子镇鹏志装璜五金厂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陆丰市义明装璜实业有限公司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陆丰市瀛达家具配件有限公司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陆丰市埃利斯中港漆业有限公司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涂料制造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陆丰市维尚卫浴实业有限公司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家具制造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陆丰市华采包装厂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广东全美彩印包装有限公司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包装印刷</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陆丰万鑫皮革厂有限公司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陆丰致富塑胶厂有限公司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陆丰市新望礼品有限公司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陆丰市恩诚塑胶制品有限公司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陆丰市城东汇通圣诞品工艺厂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陆丰市</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陆河县城旋昌水泥涵管经销部</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陆河县河口新型水泥墙体砖厂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陆河县河田镇列邦环保砖经营部</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陆河县恒锋混凝土有限公司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陆河县耐康水泥制品有限公司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陆河县塔牌混凝土有限公司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陆河县泰安混凝土有限公司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陆河县陆富装饰材料有限公司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陆河县民兴新型建材有限公司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砖瓦窑</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陆河县铨镒铸造有限公司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陆河南方机械铸造有限公司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铸造行业</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陆河县陆兴家私厂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家具制造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陆河县新田镇祥昌家私门市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家具制造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陆河县新田镇祥昌家私门市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家具制造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陆河县嘉冠木业有限公司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人造板制造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陆河县泰润人造板有限公司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人造板制造</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陆河县伟德电子有限公司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汕尾明利环保材料有限公司</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r>
        <w:tblPrEx>
          <w:tblCellMar>
            <w:top w:w="0" w:type="dxa"/>
            <w:left w:w="0" w:type="dxa"/>
            <w:bottom w:w="0" w:type="dxa"/>
            <w:right w:w="0" w:type="dxa"/>
          </w:tblCellMar>
        </w:tblPrEx>
        <w:trPr>
          <w:trHeight w:val="270" w:hRule="atLeast"/>
        </w:trPr>
        <w:tc>
          <w:tcPr>
            <w:tcW w:w="11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52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陆河县柏森兴电器厂</w:t>
            </w:r>
          </w:p>
        </w:tc>
        <w:tc>
          <w:tcPr>
            <w:tcW w:w="14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工业涂装</w:t>
            </w:r>
          </w:p>
        </w:tc>
        <w:tc>
          <w:tcPr>
            <w:tcW w:w="119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陆河县</w:t>
            </w:r>
          </w:p>
        </w:tc>
      </w:tr>
    </w:tbl>
    <w:p>
      <w:pPr>
        <w:widowControl w:val="0"/>
        <w:numPr>
          <w:ilvl w:val="0"/>
          <w:numId w:val="0"/>
        </w:numPr>
        <w:spacing w:line="360" w:lineRule="auto"/>
        <w:jc w:val="both"/>
        <w:rPr>
          <w:rFonts w:hint="default"/>
          <w:b/>
          <w:bCs/>
          <w:sz w:val="32"/>
          <w:szCs w:val="32"/>
          <w:lang w:val="en-US" w:eastAsia="zh-CN"/>
        </w:rPr>
      </w:pPr>
    </w:p>
    <w:p>
      <w:pPr>
        <w:widowControl w:val="0"/>
        <w:numPr>
          <w:ilvl w:val="0"/>
          <w:numId w:val="0"/>
        </w:numPr>
        <w:spacing w:line="360" w:lineRule="auto"/>
        <w:jc w:val="both"/>
        <w:rPr>
          <w:rFonts w:hint="default"/>
          <w:b/>
          <w:bCs/>
          <w:sz w:val="32"/>
          <w:szCs w:val="32"/>
          <w:lang w:val="en-US" w:eastAsia="zh-CN"/>
        </w:rPr>
        <w:sectPr>
          <w:pgSz w:w="11906" w:h="16838"/>
          <w:pgMar w:top="1080" w:right="1440" w:bottom="1080" w:left="1440" w:header="851" w:footer="992" w:gutter="0"/>
          <w:pgNumType w:fmt="decimal"/>
          <w:cols w:space="720" w:num="1"/>
          <w:docGrid w:type="lines" w:linePitch="312" w:charSpace="0"/>
        </w:sectPr>
      </w:pPr>
    </w:p>
    <w:p>
      <w:pPr>
        <w:spacing w:line="360" w:lineRule="auto"/>
        <w:ind w:left="0" w:leftChars="0" w:firstLine="723" w:firstLineChars="200"/>
        <w:jc w:val="both"/>
        <w:outlineLvl w:val="1"/>
        <w:rPr>
          <w:rFonts w:hint="default" w:ascii="黑体" w:hAnsi="黑体" w:eastAsia="黑体" w:cs="黑体"/>
          <w:b/>
          <w:bCs/>
          <w:sz w:val="36"/>
          <w:szCs w:val="36"/>
          <w:lang w:val="en-US" w:eastAsia="zh-CN"/>
        </w:rPr>
      </w:pPr>
      <w:bookmarkStart w:id="4" w:name="_Toc10498"/>
      <w:r>
        <w:rPr>
          <w:rFonts w:hint="eastAsia" w:ascii="黑体" w:hAnsi="黑体" w:eastAsia="黑体" w:cs="黑体"/>
          <w:b/>
          <w:bCs/>
          <w:sz w:val="36"/>
          <w:szCs w:val="36"/>
          <w:lang w:val="en-US" w:eastAsia="zh-CN"/>
        </w:rPr>
        <w:t>4.汕尾市重污染天气应急减排重点企业减排措施</w:t>
      </w:r>
      <w:bookmarkEnd w:id="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28"/>
        <w:gridCol w:w="3197"/>
        <w:gridCol w:w="1878"/>
        <w:gridCol w:w="2485"/>
        <w:gridCol w:w="269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9" w:type="dxa"/>
            <w:shd w:val="clear" w:color="auto" w:fill="auto"/>
            <w:noWrap w:val="0"/>
            <w:vAlign w:val="center"/>
          </w:tcPr>
          <w:p>
            <w:pPr>
              <w:spacing w:line="240" w:lineRule="auto"/>
              <w:ind w:left="0" w:leftChars="0" w:firstLine="0" w:firstLineChars="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1228" w:type="dxa"/>
            <w:tcBorders>
              <w:right w:val="single" w:color="auto" w:sz="4" w:space="0"/>
            </w:tcBorders>
            <w:shd w:val="clear" w:color="auto" w:fill="auto"/>
            <w:noWrap w:val="0"/>
            <w:vAlign w:val="center"/>
          </w:tcPr>
          <w:p>
            <w:pPr>
              <w:spacing w:line="240" w:lineRule="auto"/>
              <w:ind w:left="0" w:leftChars="0" w:firstLine="0" w:firstLineChars="0"/>
              <w:jc w:val="both"/>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行业类别</w:t>
            </w:r>
          </w:p>
        </w:tc>
        <w:tc>
          <w:tcPr>
            <w:tcW w:w="3197" w:type="dxa"/>
            <w:tcBorders>
              <w:top w:val="single" w:color="auto" w:sz="4" w:space="0"/>
              <w:left w:val="single" w:color="auto" w:sz="4" w:space="0"/>
              <w:bottom w:val="single" w:color="auto" w:sz="4" w:space="0"/>
            </w:tcBorders>
            <w:shd w:val="clear" w:color="auto" w:fill="auto"/>
            <w:noWrap w:val="0"/>
            <w:vAlign w:val="center"/>
          </w:tcPr>
          <w:p>
            <w:pPr>
              <w:spacing w:line="240" w:lineRule="auto"/>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企业</w:t>
            </w:r>
          </w:p>
        </w:tc>
        <w:tc>
          <w:tcPr>
            <w:tcW w:w="1878" w:type="dxa"/>
            <w:tcBorders>
              <w:top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生产线/工序</w:t>
            </w:r>
          </w:p>
        </w:tc>
        <w:tc>
          <w:tcPr>
            <w:tcW w:w="2485" w:type="dxa"/>
            <w:tcBorders>
              <w:left w:val="single" w:color="auto" w:sz="4" w:space="0"/>
            </w:tcBorders>
            <w:shd w:val="clear" w:color="auto" w:fill="FFFF00"/>
            <w:noWrap w:val="0"/>
            <w:vAlign w:val="center"/>
          </w:tcPr>
          <w:p>
            <w:pPr>
              <w:spacing w:line="240" w:lineRule="auto"/>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黄色</w:t>
            </w:r>
            <w:r>
              <w:rPr>
                <w:rFonts w:hint="eastAsia" w:ascii="仿宋" w:hAnsi="仿宋" w:eastAsia="仿宋" w:cs="仿宋"/>
                <w:b/>
                <w:bCs/>
                <w:sz w:val="21"/>
                <w:szCs w:val="21"/>
                <w:vertAlign w:val="baseline"/>
              </w:rPr>
              <w:t>预警减排措施</w:t>
            </w:r>
          </w:p>
        </w:tc>
        <w:tc>
          <w:tcPr>
            <w:tcW w:w="2692" w:type="dxa"/>
            <w:shd w:val="clear" w:color="auto" w:fill="FFC000"/>
            <w:noWrap w:val="0"/>
            <w:vAlign w:val="center"/>
          </w:tcPr>
          <w:p>
            <w:pPr>
              <w:spacing w:line="240" w:lineRule="auto"/>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橙</w:t>
            </w:r>
            <w:r>
              <w:rPr>
                <w:rFonts w:hint="eastAsia" w:ascii="仿宋" w:hAnsi="仿宋" w:eastAsia="仿宋" w:cs="仿宋"/>
                <w:b/>
                <w:bCs/>
                <w:sz w:val="21"/>
                <w:szCs w:val="21"/>
                <w:vertAlign w:val="baseline"/>
              </w:rPr>
              <w:t>色预警减排措施</w:t>
            </w:r>
          </w:p>
        </w:tc>
        <w:tc>
          <w:tcPr>
            <w:tcW w:w="2694" w:type="dxa"/>
            <w:shd w:val="clear" w:color="auto" w:fill="FF0000"/>
            <w:noWrap w:val="0"/>
            <w:vAlign w:val="center"/>
          </w:tcPr>
          <w:p>
            <w:pPr>
              <w:spacing w:line="240" w:lineRule="auto"/>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红色</w:t>
            </w:r>
            <w:r>
              <w:rPr>
                <w:rFonts w:hint="eastAsia" w:ascii="仿宋" w:hAnsi="仿宋" w:eastAsia="仿宋" w:cs="仿宋"/>
                <w:b/>
                <w:bCs/>
                <w:sz w:val="21"/>
                <w:szCs w:val="21"/>
                <w:vertAlign w:val="baseline"/>
              </w:rPr>
              <w:t>预警减排措施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电力</w:t>
            </w:r>
          </w:p>
        </w:tc>
        <w:tc>
          <w:tcPr>
            <w:tcW w:w="3197" w:type="dxa"/>
            <w:vMerge w:val="restart"/>
            <w:tcBorders>
              <w:top w:val="single" w:color="auto" w:sz="4" w:space="0"/>
            </w:tcBorders>
            <w:noWrap w:val="0"/>
            <w:vAlign w:val="center"/>
          </w:tcPr>
          <w:p>
            <w:p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广东红海湾发电有限公司</w:t>
            </w:r>
          </w:p>
        </w:tc>
        <w:tc>
          <w:tcPr>
            <w:tcW w:w="1878" w:type="dxa"/>
            <w:tcBorders>
              <w:top w:val="single" w:color="auto" w:sz="4" w:space="0"/>
            </w:tcBorders>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1号机组</w:t>
            </w:r>
          </w:p>
        </w:tc>
        <w:tc>
          <w:tcPr>
            <w:tcW w:w="2485" w:type="dxa"/>
            <w:vMerge w:val="restart"/>
            <w:noWrap w:val="0"/>
            <w:vAlign w:val="center"/>
          </w:tcPr>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1.加强机组环保设施运行维护，确保达到超低排放浓度限值</w:t>
            </w:r>
          </w:p>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2.优化燃煤掺烧，控制入炉煤硫份、灰分不增加</w:t>
            </w:r>
          </w:p>
        </w:tc>
        <w:tc>
          <w:tcPr>
            <w:tcW w:w="2692" w:type="dxa"/>
            <w:vMerge w:val="restart"/>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1.加强机组环保设施运行维护，确保达到超低排放浓度限值，脱硫、脱硝设施高出力运行</w:t>
            </w:r>
          </w:p>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2.燃用优质煤，优化燃煤掺烧，入炉煤硫份控制在0.7%以下，入炉煤灰分控制在15%以下</w:t>
            </w:r>
          </w:p>
        </w:tc>
        <w:tc>
          <w:tcPr>
            <w:tcW w:w="2694" w:type="dxa"/>
            <w:vMerge w:val="restart"/>
            <w:noWrap w:val="0"/>
            <w:vAlign w:val="center"/>
          </w:tcPr>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1.加强机组环保设施运行维护，确保达到超低排放浓度限值，脱硫、脱硝设施高出力运行</w:t>
            </w:r>
          </w:p>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2.优先燃用优质煤，优化燃煤掺烧，入炉煤硫份控制在0.7%以下，入炉煤灰分控制在15%以下</w:t>
            </w:r>
          </w:p>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3.燃用优质煤仍无法达到减排效果时，则通过调峰降低不低于30%燃煤量或采取停用1台机组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2号机组</w:t>
            </w:r>
          </w:p>
        </w:tc>
        <w:tc>
          <w:tcPr>
            <w:tcW w:w="2485" w:type="dxa"/>
            <w:vMerge w:val="continue"/>
            <w:noWrap w:val="0"/>
            <w:vAlign w:val="center"/>
          </w:tcPr>
          <w:p>
            <w:pPr>
              <w:spacing w:line="240" w:lineRule="auto"/>
              <w:jc w:val="left"/>
              <w:rPr>
                <w:rFonts w:hint="default" w:ascii="仿宋" w:hAnsi="仿宋" w:eastAsia="仿宋" w:cs="仿宋"/>
                <w:sz w:val="21"/>
                <w:szCs w:val="21"/>
                <w:vertAlign w:val="baseline"/>
                <w:lang w:val="en-US" w:eastAsia="zh-CN"/>
              </w:rPr>
            </w:pPr>
          </w:p>
        </w:tc>
        <w:tc>
          <w:tcPr>
            <w:tcW w:w="2692" w:type="dxa"/>
            <w:vMerge w:val="continue"/>
            <w:noWrap w:val="0"/>
            <w:vAlign w:val="center"/>
          </w:tcPr>
          <w:p>
            <w:pPr>
              <w:spacing w:line="240" w:lineRule="auto"/>
              <w:jc w:val="left"/>
              <w:rPr>
                <w:rFonts w:hint="eastAsia" w:ascii="仿宋" w:hAnsi="仿宋" w:eastAsia="仿宋" w:cs="仿宋"/>
                <w:sz w:val="21"/>
                <w:szCs w:val="21"/>
                <w:vertAlign w:val="baseline"/>
                <w:lang w:val="en-US" w:eastAsia="zh-CN"/>
              </w:rPr>
            </w:pPr>
          </w:p>
        </w:tc>
        <w:tc>
          <w:tcPr>
            <w:tcW w:w="2694" w:type="dxa"/>
            <w:vMerge w:val="continue"/>
            <w:noWrap w:val="0"/>
            <w:vAlign w:val="center"/>
          </w:tcPr>
          <w:p>
            <w:pPr>
              <w:spacing w:line="240" w:lineRule="auto"/>
              <w:jc w:val="left"/>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3号机组</w:t>
            </w:r>
          </w:p>
        </w:tc>
        <w:tc>
          <w:tcPr>
            <w:tcW w:w="2485" w:type="dxa"/>
            <w:vMerge w:val="continue"/>
            <w:noWrap w:val="0"/>
            <w:vAlign w:val="center"/>
          </w:tcPr>
          <w:p>
            <w:pPr>
              <w:spacing w:line="240" w:lineRule="auto"/>
              <w:jc w:val="left"/>
              <w:rPr>
                <w:rFonts w:hint="default" w:ascii="仿宋" w:hAnsi="仿宋" w:eastAsia="仿宋" w:cs="仿宋"/>
                <w:sz w:val="21"/>
                <w:szCs w:val="21"/>
                <w:vertAlign w:val="baseline"/>
                <w:lang w:val="en-US" w:eastAsia="zh-CN"/>
              </w:rPr>
            </w:pPr>
          </w:p>
        </w:tc>
        <w:tc>
          <w:tcPr>
            <w:tcW w:w="2692" w:type="dxa"/>
            <w:vMerge w:val="continue"/>
            <w:noWrap w:val="0"/>
            <w:vAlign w:val="center"/>
          </w:tcPr>
          <w:p>
            <w:pPr>
              <w:spacing w:line="240" w:lineRule="auto"/>
              <w:jc w:val="left"/>
              <w:rPr>
                <w:rFonts w:hint="eastAsia" w:ascii="仿宋" w:hAnsi="仿宋" w:eastAsia="仿宋" w:cs="仿宋"/>
                <w:sz w:val="21"/>
                <w:szCs w:val="21"/>
                <w:vertAlign w:val="baseline"/>
                <w:lang w:val="en-US" w:eastAsia="zh-CN"/>
              </w:rPr>
            </w:pPr>
          </w:p>
        </w:tc>
        <w:tc>
          <w:tcPr>
            <w:tcW w:w="2694" w:type="dxa"/>
            <w:vMerge w:val="continue"/>
            <w:noWrap w:val="0"/>
            <w:vAlign w:val="center"/>
          </w:tcPr>
          <w:p>
            <w:pPr>
              <w:spacing w:line="240" w:lineRule="auto"/>
              <w:jc w:val="left"/>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4号机组</w:t>
            </w:r>
          </w:p>
        </w:tc>
        <w:tc>
          <w:tcPr>
            <w:tcW w:w="2485" w:type="dxa"/>
            <w:vMerge w:val="continue"/>
            <w:noWrap w:val="0"/>
            <w:vAlign w:val="center"/>
          </w:tcPr>
          <w:p>
            <w:pPr>
              <w:spacing w:line="240" w:lineRule="auto"/>
              <w:jc w:val="left"/>
              <w:rPr>
                <w:rFonts w:hint="default" w:ascii="仿宋" w:hAnsi="仿宋" w:eastAsia="仿宋" w:cs="仿宋"/>
                <w:sz w:val="21"/>
                <w:szCs w:val="21"/>
                <w:vertAlign w:val="baseline"/>
                <w:lang w:val="en-US" w:eastAsia="zh-CN"/>
              </w:rPr>
            </w:pPr>
          </w:p>
        </w:tc>
        <w:tc>
          <w:tcPr>
            <w:tcW w:w="2692" w:type="dxa"/>
            <w:vMerge w:val="continue"/>
            <w:noWrap w:val="0"/>
            <w:vAlign w:val="center"/>
          </w:tcPr>
          <w:p>
            <w:pPr>
              <w:spacing w:line="240" w:lineRule="auto"/>
              <w:jc w:val="left"/>
              <w:rPr>
                <w:rFonts w:hint="eastAsia" w:ascii="仿宋" w:hAnsi="仿宋" w:eastAsia="仿宋" w:cs="仿宋"/>
                <w:sz w:val="21"/>
                <w:szCs w:val="21"/>
                <w:vertAlign w:val="baseline"/>
                <w:lang w:val="en-US" w:eastAsia="zh-CN"/>
              </w:rPr>
            </w:pPr>
          </w:p>
        </w:tc>
        <w:tc>
          <w:tcPr>
            <w:tcW w:w="2694" w:type="dxa"/>
            <w:vMerge w:val="continue"/>
            <w:noWrap w:val="0"/>
            <w:vAlign w:val="center"/>
          </w:tcPr>
          <w:p>
            <w:pPr>
              <w:spacing w:line="240" w:lineRule="auto"/>
              <w:jc w:val="left"/>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3197" w:type="dxa"/>
            <w:vMerge w:val="restart"/>
            <w:noWrap w:val="0"/>
            <w:vAlign w:val="center"/>
          </w:tcPr>
          <w:p>
            <w:p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陆丰宝丽华新能源电力有限公司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1号机组</w:t>
            </w:r>
          </w:p>
        </w:tc>
        <w:tc>
          <w:tcPr>
            <w:tcW w:w="2485" w:type="dxa"/>
            <w:vMerge w:val="restart"/>
            <w:noWrap w:val="0"/>
            <w:vAlign w:val="center"/>
          </w:tcPr>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1.加强机组环保设施运行维护，确保达到超低排放浓度限值</w:t>
            </w:r>
          </w:p>
          <w:p>
            <w:pPr>
              <w:spacing w:line="240" w:lineRule="auto"/>
              <w:jc w:val="left"/>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2.优化燃煤掺烧，控制入炉煤硫份、灰分不增加</w:t>
            </w:r>
          </w:p>
        </w:tc>
        <w:tc>
          <w:tcPr>
            <w:tcW w:w="2692" w:type="dxa"/>
            <w:vMerge w:val="restart"/>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1.加强机组环保设施运行维护，确保达到超低排放浓度限值，脱硫、脱硝设施高出力运行</w:t>
            </w:r>
          </w:p>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2.燃用优质煤，优化燃煤掺烧，入炉煤硫份控制在0.6%以下，入炉煤灰分控制在15%以下</w:t>
            </w:r>
          </w:p>
        </w:tc>
        <w:tc>
          <w:tcPr>
            <w:tcW w:w="2694" w:type="dxa"/>
            <w:vMerge w:val="restart"/>
            <w:noWrap w:val="0"/>
            <w:vAlign w:val="center"/>
          </w:tcPr>
          <w:p>
            <w:pPr>
              <w:spacing w:line="240" w:lineRule="auto"/>
              <w:jc w:val="left"/>
              <w:rPr>
                <w:rFonts w:hint="eastAsia" w:ascii="仿宋" w:hAnsi="仿宋" w:eastAsia="仿宋" w:cs="仿宋"/>
                <w:sz w:val="21"/>
                <w:szCs w:val="21"/>
                <w:vertAlign w:val="baseline"/>
              </w:rPr>
            </w:pPr>
            <w:r>
              <w:rPr>
                <w:rFonts w:hint="eastAsia" w:ascii="仿宋" w:hAnsi="仿宋" w:eastAsia="仿宋" w:cs="仿宋"/>
                <w:sz w:val="21"/>
                <w:szCs w:val="21"/>
                <w:vertAlign w:val="baseline"/>
              </w:rPr>
              <w:t>1.加强机组环保设施运行维护，确保达到超低排放浓度限值，脱硫、脱硝设施高出力运行</w:t>
            </w:r>
          </w:p>
          <w:p>
            <w:pPr>
              <w:spacing w:line="240" w:lineRule="auto"/>
              <w:jc w:val="left"/>
              <w:rPr>
                <w:rFonts w:hint="eastAsia" w:ascii="仿宋" w:hAnsi="仿宋" w:eastAsia="仿宋" w:cs="仿宋"/>
                <w:sz w:val="21"/>
                <w:szCs w:val="21"/>
                <w:vertAlign w:val="baseline"/>
              </w:rPr>
            </w:pPr>
            <w:r>
              <w:rPr>
                <w:rFonts w:hint="eastAsia" w:ascii="仿宋" w:hAnsi="仿宋" w:eastAsia="仿宋" w:cs="仿宋"/>
                <w:sz w:val="21"/>
                <w:szCs w:val="21"/>
                <w:vertAlign w:val="baseline"/>
              </w:rPr>
              <w:t>2.优先燃用优质煤，优化燃煤掺烧，入炉煤硫份控制在0.6%以下，入炉煤灰分控制在15%以下</w:t>
            </w:r>
          </w:p>
          <w:p>
            <w:pPr>
              <w:spacing w:line="240" w:lineRule="auto"/>
              <w:jc w:val="left"/>
              <w:rPr>
                <w:rFonts w:hint="eastAsia" w:ascii="仿宋" w:hAnsi="仿宋" w:eastAsia="仿宋" w:cs="仿宋"/>
                <w:sz w:val="21"/>
                <w:szCs w:val="21"/>
                <w:vertAlign w:val="baseline"/>
              </w:rPr>
            </w:pPr>
            <w:r>
              <w:rPr>
                <w:rFonts w:hint="eastAsia" w:ascii="仿宋" w:hAnsi="仿宋" w:eastAsia="仿宋" w:cs="仿宋"/>
                <w:sz w:val="21"/>
                <w:szCs w:val="21"/>
                <w:vertAlign w:val="baseline"/>
              </w:rPr>
              <w:t>3.燃用优质煤仍无法达到减排效果时，则通过调峰降低不低于30%燃煤量或采取停用1台机组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2号机组</w:t>
            </w:r>
          </w:p>
        </w:tc>
        <w:tc>
          <w:tcPr>
            <w:tcW w:w="2485" w:type="dxa"/>
            <w:vMerge w:val="continue"/>
            <w:noWrap w:val="0"/>
            <w:vAlign w:val="center"/>
          </w:tcPr>
          <w:p>
            <w:pPr>
              <w:spacing w:line="240" w:lineRule="auto"/>
              <w:jc w:val="left"/>
              <w:rPr>
                <w:rFonts w:hint="default" w:ascii="仿宋" w:hAnsi="仿宋" w:eastAsia="仿宋" w:cs="仿宋"/>
                <w:sz w:val="21"/>
                <w:szCs w:val="21"/>
                <w:vertAlign w:val="baseline"/>
                <w:lang w:val="en-US" w:eastAsia="zh-CN"/>
              </w:rPr>
            </w:pPr>
          </w:p>
        </w:tc>
        <w:tc>
          <w:tcPr>
            <w:tcW w:w="2692" w:type="dxa"/>
            <w:vMerge w:val="continue"/>
            <w:noWrap w:val="0"/>
            <w:vAlign w:val="center"/>
          </w:tcPr>
          <w:p>
            <w:pPr>
              <w:spacing w:line="240" w:lineRule="auto"/>
              <w:jc w:val="left"/>
              <w:rPr>
                <w:rFonts w:hint="eastAsia" w:ascii="仿宋" w:hAnsi="仿宋" w:eastAsia="仿宋" w:cs="仿宋"/>
                <w:sz w:val="21"/>
                <w:szCs w:val="21"/>
                <w:vertAlign w:val="baseline"/>
                <w:lang w:val="en-US" w:eastAsia="zh-CN"/>
              </w:rPr>
            </w:pPr>
          </w:p>
        </w:tc>
        <w:tc>
          <w:tcPr>
            <w:tcW w:w="2694" w:type="dxa"/>
            <w:vMerge w:val="continue"/>
            <w:noWrap w:val="0"/>
            <w:vAlign w:val="center"/>
          </w:tcPr>
          <w:p>
            <w:pPr>
              <w:spacing w:line="240" w:lineRule="auto"/>
              <w:jc w:val="left"/>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垃圾焚烧</w:t>
            </w:r>
          </w:p>
        </w:tc>
        <w:tc>
          <w:tcPr>
            <w:tcW w:w="3197" w:type="dxa"/>
            <w:noWrap w:val="0"/>
            <w:vAlign w:val="center"/>
          </w:tcPr>
          <w:p>
            <w:p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汕尾三峰环保发电有限公司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复式炉排垃圾焚烧炉（3台）</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加强机组环保设施运行维护，通过运行调整手段降低烟尘、二氧化硫、氮氧化物排放量</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加强机组环保设施运行维护，通过运行调整手段降低烟尘、二氧化硫、氮氧化物排放量</w:t>
            </w:r>
          </w:p>
        </w:tc>
        <w:tc>
          <w:tcPr>
            <w:tcW w:w="2694"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加强机组环保设施运行维护，通过运行调整手段降低烟尘、二氧化硫、氮氧化物排放量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ind w:left="0" w:leftChars="0" w:firstLine="0" w:firstLineChars="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陆丰粤丰环保电力有限公司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焚烧炉（3台）</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加强机组环保设施运行维护，通过运行调整手段降低烟尘、二氧化硫、氮氧化物排放量</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加强机组环保设施运行维护，通过运行调整手段降低烟尘、二氧化硫、氮氧化物排放量</w:t>
            </w:r>
          </w:p>
        </w:tc>
        <w:tc>
          <w:tcPr>
            <w:tcW w:w="2694"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加强机组环保设施运行维护，通过运行调整手段降低烟尘、二氧化硫、氮氧化物排放量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水泥</w:t>
            </w: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汕尾市城区东涌镇永和水泥</w:t>
            </w:r>
          </w:p>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制品场</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汕尾市城区广厦建材制品厂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汕尾市城区弘业水泥砖厂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物料输送储存</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汕尾市城区新盛水泥制品厂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汕尾市富丽混凝土搅拌有限公司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物料输送储存、搅拌生产线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汕尾市仁裕轻质砖厂有限公司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物料搅拌生产线（2条）</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汕尾市兴业混凝土搅拌有限公司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汕尾市营通水泥制品厂有限公司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中铁十七局集团第一工程有限</w:t>
            </w:r>
          </w:p>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中铁十二局集团有限公司 广汕铁路GSSG7标项目部</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混凝土搅拌站8台、洗石机3台</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全厂停产（停用混凝土搅拌站8台、洗石机3台）</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全厂停产（停用混凝土搅拌站8台、洗石机3台）</w:t>
            </w:r>
          </w:p>
        </w:tc>
        <w:tc>
          <w:tcPr>
            <w:tcW w:w="2694" w:type="dxa"/>
            <w:noWrap w:val="0"/>
            <w:vAlign w:val="center"/>
          </w:tcPr>
          <w:p>
            <w:pPr>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全厂停产（停用混凝土搅拌站8台、洗石机3台）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汕尾市红海湾佳龙混凝土有限</w:t>
            </w:r>
          </w:p>
          <w:p>
            <w:pPr>
              <w:spacing w:line="24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公司</w:t>
            </w:r>
          </w:p>
        </w:tc>
        <w:tc>
          <w:tcPr>
            <w:tcW w:w="1878" w:type="dxa"/>
            <w:noWrap w:val="0"/>
            <w:vAlign w:val="center"/>
          </w:tcPr>
          <w:p>
            <w:pPr>
              <w:spacing w:line="24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混凝土3方方机、A线、B线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海丰县广富混凝土有限公司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商砼生产线3条</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3条商砼生产线以及其他工序设备均停产</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3条商砼生产线以及其他工序设备均停产</w:t>
            </w:r>
          </w:p>
        </w:tc>
        <w:tc>
          <w:tcPr>
            <w:tcW w:w="2694" w:type="dxa"/>
            <w:noWrap w:val="0"/>
            <w:vAlign w:val="center"/>
          </w:tcPr>
          <w:p>
            <w:pPr>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3条商砼生产线以及其他工序设备均停产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汕尾市海丰建嘉混凝土搅拌有限公司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陆河县城旋昌水泥涵管经销部</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c>
          <w:tcPr>
            <w:tcW w:w="2694" w:type="dxa"/>
            <w:noWrap w:val="0"/>
            <w:vAlign w:val="center"/>
          </w:tcPr>
          <w:p>
            <w:pPr>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陆河县河口新型水泥墙体砖厂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c>
          <w:tcPr>
            <w:tcW w:w="2694" w:type="dxa"/>
            <w:noWrap w:val="0"/>
            <w:vAlign w:val="center"/>
          </w:tcPr>
          <w:p>
            <w:pPr>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陆河县河田镇列邦环保砖经营部</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c>
          <w:tcPr>
            <w:tcW w:w="2694" w:type="dxa"/>
            <w:noWrap w:val="0"/>
            <w:vAlign w:val="center"/>
          </w:tcPr>
          <w:p>
            <w:pPr>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陆河县恒锋混凝土有限公司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陆河县耐康水泥制品有限公司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陆河县塔牌混凝土有限公司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物料输送、搅拌</w:t>
            </w:r>
          </w:p>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陆河县泰安混凝土有限公司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陆河县陆富装饰材料有限公司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陆丰市八万镇万美水泥砖厂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陆丰市博美光地水泥砖厂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陆丰市富成源混凝土有限公司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陆丰市河西安通水泥制品厂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物料输送储存</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陆丰市河西凯发水泥制品厂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陆丰市金厢丰隆机制水泥砖厂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陆丰市南塘镇四柱湖水泥制品厂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陆丰市仁盛建筑装饰有限公司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陆丰市潭西鸿宝水泥制品厂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陆丰市伟创混凝土有限公司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陆丰市中嘉水泥制品厂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陆丰市西南三鑫水泥制品厂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物料搅拌生产线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砖瓦窑</w:t>
            </w:r>
          </w:p>
        </w:tc>
        <w:tc>
          <w:tcPr>
            <w:tcW w:w="3197" w:type="dxa"/>
            <w:noWrap w:val="0"/>
            <w:vAlign w:val="center"/>
          </w:tcPr>
          <w:p>
            <w:pPr>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陆丰市粤联新型建材有限公司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烧结砖生产线（除炉窑）</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陆河县民兴新型建材有限公司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烧结砖生产线（除炉窑）</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炉窑</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铸造</w:t>
            </w: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陆丰市甲子鸿大家具配件厂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燃气熔炼炉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陆丰市甲子兴胜五金家具配件厂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陆丰市甲子义泰五金塑料配件厂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陆丰市甲子明斌五金装璜厂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陆河县铨镒铸造有限公司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生物燃料熔炼炉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干式预处理工序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陆河南方机械铸造有限公司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感应熔炼炉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干式预处理工序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陆丰甲子家具配件厂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陆丰市甲东镇顺荣达家具配件厂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燃气熔炼炉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陆丰市甲子百盛家具配件厂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陆丰市甲子国威五金配件厂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陆丰市甲子和源家具配件厂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陆丰市甲子恒茂发五金制品厂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陆丰市甲子宏成塑料厂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陆丰市甲子坚固塑料制品厂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陆丰市甲子金峰五金配件厂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陆丰市甲子联盛达家具配件厂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陆丰市甲子茂业家具配件厂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陆丰市甲子铭盛五金配件厂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燃气熔炼炉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陆丰市甲子融通家具配件厂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陆丰市甲子睿煌家具五金配件厂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陆丰市甲子升利五金配件厂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燃气熔炼炉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陆丰市甲子万加家具配件厂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陆丰市甲子文信五金配件厂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陆丰市甲子旭兴五金家具配件厂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陆丰市甲子耀雄五金家具配件厂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陆丰市甲子振锋五金制品厂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陆丰市甲子镇鹏志装璜五金厂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陆丰市义明装璜实业有限公司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陆丰市瀛达家具配件有限公司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电熔炼炉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涂料制造</w:t>
            </w: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海丰县美达化工涂料有限公司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溶剂型涂料生产线（反应釜4台、砂磨机11台、研磨机11台、分散机8台）</w:t>
            </w:r>
          </w:p>
        </w:tc>
        <w:tc>
          <w:tcPr>
            <w:tcW w:w="2485" w:type="dxa"/>
            <w:noWrap w:val="0"/>
            <w:vAlign w:val="center"/>
          </w:tcPr>
          <w:p>
            <w:pPr>
              <w:spacing w:line="240" w:lineRule="auto"/>
              <w:jc w:val="left"/>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停产（停用反应釜4台、砂磨机11台、研磨机11台、分散机8台）</w:t>
            </w:r>
          </w:p>
        </w:tc>
        <w:tc>
          <w:tcPr>
            <w:tcW w:w="2692"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停产（停用反应釜4台、砂磨机11台、研磨机11台、分散机8台）</w:t>
            </w:r>
          </w:p>
        </w:tc>
        <w:tc>
          <w:tcPr>
            <w:tcW w:w="2694" w:type="dxa"/>
            <w:noWrap w:val="0"/>
            <w:vAlign w:val="center"/>
          </w:tcPr>
          <w:p>
            <w:p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停产（停用反应釜4台、砂磨机11台、研磨机11台、分散机8台）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燃生物质锅炉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海丰县大邦漆业有限公司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水性涂料生产线</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海丰县城康丽彩涂料厂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仿瓷涂料生产线（涂料搅拌机</w:t>
            </w:r>
          </w:p>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2台）</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停产（停用搅拌机2台）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停产（停用搅拌机2台）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停产（停用搅拌机2台）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海丰县城康丽彩涂料厂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108胶水生产线（胶水搅拌机</w:t>
            </w:r>
          </w:p>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2台）</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停产（停用搅拌机2台）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停产（停用搅拌机2台）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停产（停用搅拌机2台）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海丰县耀彩装饰涂料加工厂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水性涂料生产线</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海丰县莲花名彩涂料厂</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水性涂料生产线</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陆丰市埃利斯中港漆业有限公司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水性涂料生产线</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228" w:type="dxa"/>
            <w:vMerge w:val="restart"/>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家具制造</w:t>
            </w:r>
          </w:p>
        </w:tc>
        <w:tc>
          <w:tcPr>
            <w:tcW w:w="3197" w:type="dxa"/>
            <w:noWrap w:val="0"/>
            <w:vAlign w:val="center"/>
          </w:tcPr>
          <w:p>
            <w:pPr>
              <w:spacing w:line="240" w:lineRule="auto"/>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汕尾市城区凤山雅丽家具厂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家具施胶工序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陆丰市维尚卫浴实业有限公司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无尘喷漆生产线</w:t>
            </w:r>
          </w:p>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1条</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陆河县陆兴家私厂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家具喷漆工序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陆河县新田镇祥昌家私门市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家具施胶序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default" w:ascii="仿宋" w:hAnsi="仿宋" w:eastAsia="仿宋" w:cs="仿宋"/>
                <w:color w:val="auto"/>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家具喷漆工序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包装印刷</w:t>
            </w:r>
          </w:p>
        </w:tc>
        <w:tc>
          <w:tcPr>
            <w:tcW w:w="3197" w:type="dxa"/>
            <w:vMerge w:val="restart"/>
            <w:noWrap w:val="0"/>
            <w:vAlign w:val="center"/>
          </w:tcPr>
          <w:p>
            <w:pPr>
              <w:spacing w:line="24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广东岭峰包装印刷有限公司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平版印刷工序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color w:val="auto"/>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印后整理工序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汕尾高峰科特纸业股份有限公司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印刷工序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限产，产能降低50%，日产8小时减低为日产4小时</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陆丰市华采包装厂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印刷工序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广东全美彩印包装有限公司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印刷工序（海德堡胶印机1台、上光机1台、过油机1台、覆膜机1台）</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停产（包括停用海德堡胶印机1台、上光机1台、过油机1台、覆膜机1台）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停产（包括停用海德堡胶印机1台、上光机1台、过油机1台、覆膜机1台）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停产（包括停用海德堡胶印机1台、上光机1台、过油机1台、覆膜机1台）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海丰县海利达胶袋加工厂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胶袋生产线（吹膜机3台、印刷机2台、切袋机6台）</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停止使用印刷机2台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停止使用印刷机2台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停止使用印刷机2台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海丰县日胜服装辅料有限公司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印刷工序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汕尾市展光科技发展有限公司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丝印工序（丝印机1台）</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停产（停用丝印机1台）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停产（停用丝印机1台）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停产（停用丝印机1台）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海丰县星际动漫科技发展有限</w:t>
            </w:r>
          </w:p>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移印机（20台）</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停用移印机20台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停用移印机20台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停用移印机20台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default"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喷涂工序（喷枪100支）</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限产10%，停用喷枪</w:t>
            </w:r>
          </w:p>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10支</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限产10%，停用喷枪10支</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限产10%，停用喷枪10支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汕尾市城区合盈塑胶五金部</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印刷品生产线</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限产，产能降低50%</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人造板</w:t>
            </w: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海丰县启林木业有限公司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后处理工序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限产20%及以上，按生产设备计算</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燃生物质锅炉（4t/h）</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海丰县易丰实业有限公司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热压定型工序（热压机4台、冷压机2台）</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限产20%及以上（停用热压机1台、冷压机1台）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停产（停用热压机4台、冷压机2台）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停产（停用热压机4台、冷压机2台）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燃生物质锅炉（4t/h）</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机加工工序（锯边机1台、刨板机3台）</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施胶工序（拌胶机4台、过胶机4台）</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限产20%及以上（停用拌胶机1台、过胶机1台）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停产（拌胶机4台、过胶机4台）</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停产（拌胶机4台、过胶机4台）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陆河县嘉冠木业有限公司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后处理工序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限产20%及以上，按生产时间计算，日产8小时下降为日产6.4小时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燃生物质锅炉（4t/h）</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陆河县泰润人造板有限公司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施胶工序</w:t>
            </w:r>
          </w:p>
        </w:tc>
        <w:tc>
          <w:tcPr>
            <w:tcW w:w="2485" w:type="dxa"/>
            <w:noWrap w:val="0"/>
            <w:vAlign w:val="center"/>
          </w:tcPr>
          <w:p>
            <w:pPr>
              <w:spacing w:line="220" w:lineRule="exact"/>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限产20%及以上，按生产时间计算，日产8小时下降为日产6.4小时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热磨工序</w:t>
            </w:r>
          </w:p>
        </w:tc>
        <w:tc>
          <w:tcPr>
            <w:tcW w:w="2485" w:type="dxa"/>
            <w:noWrap w:val="0"/>
            <w:vAlign w:val="center"/>
          </w:tcPr>
          <w:p>
            <w:pPr>
              <w:spacing w:line="240" w:lineRule="auto"/>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限产20%及以上，按生产时间计算，日产8小时下降为日产6.4小时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后处理工序</w:t>
            </w:r>
          </w:p>
        </w:tc>
        <w:tc>
          <w:tcPr>
            <w:tcW w:w="2485" w:type="dxa"/>
            <w:noWrap w:val="0"/>
            <w:vAlign w:val="center"/>
          </w:tcPr>
          <w:p>
            <w:pPr>
              <w:spacing w:line="240" w:lineRule="auto"/>
              <w:jc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限产20%及以上，按生产时间计算，日产8小时下降为日产6.4小时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燃生物质锅炉（2t/h）</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海丰鸿发木业有限公司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下料加工工序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胶黏工序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限产20%及以上，按生产时间计算，日产8小时下降为日产6.4小时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塑料制造</w:t>
            </w: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广东新彩科技有限公司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破碎工序（破碎机7台）</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default"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造粒工序（造粒机5台）</w:t>
            </w:r>
          </w:p>
        </w:tc>
        <w:tc>
          <w:tcPr>
            <w:tcW w:w="2485"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停产50%及以上，造粒机5台停用3台</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停产，造粒机停用5台</w:t>
            </w:r>
          </w:p>
        </w:tc>
        <w:tc>
          <w:tcPr>
            <w:tcW w:w="2694"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停产，造粒机停用5台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海丰县广成兴塑料制品有限公司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破碎工序</w:t>
            </w:r>
          </w:p>
        </w:tc>
        <w:tc>
          <w:tcPr>
            <w:tcW w:w="2485"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停产50%及以上，日产8小时下降为日常4小时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default"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造粒工序</w:t>
            </w:r>
          </w:p>
        </w:tc>
        <w:tc>
          <w:tcPr>
            <w:tcW w:w="2485"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停产50%及以上，日产8小时下降为日常4小时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海丰县梅陇镇小山塑料厂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造粒工序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停产50%及以上，日产8小时下降为日常4小时</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1228" w:type="dxa"/>
            <w:vMerge w:val="restart"/>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Times New Roman" w:hAnsi="Times New Roman" w:eastAsia="仿宋" w:cs="Times New Roman"/>
                <w:color w:val="000000"/>
                <w:kern w:val="0"/>
                <w:sz w:val="21"/>
                <w:szCs w:val="21"/>
                <w:lang w:val="en-US" w:eastAsia="zh-CN"/>
              </w:rPr>
              <w:t>橡胶制品制造</w:t>
            </w:r>
          </w:p>
        </w:tc>
        <w:tc>
          <w:tcPr>
            <w:tcW w:w="3197" w:type="dxa"/>
            <w:vMerge w:val="restart"/>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海丰县步通橡胶制品有限公司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混炼挤出工序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Times New Roman" w:hAnsi="Times New Roman" w:eastAsia="仿宋" w:cs="Times New Roman"/>
                <w:color w:val="000000"/>
                <w:kern w:val="0"/>
                <w:sz w:val="21"/>
                <w:szCs w:val="21"/>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工业涂装</w:t>
            </w: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海丰县宏利钢材涂层有限公司</w:t>
            </w:r>
          </w:p>
        </w:tc>
        <w:tc>
          <w:tcPr>
            <w:tcW w:w="1878"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陆丰万鑫皮革厂有限公司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燃煤锅炉（4t/h）</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陆丰致富塑胶厂有限公司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注塑工序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陆丰市新望礼品有限公司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陆丰市恩诚塑胶制品有限公司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注塑工序（注塑机4台）</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粘合工序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陆丰市城东汇通圣诞品工艺厂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限产，产能降低50%，日产8小时下降为日产4小时</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陆河县伟德电子有限公司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汕尾明利环保材料有限公司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restart"/>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陆河县柏森兴电器厂</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限产，产能降低50%，日产8小时下降为日产4小时</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印刷、除油工序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信利光电股份有限公司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信元光电有限公司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涂装工序</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c>
          <w:tcPr>
            <w:tcW w:w="2694"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1228" w:type="dxa"/>
            <w:vMerge w:val="restart"/>
            <w:noWrap w:val="0"/>
            <w:vAlign w:val="center"/>
          </w:tcPr>
          <w:p>
            <w:pPr>
              <w:spacing w:line="240" w:lineRule="auto"/>
              <w:ind w:left="0" w:leftChars="0" w:firstLine="0" w:firstLine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工业锅炉</w:t>
            </w: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百利达服装洗烫有限公司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燃煤锅炉（4t/h）</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noWrap w:val="0"/>
            <w:vAlign w:val="center"/>
          </w:tcPr>
          <w:p>
            <w:p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228" w:type="dxa"/>
            <w:vMerge w:val="continue"/>
            <w:noWrap w:val="0"/>
            <w:vAlign w:val="center"/>
          </w:tcPr>
          <w:p>
            <w:pPr>
              <w:spacing w:line="240" w:lineRule="auto"/>
              <w:jc w:val="center"/>
              <w:rPr>
                <w:rFonts w:hint="eastAsia" w:ascii="仿宋" w:hAnsi="仿宋" w:eastAsia="仿宋" w:cs="仿宋"/>
                <w:sz w:val="21"/>
                <w:szCs w:val="21"/>
                <w:vertAlign w:val="baseline"/>
                <w:lang w:val="en-US" w:eastAsia="zh-CN"/>
              </w:rPr>
            </w:pPr>
          </w:p>
        </w:tc>
        <w:tc>
          <w:tcPr>
            <w:tcW w:w="3197"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广东凯利来衬布实业有限公司</w:t>
            </w:r>
          </w:p>
        </w:tc>
        <w:tc>
          <w:tcPr>
            <w:tcW w:w="1878"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燃煤锅炉（6t/h）</w:t>
            </w:r>
          </w:p>
        </w:tc>
        <w:tc>
          <w:tcPr>
            <w:tcW w:w="2485"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2" w:type="dxa"/>
            <w:noWrap w:val="0"/>
            <w:vAlign w:val="center"/>
          </w:tcPr>
          <w:p>
            <w:p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w:t>
            </w:r>
          </w:p>
        </w:tc>
        <w:tc>
          <w:tcPr>
            <w:tcW w:w="2694" w:type="dxa"/>
            <w:noWrap w:val="0"/>
            <w:vAlign w:val="center"/>
          </w:tcPr>
          <w:p>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锅炉停用</w:t>
            </w:r>
          </w:p>
        </w:tc>
      </w:tr>
    </w:tbl>
    <w:p>
      <w:pPr>
        <w:spacing w:line="600" w:lineRule="exact"/>
        <w:ind w:left="0" w:leftChars="0" w:firstLine="0" w:firstLineChars="0"/>
        <w:outlineLvl w:val="0"/>
        <w:rPr>
          <w:rFonts w:hint="eastAsia" w:ascii="仿宋" w:hAnsi="仿宋" w:eastAsia="仿宋" w:cs="仿宋"/>
          <w:color w:val="auto"/>
          <w:sz w:val="32"/>
          <w:szCs w:val="32"/>
        </w:rPr>
        <w:sectPr>
          <w:pgSz w:w="16838" w:h="11906" w:orient="landscape"/>
          <w:pgMar w:top="1440" w:right="1080" w:bottom="1440" w:left="108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600" w:lineRule="exact"/>
        <w:ind w:firstLine="1200" w:firstLineChars="400"/>
        <w:jc w:val="both"/>
        <w:textAlignment w:val="auto"/>
        <w:rPr>
          <w:rFonts w:hint="eastAsia" w:ascii="方正小标宋简体" w:hAnsi="方正小标宋简体" w:eastAsia="方正小标宋简体" w:cs="方正小标宋简体"/>
          <w:b w:val="0"/>
          <w:bCs w:val="0"/>
        </w:rPr>
      </w:pPr>
      <w:bookmarkStart w:id="5" w:name="_Toc2403"/>
      <w:r>
        <w:rPr>
          <w:rFonts w:hint="eastAsia" w:ascii="方正小标宋简体" w:hAnsi="方正小标宋简体" w:eastAsia="方正小标宋简体" w:cs="方正小标宋简体"/>
          <w:b w:val="0"/>
          <w:bCs w:val="0"/>
          <w:lang w:val="en-US" w:eastAsia="zh-CN"/>
        </w:rPr>
        <w:t>5.</w:t>
      </w:r>
      <w:r>
        <w:rPr>
          <w:rFonts w:hint="eastAsia" w:ascii="方正小标宋简体" w:hAnsi="方正小标宋简体" w:eastAsia="方正小标宋简体" w:cs="方正小标宋简体"/>
          <w:b w:val="0"/>
          <w:bCs w:val="0"/>
        </w:rPr>
        <w:t>汕尾市重污染天气应对工作流程图</w:t>
      </w:r>
      <w:bookmarkEnd w:id="5"/>
    </w:p>
    <w:p>
      <w:pPr>
        <w:ind w:left="0" w:leftChars="0" w:firstLine="0" w:firstLineChars="0"/>
        <w:jc w:val="left"/>
        <w:rPr>
          <w:rFonts w:hint="eastAsia" w:eastAsia="宋体"/>
          <w:lang w:eastAsia="zh-CN"/>
        </w:rPr>
      </w:pPr>
      <w:r>
        <w:rPr>
          <w:rFonts w:hint="eastAsia" w:eastAsia="宋体"/>
          <w:lang w:eastAsia="zh-CN"/>
        </w:rPr>
        <w:drawing>
          <wp:inline distT="0" distB="0" distL="114300" distR="114300">
            <wp:extent cx="5949315" cy="6932930"/>
            <wp:effectExtent l="0" t="0" r="13335" b="1270"/>
            <wp:docPr id="1" name="图片 1" descr="QQ截图2021070919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10709194536"/>
                    <pic:cNvPicPr>
                      <a:picLocks noChangeAspect="1"/>
                    </pic:cNvPicPr>
                  </pic:nvPicPr>
                  <pic:blipFill>
                    <a:blip r:embed="rId4"/>
                    <a:stretch>
                      <a:fillRect/>
                    </a:stretch>
                  </pic:blipFill>
                  <pic:spPr>
                    <a:xfrm>
                      <a:off x="0" y="0"/>
                      <a:ext cx="5949315" cy="6932930"/>
                    </a:xfrm>
                    <a:prstGeom prst="rect">
                      <a:avLst/>
                    </a:prstGeom>
                    <a:noFill/>
                    <a:ln>
                      <a:noFill/>
                    </a:ln>
                  </pic:spPr>
                </pic:pic>
              </a:graphicData>
            </a:graphic>
          </wp:inline>
        </w:drawing>
      </w:r>
    </w:p>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27B7D"/>
    <w:rsid w:val="6892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line="360" w:lineRule="auto"/>
      <w:ind w:firstLine="880" w:firstLineChars="200"/>
      <w:outlineLvl w:val="1"/>
    </w:pPr>
    <w:rPr>
      <w:rFonts w:ascii="Arial" w:hAnsi="Arial" w:eastAsia="仿宋" w:cs="Times New Roman"/>
      <w:sz w:val="3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2021-07-23T08:41:00Z</dcterms:created>
  <dc:creator>Administrator</dc:creator>
  <cp:lastModifiedBy>Administrator</cp:lastModifiedBy>
  <dcterms:modified xsi:type="dcterms:W3CDTF">2021-07-23T08:41:51Z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240AE26FAF5F41F0A037D8E6FE9327BB</vt:lpwstr>
  </property>
</Properties>
</file>