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autoSpaceDN w:val="0"/>
        <w:spacing w:line="360" w:lineRule="auto"/>
        <w:ind w:right="105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96" w:leftChars="76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汕尾市区域知识产权现状分析项目审查结果与资金分配方案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黑体" w:hAnsi="黑体" w:eastAsia="黑体" w:cs="仿宋"/>
          <w:sz w:val="28"/>
          <w:szCs w:val="28"/>
        </w:rPr>
        <w:t>单位：万元</w:t>
      </w:r>
    </w:p>
    <w:tbl>
      <w:tblPr>
        <w:tblStyle w:val="3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780"/>
        <w:gridCol w:w="270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tblHeader/>
          <w:jc w:val="center"/>
        </w:trPr>
        <w:tc>
          <w:tcPr>
            <w:tcW w:w="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  <w:t>承担单位</w:t>
            </w: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形式审查结果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拟补助</w:t>
            </w:r>
            <w:bookmarkStart w:id="0" w:name="_GoBack"/>
            <w:bookmarkEnd w:id="0"/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  <w:jc w:val="center"/>
        </w:trPr>
        <w:tc>
          <w:tcPr>
            <w:tcW w:w="8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8"/>
                <w:szCs w:val="28"/>
                <w:shd w:val="clear" w:color="auto" w:fill="FFFFFF"/>
                <w:lang w:eastAsia="zh-CN"/>
              </w:rPr>
              <w:t>广州恒成智道信息科技有限公司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通过审查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49EF"/>
    <w:rsid w:val="03443AAA"/>
    <w:rsid w:val="20BA5CAC"/>
    <w:rsid w:val="2B295E67"/>
    <w:rsid w:val="3C27008A"/>
    <w:rsid w:val="619567A6"/>
    <w:rsid w:val="722C49EF"/>
    <w:rsid w:val="751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2020-04-13T08:41:00Z</dcterms:created>
  <dc:creator>汪颖</dc:creator>
  <cp:lastModifiedBy>Administrator</cp:lastModifiedBy>
  <dcterms:modified xsi:type="dcterms:W3CDTF">2021-07-13T09:09:18Z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