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jc w:val="center"/>
        <w:rPr>
          <w:rFonts w:ascii="仿宋" w:hAnsi="仿宋" w:eastAsia="仿宋"/>
        </w:rPr>
      </w:pPr>
      <w:bookmarkStart w:id="0" w:name="bookmark1"/>
      <w:bookmarkStart w:id="1" w:name="bookmark2"/>
      <w:bookmarkStart w:id="2" w:name="bookmark0"/>
      <w:r>
        <w:rPr>
          <w:rFonts w:ascii="仿宋" w:hAnsi="仿宋" w:eastAsia="仿宋"/>
        </w:rPr>
        <w:t>广东省高标准农田建设项目符合性审核指标表</w:t>
      </w:r>
      <w:bookmarkEnd w:id="0"/>
      <w:bookmarkEnd w:id="1"/>
      <w:bookmarkEnd w:id="2"/>
    </w:p>
    <w:p>
      <w:pPr>
        <w:pStyle w:val="9"/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项目名称：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                              </w:t>
      </w:r>
      <w:r>
        <w:rPr>
          <w:rFonts w:ascii="仿宋" w:hAnsi="仿宋" w:eastAsia="仿宋"/>
        </w:rPr>
        <w:t>项目年度：</w:t>
      </w:r>
      <w:r>
        <w:rPr>
          <w:rFonts w:ascii="仿宋" w:hAnsi="仿宋" w:eastAsia="仿宋" w:cs="Times New Roman"/>
        </w:rPr>
        <w:t>20</w:t>
      </w:r>
      <w:r>
        <w:rPr>
          <w:rFonts w:hint="eastAsia" w:ascii="仿宋" w:hAnsi="仿宋" w:eastAsia="仿宋" w:cs="Times New Roman"/>
          <w:lang w:val="en-US" w:eastAsia="zh-CN"/>
        </w:rPr>
        <w:t>21</w:t>
      </w:r>
      <w:r>
        <w:rPr>
          <w:rFonts w:ascii="仿宋" w:hAnsi="仿宋" w:eastAsia="仿宋"/>
        </w:rPr>
        <w:t>年</w:t>
      </w:r>
    </w:p>
    <w:p>
      <w:pPr>
        <w:pStyle w:val="9"/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lang w:val="en-US"/>
        </w:rPr>
      </w:pPr>
      <w:r>
        <w:rPr>
          <w:rFonts w:ascii="仿宋" w:hAnsi="仿宋" w:eastAsia="仿宋"/>
        </w:rPr>
        <w:t>建设地点：</w:t>
      </w:r>
      <w:r>
        <w:rPr>
          <w:rFonts w:ascii="仿宋" w:hAnsi="仿宋" w:eastAsia="仿宋"/>
        </w:rPr>
        <w:tab/>
      </w:r>
    </w:p>
    <w:tbl>
      <w:tblPr>
        <w:tblStyle w:val="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8"/>
        <w:gridCol w:w="160"/>
        <w:gridCol w:w="6"/>
        <w:gridCol w:w="649"/>
        <w:gridCol w:w="265"/>
        <w:gridCol w:w="585"/>
        <w:gridCol w:w="1985"/>
        <w:gridCol w:w="1843"/>
        <w:gridCol w:w="1700"/>
        <w:gridCol w:w="85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内容</w:t>
            </w: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审核指标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审核要求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92" w:hRule="atLeast"/>
          <w:jc w:val="center"/>
        </w:trPr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选项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55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自然资源及生态条件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水资源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</w:rPr>
              <w:t>.项目区水源有保证，以利用地表水为主，能满足农田水量需求，水量供需平衡，水质达到农业灌溉用水要求。否则，项目不可行。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灌排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及防洪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</w:rPr>
              <w:t>.农田防洪有保障，水利灌排骨干工程基本具备。否则，项目不可行。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63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耕地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</w:rPr>
              <w:t>.项目在基本农田保护区内，比较集中连片，耕地坡度</w:t>
            </w:r>
            <w:r>
              <w:rPr>
                <w:rFonts w:ascii="仿宋" w:hAnsi="仿宋" w:eastAsia="仿宋" w:cs="Times New Roman"/>
              </w:rPr>
              <w:t>25</w:t>
            </w:r>
            <w:r>
              <w:rPr>
                <w:rFonts w:ascii="仿宋" w:hAnsi="仿宋" w:eastAsia="仿宋"/>
              </w:rPr>
              <w:t>度以下。大部分耕地不在基本农田保护区内、或过于分散、或大部分耕地坡度超过</w:t>
            </w:r>
            <w:r>
              <w:rPr>
                <w:rFonts w:ascii="仿宋" w:hAnsi="仿宋" w:eastAsia="仿宋" w:cs="Times New Roman"/>
              </w:rPr>
              <w:t>25</w:t>
            </w:r>
            <w:r>
              <w:rPr>
                <w:rFonts w:ascii="仿宋" w:hAnsi="仿宋" w:eastAsia="仿宋"/>
              </w:rPr>
              <w:t>度的，项目不可行。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86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生态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</w:rPr>
              <w:t>.农业生态条件较好，土壤未受重金属严重污染，耕地面源污染程度较轻。大部分耕地不符合上述条件的，项目不可行。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86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地方政府及群众积极性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政府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积极性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5</w:t>
            </w:r>
            <w:r>
              <w:rPr>
                <w:rFonts w:ascii="仿宋" w:hAnsi="仿宋" w:eastAsia="仿宋"/>
              </w:rPr>
              <w:t>.地方财政投入有保障，配备适应工作需要的人员并安排一定的经费。否则，项目不可行。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群众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积极性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6</w:t>
            </w:r>
            <w:r>
              <w:rPr>
                <w:rFonts w:ascii="仿宋" w:hAnsi="仿宋" w:eastAsia="仿宋"/>
              </w:rPr>
              <w:t>.农民群众自愿搞开发的积极性高。群众反对项目建设的，项目不可行。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方案</w:t>
            </w: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治理面积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7.—</w:t>
            </w:r>
            <w:r>
              <w:rPr>
                <w:rFonts w:ascii="仿宋" w:hAnsi="仿宋" w:eastAsia="仿宋"/>
              </w:rPr>
              <w:t>般项目：平原地区不低于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3000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bookmarkStart w:id="3" w:name="_GoBack"/>
            <w:bookmarkEnd w:id="3"/>
            <w:r>
              <w:rPr>
                <w:rFonts w:ascii="仿宋" w:hAnsi="仿宋" w:eastAsia="仿宋" w:cs="Times New Roman"/>
              </w:rPr>
              <w:t>000</w:t>
            </w:r>
            <w:r>
              <w:rPr>
                <w:rFonts w:ascii="仿宋" w:hAnsi="仿宋" w:eastAsia="仿宋"/>
              </w:rPr>
              <w:t>亩。龙头企业项目：平原地区不低于</w:t>
            </w:r>
            <w:r>
              <w:rPr>
                <w:rFonts w:ascii="仿宋" w:hAnsi="仿宋" w:eastAsia="仿宋" w:cs="Times New Roman"/>
              </w:rPr>
              <w:t>1000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ascii="仿宋" w:hAnsi="仿宋" w:eastAsia="仿宋" w:cs="Times New Roman"/>
              </w:rPr>
              <w:t>500</w:t>
            </w:r>
            <w:r>
              <w:rPr>
                <w:rFonts w:ascii="仿宋" w:hAnsi="仿宋" w:eastAsia="仿宋"/>
              </w:rPr>
              <w:t>亩。合作社项目：平原地区不低于</w:t>
            </w:r>
            <w:r>
              <w:rPr>
                <w:rFonts w:ascii="仿宋" w:hAnsi="仿宋" w:eastAsia="仿宋" w:cs="Times New Roman"/>
              </w:rPr>
              <w:t>500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ascii="仿宋" w:hAnsi="仿宋" w:eastAsia="仿宋" w:cs="Times New Roman"/>
              </w:rPr>
              <w:t>300</w:t>
            </w:r>
            <w:r>
              <w:rPr>
                <w:rFonts w:ascii="仿宋" w:hAnsi="仿宋" w:eastAsia="仿宋"/>
              </w:rPr>
              <w:t>亩。专业大户和家庭农场项目：平原地区不低于</w:t>
            </w:r>
            <w:r>
              <w:rPr>
                <w:rFonts w:ascii="仿宋" w:hAnsi="仿宋" w:eastAsia="仿宋" w:cs="Times New Roman"/>
              </w:rPr>
              <w:t>300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ascii="仿宋" w:hAnsi="仿宋" w:eastAsia="仿宋" w:cs="Times New Roman"/>
              </w:rPr>
              <w:t>200</w:t>
            </w:r>
            <w:r>
              <w:rPr>
                <w:rFonts w:ascii="仿宋" w:hAnsi="仿宋" w:eastAsia="仿宋"/>
              </w:rPr>
              <w:t>亩。否则项目不可行。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总体布局及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建设内容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8</w:t>
            </w:r>
            <w:r>
              <w:rPr>
                <w:rFonts w:ascii="仿宋" w:hAnsi="仿宋" w:eastAsia="仿宋"/>
              </w:rPr>
              <w:t>.项目水源工程、灌排渠系、建筑物、机耕路等总体布局和建设内容科学合理。存在严重不合理的，项目不可行。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投资估算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9</w:t>
            </w:r>
            <w:r>
              <w:rPr>
                <w:rFonts w:ascii="仿宋" w:hAnsi="仿宋" w:eastAsia="仿宋"/>
              </w:rPr>
              <w:t>.项目投资估算客观合理，投资标准符合要求，总造价合理且与建设内容吻合。存在严重不合理或不吻合情况的，项目不可行。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64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PMingLiU"/>
              </w:rPr>
            </w:pPr>
            <w:r>
              <w:rPr>
                <w:rFonts w:ascii="仿宋" w:hAnsi="仿宋" w:eastAsia="仿宋"/>
              </w:rPr>
              <w:t>申报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材料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完整性和规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范性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lang w:val="en-US" w:eastAsia="zh-CN" w:bidi="en-US"/>
              </w:rPr>
              <w:t>10.</w:t>
            </w:r>
            <w:r>
              <w:rPr>
                <w:rFonts w:ascii="仿宋" w:hAnsi="仿宋" w:eastAsia="仿宋"/>
              </w:rPr>
              <w:t>内容完整、格式规范，符合编制提纲要求，附件、附表和附图完整，符合要求。存在严重不规范、或者内容过于简单、或者缺少关键附件、附表和附图等情况，导致无法审核的，项目不可行。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26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真实性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lang w:val="en-US" w:eastAsia="zh-CN" w:bidi="en-US"/>
              </w:rPr>
              <w:t>11.</w:t>
            </w:r>
            <w:r>
              <w:rPr>
                <w:rFonts w:ascii="仿宋" w:hAnsi="仿宋" w:eastAsia="仿宋"/>
              </w:rPr>
              <w:t>现场现有灌排工程设施等情况与申报材料现状图标示的内容一致。无法核对现场，或者现状图存在多处明显不符，建设内容弄虚作假的，项目不可行。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4" w:hRule="atLeast"/>
          <w:jc w:val="center"/>
        </w:trPr>
        <w:tc>
          <w:tcPr>
            <w:tcW w:w="764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其他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项目位置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12</w:t>
            </w:r>
            <w:r>
              <w:rPr>
                <w:rFonts w:ascii="仿宋" w:hAnsi="仿宋" w:eastAsia="仿宋"/>
              </w:rPr>
              <w:t>.项目安排限于国家农业综合开发县。否则，项目不可行。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71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试点项目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13</w:t>
            </w:r>
            <w:r>
              <w:rPr>
                <w:rFonts w:ascii="仿宋" w:hAnsi="仿宋" w:eastAsia="仿宋"/>
              </w:rPr>
              <w:t>.试点项目的承担建设主体真实，龙头企业和合作社申报的，需在工商部门登记注册一年以上；用地来源手续合规。存在明显弄虚作假的，项目不可行。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14</w:t>
            </w:r>
            <w:r>
              <w:rPr>
                <w:rFonts w:ascii="仿宋" w:hAnsi="仿宋" w:eastAsia="仿宋"/>
              </w:rPr>
              <w:t>.项目单位拒绝提供评审组要求的项目现场、有关资料以及其他不配合评审组工作的情况，项目不可行。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3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15</w:t>
            </w:r>
            <w:r>
              <w:rPr>
                <w:rFonts w:ascii="仿宋" w:hAnsi="仿宋" w:eastAsia="仿宋"/>
              </w:rPr>
              <w:t>.存在可判断为项目不可行的其他情况(需详细说明)，项目不可行。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2263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评审结论</w:t>
            </w:r>
          </w:p>
          <w:p>
            <w:pPr>
              <w:pStyle w:val="11"/>
              <w:spacing w:before="100" w:beforeAutospacing="1" w:after="100" w:afterAutospacing="1" w:line="360" w:lineRule="auto"/>
              <w:ind w:hanging="13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lang w:val="en-US" w:eastAsia="en-US" w:bidi="en-US"/>
              </w:rPr>
              <w:t>(J</w:t>
            </w:r>
            <w:r>
              <w:rPr>
                <w:rFonts w:ascii="仿宋" w:hAnsi="仿宋" w:eastAsia="仿宋"/>
              </w:rPr>
              <w:t>选及填写)</w:t>
            </w:r>
          </w:p>
        </w:tc>
        <w:tc>
          <w:tcPr>
            <w:tcW w:w="7671" w:type="dxa"/>
            <w:gridSpan w:val="5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(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</w:rPr>
              <w:t>)未发现项目存在上述不可行的情况。项目存在问题及评分情况详见《评分指标表》。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2263" w:type="dxa"/>
            <w:gridSpan w:val="6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7671" w:type="dxa"/>
            <w:gridSpan w:val="5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</w:rPr>
              <w:t>)项目不可行。不可行原因如下：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评审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专家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工作单位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电话</w:t>
            </w: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leader="underscore" w:pos="3005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leader="underscore" w:pos="3005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leader="underscore" w:pos="3005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pStyle w:val="9"/>
        <w:spacing w:after="0" w:line="341" w:lineRule="exact"/>
        <w:ind w:left="160"/>
        <w:rPr>
          <w:rFonts w:ascii="仿宋" w:hAnsi="仿宋" w:eastAsia="仿宋"/>
        </w:rPr>
      </w:pPr>
      <w:r>
        <w:rPr>
          <w:rFonts w:ascii="仿宋" w:hAnsi="仿宋" w:eastAsia="仿宋"/>
        </w:rPr>
        <w:t>说明：如存在本表中明确要求评为</w:t>
      </w:r>
      <w:r>
        <w:rPr>
          <w:rFonts w:ascii="仿宋" w:hAnsi="仿宋" w:eastAsia="仿宋"/>
          <w:lang w:val="zh-CN" w:eastAsia="zh-CN" w:bidi="zh-CN"/>
        </w:rPr>
        <w:t>“不可</w:t>
      </w:r>
      <w:r>
        <w:rPr>
          <w:rFonts w:ascii="仿宋" w:hAnsi="仿宋" w:eastAsia="仿宋"/>
        </w:rPr>
        <w:t>行”任意一种情况，项目评为</w:t>
      </w:r>
      <w:r>
        <w:rPr>
          <w:rFonts w:ascii="仿宋" w:hAnsi="仿宋" w:eastAsia="仿宋"/>
          <w:lang w:val="zh-CN" w:eastAsia="zh-CN" w:bidi="zh-CN"/>
        </w:rPr>
        <w:t>“不可</w:t>
      </w:r>
      <w:r>
        <w:rPr>
          <w:rFonts w:ascii="仿宋" w:hAnsi="仿宋" w:eastAsia="仿宋"/>
        </w:rPr>
        <w:t>行”，不必再填写评分指标表；未评为不可行的项目，除填写本表外，还需填写评分指标表。</w:t>
      </w:r>
    </w:p>
    <w:sectPr>
      <w:pgSz w:w="11900" w:h="16840"/>
      <w:pgMar w:top="1476" w:right="1063" w:bottom="1306" w:left="895" w:header="1048" w:footer="878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32"/>
    <w:rsid w:val="00055003"/>
    <w:rsid w:val="0012159A"/>
    <w:rsid w:val="00155937"/>
    <w:rsid w:val="001B0A91"/>
    <w:rsid w:val="0027677C"/>
    <w:rsid w:val="00283E62"/>
    <w:rsid w:val="00303F03"/>
    <w:rsid w:val="00453F5E"/>
    <w:rsid w:val="00753BCE"/>
    <w:rsid w:val="008D5332"/>
    <w:rsid w:val="00917CAC"/>
    <w:rsid w:val="009775FE"/>
    <w:rsid w:val="00A71635"/>
    <w:rsid w:val="00B121DE"/>
    <w:rsid w:val="00D56068"/>
    <w:rsid w:val="00DC1975"/>
    <w:rsid w:val="00DE5BC6"/>
    <w:rsid w:val="00ED5E3F"/>
    <w:rsid w:val="00F41DB3"/>
    <w:rsid w:val="062E1C5F"/>
    <w:rsid w:val="26650E3B"/>
    <w:rsid w:val="279732D7"/>
    <w:rsid w:val="2CA4693B"/>
    <w:rsid w:val="4D4C540F"/>
    <w:rsid w:val="4DD638FD"/>
    <w:rsid w:val="608C29C4"/>
    <w:rsid w:val="65474BCF"/>
    <w:rsid w:val="65F96985"/>
    <w:rsid w:val="7A001C60"/>
    <w:rsid w:val="7AE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after="120"/>
      <w:outlineLvl w:val="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170" w:line="348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spacing w:line="311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1329</Characters>
  <Lines>11</Lines>
  <Paragraphs>3</Paragraphs>
  <TotalTime>61</TotalTime>
  <ScaleCrop>false</ScaleCrop>
  <LinksUpToDate>false</LinksUpToDate>
  <CharactersWithSpaces>1558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2020-07-21T01:37:00Z</dcterms:created>
  <dc:creator>Administrator</dc:creator>
  <cp:lastModifiedBy>李粤君</cp:lastModifiedBy>
  <dcterms:modified xsi:type="dcterms:W3CDTF">2021-05-11T02:38:13Z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DD5587F5369C45CDA4589FA00BB6E089</vt:lpwstr>
  </property>
</Properties>
</file>