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新能源、宠物用品展区展位申请相关说明</w:t>
      </w:r>
    </w:p>
    <w:p>
      <w:pPr>
        <w:spacing w:line="600" w:lineRule="exact"/>
        <w:jc w:val="center"/>
        <w:rPr>
          <w:rFonts w:ascii="Times New Roman" w:hAnsi="Times New Roman"/>
          <w:b/>
          <w:sz w:val="44"/>
          <w:szCs w:val="44"/>
          <w:highlight w:val="non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一、展位使用条件</w:t>
      </w:r>
    </w:p>
    <w:p>
      <w:pPr>
        <w:spacing w:line="600" w:lineRule="exact"/>
        <w:ind w:firstLine="627" w:firstLineChars="196"/>
        <w:rPr>
          <w:rFonts w:ascii="Times New Roman" w:hAnsi="Times New Roman" w:eastAsia="楷体_GB2312"/>
          <w:b w:val="0"/>
          <w:bCs/>
          <w:sz w:val="32"/>
          <w:highlight w:val="none"/>
        </w:rPr>
      </w:pPr>
      <w:r>
        <w:rPr>
          <w:rFonts w:hint="eastAsia" w:ascii="Times New Roman" w:hAnsi="Times New Roman" w:eastAsia="楷体_GB2312"/>
          <w:b w:val="0"/>
          <w:bCs/>
          <w:sz w:val="32"/>
          <w:highlight w:val="none"/>
        </w:rPr>
        <w:t>（一）参展企业资格标准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  <w:highlight w:val="none"/>
        </w:rPr>
        <w:t>1.</w:t>
      </w:r>
      <w:r>
        <w:rPr>
          <w:rFonts w:hint="eastAsia" w:ascii="仿宋_GB2312" w:hAnsi="仿宋" w:eastAsia="仿宋_GB2312" w:cs="仿宋_GB2312"/>
          <w:sz w:val="32"/>
          <w:highlight w:val="none"/>
        </w:rPr>
        <w:t>依法取得法人营业执照、进出口企业资格证书或对外贸易经营者备案登记证明，并已办理进出口企业代码；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b/>
          <w:sz w:val="32"/>
          <w:highlight w:val="none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  <w:highlight w:val="none"/>
        </w:rPr>
        <w:t>2.展品属于展区规定的展品范围（详见通告正文附件1）；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  <w:highlight w:val="none"/>
        </w:rPr>
        <w:t>3.广交会统计口径下2020年度出口额达75万美元（含），或2020年度国内销售额达500万元人民币（含）。其中，出口额核定依据为海关统计，国内销售额核定依据为经交易团审核盖章的增值税纳税申报表。</w:t>
      </w:r>
    </w:p>
    <w:p>
      <w:pPr>
        <w:spacing w:line="600" w:lineRule="exact"/>
        <w:ind w:firstLine="627" w:firstLineChars="196"/>
        <w:rPr>
          <w:rFonts w:ascii="Times New Roman" w:hAnsi="Times New Roman" w:eastAsia="楷体_GB2312"/>
          <w:b w:val="0"/>
          <w:bCs/>
          <w:sz w:val="32"/>
          <w:highlight w:val="none"/>
        </w:rPr>
      </w:pPr>
      <w:r>
        <w:rPr>
          <w:rFonts w:hint="eastAsia" w:ascii="Times New Roman" w:hAnsi="Times New Roman" w:eastAsia="楷体_GB2312"/>
          <w:b w:val="0"/>
          <w:bCs/>
          <w:sz w:val="32"/>
          <w:highlight w:val="none"/>
        </w:rPr>
        <w:t>（二）属下列情况之一的展品禁止参展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  <w:highlight w:val="none"/>
        </w:rPr>
        <w:t>1.《中国进出口商品交易会参展展品范围（出口展）》规定之外的展品。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  <w:highlight w:val="none"/>
        </w:rPr>
        <w:t>2.不符合《中华人民共和国产品质量法》《中华人民共和国进出口商品检验法》及其他有关出口产品质量法律法规规定的展品。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  <w:highlight w:val="none"/>
        </w:rPr>
        <w:t>3.涉及商标、专利、版权，但未取得合法权利证书或使用许可的展品。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  <w:highlight w:val="none"/>
        </w:rPr>
        <w:t>4.</w:t>
      </w:r>
      <w:r>
        <w:rPr>
          <w:rFonts w:hint="eastAsia" w:ascii="仿宋_GB2312" w:hAnsi="仿宋" w:eastAsia="仿宋_GB2312" w:cs="仿宋_GB2312"/>
          <w:sz w:val="32"/>
          <w:highlight w:val="none"/>
        </w:rPr>
        <w:t>被司法机关、仲裁机关或知识产权行政管理机关认定侵权的展品。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highlight w:val="none"/>
        </w:rPr>
        <w:t>5.</w:t>
      </w:r>
      <w:r>
        <w:rPr>
          <w:rFonts w:hint="eastAsia" w:ascii="仿宋_GB2312" w:hAnsi="仿宋" w:eastAsia="仿宋_GB2312" w:cs="仿宋_GB2312"/>
          <w:bCs/>
          <w:sz w:val="32"/>
          <w:szCs w:val="32"/>
          <w:highlight w:val="none"/>
        </w:rPr>
        <w:t>在商务或出入境检验检疫机构等质量监督管理部门有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不良记录且未经复检合格的展品。</w:t>
      </w:r>
    </w:p>
    <w:p>
      <w:pPr>
        <w:spacing w:line="600" w:lineRule="exact"/>
        <w:ind w:firstLine="627" w:firstLineChars="196"/>
        <w:rPr>
          <w:rFonts w:ascii="Times New Roman" w:hAnsi="Times New Roman" w:eastAsia="楷体_GB2312"/>
          <w:b w:val="0"/>
          <w:bCs/>
          <w:sz w:val="32"/>
          <w:highlight w:val="none"/>
        </w:rPr>
      </w:pPr>
      <w:r>
        <w:rPr>
          <w:rFonts w:hint="eastAsia" w:ascii="Times New Roman" w:hAnsi="Times New Roman" w:eastAsia="楷体_GB2312"/>
          <w:b w:val="0"/>
          <w:bCs/>
          <w:sz w:val="32"/>
          <w:highlight w:val="none"/>
        </w:rPr>
        <w:t>（三）属下列情况之一的企业禁止参展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highlight w:val="none"/>
        </w:rPr>
        <w:t>1.商务部及地方各级商务主管部门向社会公告的违法违规企业，在公告期内禁止参展。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highlight w:val="none"/>
        </w:rPr>
        <w:t>2.国家工商、海关、税务、质检、外汇、环保等部门通报的违法违规企业，在处罚期限内禁止参展；无处罚期限的，从处罚之日起连续六届禁止参展。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highlight w:val="none"/>
        </w:rPr>
        <w:t>3.因违规转让或转（租）卖广交会展位、涉嫌重大展品质量与贸易纠纷投诉、知识产权侵权等违反大会相关规定，并处于被取消参展资格处罚期限内的企业。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highlight w:val="none"/>
        </w:rPr>
        <w:t>4.因拒不服从大会管理、破坏展览秩序等其他行为，对广交会声誉或正常运营造成较大不良影响，被取消参展资格的企业。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二、参展申请材料清单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（一）经盖章确认的参展申请表（线下提交）；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（二）企业营业执照（线上提交）；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进出口企业资格证书或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外贸经营者备案登记证明（线上提交）；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（四）企业海关编码对应的海关报关注册登记证书，如需使用全资或控股子公司海关编码的，需提交相关股权关系的第三方证明文件（线上提交）；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（五）2020年国内销售额证明，即经交易团审核盖章的2020年度增值税纳税申报表（线下提交）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（六）符合申请展区展品范围的产品介绍、图片，以及相关发明专利、境外商标、行业认证及境外专业展参展相关证明等（线上提交）。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三、填报注意事项</w:t>
      </w:r>
    </w:p>
    <w:p>
      <w:pPr>
        <w:spacing w:line="600" w:lineRule="exact"/>
        <w:ind w:firstLine="63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（一）新能源、宠物用品展区下设展品专区，并对不同专区设置不同的展位安排标准，请务必如实谨慎填报，具体为：</w:t>
      </w:r>
    </w:p>
    <w:p>
      <w:pPr>
        <w:spacing w:line="600" w:lineRule="exact"/>
        <w:ind w:firstLine="63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新能源展区：太阳能光伏产品、太阳能光热产品、风能及其他新能源产品；</w:t>
      </w:r>
    </w:p>
    <w:p>
      <w:pPr>
        <w:spacing w:line="600" w:lineRule="exact"/>
        <w:ind w:firstLine="63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宠物用品展区：宠物用品、宠物食品。</w:t>
      </w:r>
    </w:p>
    <w:p>
      <w:pPr>
        <w:spacing w:line="600" w:lineRule="exact"/>
        <w:ind w:firstLine="63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二）根据海关编码统计的出口额，是展位安排的重要参考标准。请按操作指引对企业海关编码进行确认，允许使用全资或控股子公司海关编码，但须同时提供相关股权关系证明，且该子公司不得再申请该展区展位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B35C2"/>
    <w:rsid w:val="313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2021-05-06T08:27:00Z</dcterms:created>
  <dc:creator>Administrator</dc:creator>
  <cp:lastModifiedBy>Administrator</cp:lastModifiedBy>
  <dcterms:modified xsi:type="dcterms:W3CDTF">2021-05-06T08:27:34Z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