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方正小标宋简体" w:eastAsia="方正小标宋简体" w:cs="方正小标宋简体"/>
          <w:b w:val="0"/>
          <w:bCs w:val="0"/>
          <w:color w:val="000000" w:themeColor="text1"/>
          <w:sz w:val="44"/>
          <w:szCs w:val="44"/>
        </w:rPr>
      </w:pPr>
      <w:r>
        <w:rPr>
          <w:rFonts w:hint="eastAsia" w:ascii="方正小标宋简体" w:hAnsi="方正小标宋简体" w:eastAsia="方正小标宋简体" w:cs="方正小标宋简体"/>
          <w:b w:val="0"/>
          <w:bCs w:val="0"/>
          <w:color w:val="000000" w:themeColor="text1"/>
          <w:sz w:val="44"/>
          <w:szCs w:val="44"/>
        </w:rPr>
        <w:t>汕尾市工程建设项目策划生成工作实施</w:t>
      </w:r>
    </w:p>
    <w:p>
      <w:pPr>
        <w:snapToGrid w:val="0"/>
        <w:spacing w:line="570" w:lineRule="exact"/>
        <w:jc w:val="center"/>
        <w:rPr>
          <w:rFonts w:ascii="仿宋" w:hAnsi="仿宋" w:eastAsia="仿宋"/>
          <w:b/>
          <w:bCs/>
          <w:color w:val="000000" w:themeColor="text1"/>
          <w:sz w:val="44"/>
          <w:szCs w:val="44"/>
        </w:rPr>
      </w:pPr>
      <w:r>
        <w:rPr>
          <w:rFonts w:hint="eastAsia" w:ascii="方正小标宋简体" w:hAnsi="方正小标宋简体" w:eastAsia="方正小标宋简体" w:cs="方正小标宋简体"/>
          <w:b w:val="0"/>
          <w:bCs w:val="0"/>
          <w:color w:val="000000" w:themeColor="text1"/>
          <w:sz w:val="44"/>
          <w:szCs w:val="44"/>
        </w:rPr>
        <w:t>操作细则</w:t>
      </w:r>
    </w:p>
    <w:p>
      <w:pPr>
        <w:pStyle w:val="3"/>
        <w:jc w:val="center"/>
        <w:rPr>
          <w:rFonts w:hint="eastAsia" w:ascii="黑体" w:hAnsi="黑体" w:eastAsia="黑体" w:cs="黑体"/>
          <w:b w:val="0"/>
          <w:bCs/>
          <w:color w:val="000000" w:themeColor="text1"/>
          <w:szCs w:val="32"/>
        </w:rPr>
      </w:pPr>
      <w:r>
        <w:rPr>
          <w:rFonts w:hint="eastAsia" w:ascii="黑体" w:hAnsi="黑体" w:eastAsia="黑体" w:cs="黑体"/>
          <w:b w:val="0"/>
          <w:bCs/>
          <w:color w:val="000000" w:themeColor="text1"/>
          <w:sz w:val="36"/>
          <w:szCs w:val="36"/>
        </w:rPr>
        <w:t>第一章 总则</w:t>
      </w:r>
    </w:p>
    <w:p>
      <w:pPr>
        <w:pageBreakBefore w:val="0"/>
        <w:widowControl w:val="0"/>
        <w:tabs>
          <w:tab w:val="left" w:pos="0"/>
        </w:tabs>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bookmarkStart w:id="4" w:name="_GoBack"/>
      <w:r>
        <w:rPr>
          <w:rFonts w:hint="eastAsia" w:ascii="仿宋" w:hAnsi="仿宋" w:eastAsia="仿宋"/>
          <w:color w:val="000000" w:themeColor="text1"/>
          <w:sz w:val="32"/>
          <w:szCs w:val="32"/>
        </w:rPr>
        <w:t>第一条 为进一步落实《汕尾市工程建设项目策划生成管理暂行办法》（下称《办法》）要求，规范工程建设项目在汕尾市“多规合一”业务协同平台上开展项目策划生成，提高项目策划生成工作效率，制定本细则。</w:t>
      </w:r>
    </w:p>
    <w:p>
      <w:pPr>
        <w:pageBreakBefore w:val="0"/>
        <w:widowControl w:val="0"/>
        <w:tabs>
          <w:tab w:val="left" w:pos="0"/>
        </w:tabs>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第二条 本细则适用于汕尾市范围内的市本级政府投资类项目和社会投资类项目。工程建设项目策划生成管理工作依托汕尾市“多规合一”业务协同平台（下称“协同平台”）具体实施。</w:t>
      </w:r>
    </w:p>
    <w:p>
      <w:pPr>
        <w:pageBreakBefore w:val="0"/>
        <w:widowControl w:val="0"/>
        <w:tabs>
          <w:tab w:val="left" w:pos="0"/>
        </w:tabs>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装饰装修工程可不纳入项目策划生成管理。</w:t>
      </w:r>
    </w:p>
    <w:p>
      <w:pPr>
        <w:pageBreakBefore w:val="0"/>
        <w:widowControl w:val="0"/>
        <w:tabs>
          <w:tab w:val="left" w:pos="0"/>
        </w:tabs>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需上报国家、省审批，特殊重大项目或涉及军事、保密的项目，不适用本细则，按有关规定执行。</w:t>
      </w:r>
    </w:p>
    <w:p>
      <w:pPr>
        <w:pageBreakBefore w:val="0"/>
        <w:widowControl w:val="0"/>
        <w:tabs>
          <w:tab w:val="left" w:pos="0"/>
        </w:tabs>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第三条 市发展改革局会同市自然资源局负责协同平台工程建设项目策划生成运行工作的统筹协调和监督落实。各相关部门依照本细则具体负责推进项目生成工作。</w:t>
      </w:r>
    </w:p>
    <w:p>
      <w:pPr>
        <w:pageBreakBefore w:val="0"/>
        <w:widowControl w:val="0"/>
        <w:tabs>
          <w:tab w:val="left" w:pos="0"/>
        </w:tabs>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第四条 各相关部门在协同平台上传的意见应为本部门的正式意见，作为后续项目审批的依据。各相关部门后续审批意见原则上不得在协同平台上提出的意见相抵触。各部门和单位应在规定的时限内反馈明确意见。</w:t>
      </w:r>
    </w:p>
    <w:p>
      <w:pPr>
        <w:pStyle w:val="3"/>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Cs w:val="32"/>
        </w:rPr>
      </w:pPr>
      <w:bookmarkStart w:id="0" w:name="_Hlk46845180"/>
      <w:r>
        <w:rPr>
          <w:rFonts w:hint="eastAsia" w:ascii="黑体" w:hAnsi="黑体" w:eastAsia="黑体" w:cs="黑体"/>
          <w:b w:val="0"/>
          <w:bCs/>
          <w:color w:val="000000" w:themeColor="text1"/>
          <w:sz w:val="36"/>
          <w:szCs w:val="36"/>
        </w:rPr>
        <w:t>第二章 政府投资项目策划生成流</w:t>
      </w:r>
      <w:bookmarkEnd w:id="0"/>
      <w:r>
        <w:rPr>
          <w:rFonts w:hint="eastAsia" w:ascii="黑体" w:hAnsi="黑体" w:eastAsia="黑体" w:cs="黑体"/>
          <w:b w:val="0"/>
          <w:bCs/>
          <w:color w:val="000000" w:themeColor="text1"/>
          <w:sz w:val="36"/>
          <w:szCs w:val="36"/>
        </w:rPr>
        <w:t>程</w:t>
      </w:r>
    </w:p>
    <w:p>
      <w:pPr>
        <w:pageBreakBefore w:val="0"/>
        <w:widowControl w:val="0"/>
        <w:tabs>
          <w:tab w:val="left" w:pos="0"/>
        </w:tabs>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第五条 </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rPr>
        <w:t>政府投资项目策划生成包括项目储备阶段、项目协调阶段、成果应用阶段。</w:t>
      </w:r>
    </w:p>
    <w:p>
      <w:pPr>
        <w:pageBreakBefore w:val="0"/>
        <w:widowControl w:val="0"/>
        <w:tabs>
          <w:tab w:val="left" w:pos="0"/>
        </w:tabs>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项目储备阶段。政府投资项目储备库由市发展改革局负责管理。各项目主管部门及时申报纳入政府投资项目储备库，并于每年9月底前由项目主管部门对纳入政府投资项目储备库的项目向市发展改革局申报拟纳入下一年度政府投资项目计划的项目。</w:t>
      </w:r>
    </w:p>
    <w:p>
      <w:pPr>
        <w:pageBreakBefore w:val="0"/>
        <w:widowControl w:val="0"/>
        <w:tabs>
          <w:tab w:val="left" w:pos="0"/>
        </w:tabs>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项目协调阶段。市发展和改革局初步审核并赋予投资项目统一代码后，推送至市自然资源局开展合规性审查和组织联合审查，并汇总形成审查意见报告推送市发展改革局。不符合要求的项目重新返回项目库，由项目主管部门按要求进行补充完善。</w:t>
      </w:r>
    </w:p>
    <w:p>
      <w:pPr>
        <w:pageBreakBefore w:val="0"/>
        <w:widowControl w:val="0"/>
        <w:tabs>
          <w:tab w:val="left" w:pos="0"/>
        </w:tabs>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成果应用阶段。市发展改革局收到审查意见报告后，结合实际情况编制下一年度政府投资项目计划草案，征求财政部门意见后报市政府审定实施。</w:t>
      </w:r>
    </w:p>
    <w:p>
      <w:pPr>
        <w:pageBreakBefore w:val="0"/>
        <w:widowControl w:val="0"/>
        <w:tabs>
          <w:tab w:val="left" w:pos="0"/>
        </w:tabs>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第六条 </w:t>
      </w:r>
      <w:r>
        <w:rPr>
          <w:rFonts w:ascii="仿宋" w:hAnsi="仿宋" w:eastAsia="仿宋"/>
          <w:color w:val="000000" w:themeColor="text1"/>
          <w:sz w:val="32"/>
          <w:szCs w:val="32"/>
        </w:rPr>
        <w:t xml:space="preserve"> 政府投资项目策划生成</w:t>
      </w:r>
      <w:r>
        <w:rPr>
          <w:rFonts w:hint="eastAsia" w:ascii="仿宋" w:hAnsi="仿宋" w:eastAsia="仿宋"/>
          <w:color w:val="000000" w:themeColor="text1"/>
          <w:sz w:val="32"/>
          <w:szCs w:val="32"/>
        </w:rPr>
        <w:t>具体操作流</w:t>
      </w:r>
      <w:r>
        <w:rPr>
          <w:rFonts w:ascii="仿宋" w:hAnsi="仿宋" w:eastAsia="仿宋"/>
          <w:color w:val="000000" w:themeColor="text1"/>
          <w:sz w:val="32"/>
          <w:szCs w:val="32"/>
        </w:rPr>
        <w:t>程</w:t>
      </w:r>
      <w:r>
        <w:rPr>
          <w:rFonts w:hint="eastAsia" w:ascii="仿宋" w:hAnsi="仿宋" w:eastAsia="仿宋"/>
          <w:color w:val="000000" w:themeColor="text1"/>
          <w:sz w:val="32"/>
          <w:szCs w:val="32"/>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w:t>
      </w:r>
      <w:r>
        <w:rPr>
          <w:rFonts w:hint="eastAsia" w:ascii="仿宋" w:hAnsi="仿宋" w:eastAsia="仿宋"/>
          <w:color w:val="000000" w:themeColor="text1"/>
          <w:sz w:val="32"/>
          <w:szCs w:val="32"/>
        </w:rPr>
        <w:t>项目信息填报：项目主管单位在协同平台填报项目信息提供预选址范围，相关信息通过协同平台推送至市发展改革局。</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2.项目信息审核：市发展改革局在</w:t>
      </w:r>
      <w:r>
        <w:rPr>
          <w:rFonts w:ascii="仿宋" w:hAnsi="仿宋" w:eastAsia="仿宋"/>
          <w:color w:val="000000" w:themeColor="text1"/>
          <w:sz w:val="32"/>
          <w:szCs w:val="32"/>
        </w:rPr>
        <w:t>7</w:t>
      </w:r>
      <w:r>
        <w:rPr>
          <w:rFonts w:hint="eastAsia" w:ascii="仿宋" w:hAnsi="仿宋" w:eastAsia="仿宋"/>
          <w:color w:val="000000" w:themeColor="text1"/>
          <w:sz w:val="32"/>
          <w:szCs w:val="32"/>
        </w:rPr>
        <w:t>个工作日内，对项目初步建设内容、规模等信息进行审核，并将审核意见推送市自然资源局。</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3．合规性审查：市自然资源局在1</w:t>
      </w:r>
      <w:r>
        <w:rPr>
          <w:rFonts w:ascii="仿宋" w:hAnsi="仿宋" w:eastAsia="仿宋"/>
          <w:color w:val="000000" w:themeColor="text1"/>
          <w:sz w:val="32"/>
          <w:szCs w:val="32"/>
        </w:rPr>
        <w:t>0个工作日内</w:t>
      </w:r>
      <w:r>
        <w:rPr>
          <w:rFonts w:hint="eastAsia" w:ascii="仿宋" w:hAnsi="仿宋" w:eastAsia="仿宋"/>
          <w:color w:val="000000" w:themeColor="text1"/>
          <w:sz w:val="32"/>
          <w:szCs w:val="32"/>
        </w:rPr>
        <w:t>，对项目是否符合相关规划要求（国土空间规划、控制性详细规划等）、划拨用地目录、集约节约用地要求等，形成合规性审查意见。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4.联合审查：通过协同平台将合规性审查意见推送至各县（市、区）、住建、生态环境、水务、国安、交通、教育、民政等部门，按需征求相关职能部门意见。各相关职能部门应在</w:t>
      </w:r>
      <w:r>
        <w:rPr>
          <w:rFonts w:ascii="仿宋" w:hAnsi="仿宋" w:eastAsia="仿宋"/>
          <w:color w:val="000000" w:themeColor="text1"/>
          <w:sz w:val="32"/>
          <w:szCs w:val="32"/>
        </w:rPr>
        <w:t>7</w:t>
      </w:r>
      <w:r>
        <w:rPr>
          <w:rFonts w:hint="eastAsia" w:ascii="仿宋" w:hAnsi="仿宋" w:eastAsia="仿宋"/>
          <w:color w:val="000000" w:themeColor="text1"/>
          <w:sz w:val="32"/>
          <w:szCs w:val="32"/>
        </w:rPr>
        <w:t>个工作日内通过业务协同平台反馈意见。在预计划项目数量多或遇重大复杂项目的情况下，相关部门可与市发展改革局协商，适当延长合规性审查和反馈意见的工作时限。</w:t>
      </w:r>
      <w:bookmarkStart w:id="1" w:name="_Hlk46912131"/>
      <w:r>
        <w:rPr>
          <w:rFonts w:hint="eastAsia" w:ascii="仿宋" w:hAnsi="仿宋" w:eastAsia="仿宋"/>
          <w:color w:val="000000" w:themeColor="text1"/>
          <w:sz w:val="32"/>
          <w:szCs w:val="32"/>
        </w:rPr>
        <w:t>相关职能部门意见包括但不限于：</w:t>
      </w:r>
      <w:bookmarkEnd w:id="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住建部门对排水管道、污水处理设施等提出相关规划意见，核实市政等配套设施是否完善；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生态环境部门核实是否符合环境保护规划，提出环评预审意见；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水务部门核实否符合防洪、水源保护专项规划，提出防洪、水源保护意见；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国安部门核实是否压覆国安专项规划，提出预审意见；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交通部门核实是否符合交通规划，提出预审意见；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教育部门对居住地块需按照《中华人民共和国义务教育反》、《城市居住区规划设计规划》、《广东省学前教育三年行动计划》等有关规定执行，按人均居住需求配备学前教育及义务教育阶段教育科教用地，即对居住地块是否需要配套教育，教育设施用地位置及配建方式提出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民政部门对市政交通设施、城市公共空间名称命名等提出预审意见；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bookmarkStart w:id="2" w:name="_Hlk46908399"/>
      <w:r>
        <w:rPr>
          <w:rFonts w:hint="eastAsia" w:ascii="仿宋" w:hAnsi="仿宋" w:eastAsia="仿宋"/>
          <w:color w:val="000000" w:themeColor="text1"/>
          <w:sz w:val="32"/>
          <w:szCs w:val="32"/>
        </w:rPr>
        <w:t>文广部门核实是否符合文物保护规划、保护范围和建设控制地带，提出预审意见；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应急部门对用地周边及地块自身是否存在易燃易爆问题提出安全相关意见；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统战部门对用地周边及地块是否涉及宗教场所等，提出相关意见；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人防部门对居住地块是否需要配建防空地下室提出相关意见；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气象部门对用地周边及地块自身是否影响气象探测环境、是否需要气候可行性论证、是否需要雷电灾害风险评估等提出相关意见；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工信部门核实是否符合园区相关规划、产业政策等。</w:t>
      </w:r>
    </w:p>
    <w:bookmarkEnd w:id="2"/>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5.审查意见汇总：市自然资源局在</w:t>
      </w:r>
      <w:r>
        <w:rPr>
          <w:rFonts w:ascii="仿宋" w:hAnsi="仿宋" w:eastAsia="仿宋"/>
          <w:color w:val="000000" w:themeColor="text1"/>
          <w:sz w:val="32"/>
          <w:szCs w:val="32"/>
        </w:rPr>
        <w:t>5个工作日内将合规性审查</w:t>
      </w:r>
      <w:r>
        <w:rPr>
          <w:rFonts w:hint="eastAsia" w:ascii="仿宋" w:hAnsi="仿宋" w:eastAsia="仿宋"/>
          <w:color w:val="000000" w:themeColor="text1"/>
          <w:sz w:val="32"/>
          <w:szCs w:val="32"/>
        </w:rPr>
        <w:t>和联合审查的</w:t>
      </w:r>
      <w:r>
        <w:rPr>
          <w:rFonts w:ascii="仿宋" w:hAnsi="仿宋" w:eastAsia="仿宋"/>
          <w:color w:val="000000" w:themeColor="text1"/>
          <w:sz w:val="32"/>
          <w:szCs w:val="32"/>
        </w:rPr>
        <w:t>意见</w:t>
      </w:r>
      <w:r>
        <w:rPr>
          <w:rFonts w:hint="eastAsia" w:ascii="仿宋" w:hAnsi="仿宋" w:eastAsia="仿宋"/>
          <w:color w:val="000000" w:themeColor="text1"/>
          <w:sz w:val="32"/>
          <w:szCs w:val="32"/>
        </w:rPr>
        <w:t>汇总形成审查意见报告</w:t>
      </w:r>
      <w:r>
        <w:rPr>
          <w:rFonts w:ascii="仿宋" w:hAnsi="仿宋" w:eastAsia="仿宋"/>
          <w:color w:val="000000" w:themeColor="text1"/>
          <w:sz w:val="32"/>
          <w:szCs w:val="32"/>
        </w:rPr>
        <w:t>推送至</w:t>
      </w:r>
      <w:r>
        <w:rPr>
          <w:rFonts w:hint="eastAsia" w:ascii="仿宋" w:hAnsi="仿宋" w:eastAsia="仿宋"/>
          <w:color w:val="000000" w:themeColor="text1"/>
          <w:sz w:val="32"/>
          <w:szCs w:val="32"/>
        </w:rPr>
        <w:t>市</w:t>
      </w:r>
      <w:r>
        <w:rPr>
          <w:rFonts w:ascii="仿宋" w:hAnsi="仿宋" w:eastAsia="仿宋"/>
          <w:color w:val="000000" w:themeColor="text1"/>
          <w:sz w:val="32"/>
          <w:szCs w:val="32"/>
        </w:rPr>
        <w:t>发展改革</w:t>
      </w:r>
      <w:r>
        <w:rPr>
          <w:rFonts w:hint="eastAsia" w:ascii="仿宋" w:hAnsi="仿宋" w:eastAsia="仿宋"/>
          <w:color w:val="000000" w:themeColor="text1"/>
          <w:sz w:val="32"/>
          <w:szCs w:val="32"/>
        </w:rPr>
        <w:t>局。</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6.审查成果应用：市</w:t>
      </w:r>
      <w:r>
        <w:rPr>
          <w:rFonts w:ascii="仿宋" w:hAnsi="仿宋" w:eastAsia="仿宋"/>
          <w:color w:val="000000" w:themeColor="text1"/>
          <w:sz w:val="32"/>
          <w:szCs w:val="32"/>
        </w:rPr>
        <w:t>发展改革</w:t>
      </w:r>
      <w:r>
        <w:rPr>
          <w:rFonts w:hint="eastAsia" w:ascii="仿宋" w:hAnsi="仿宋" w:eastAsia="仿宋"/>
          <w:color w:val="000000" w:themeColor="text1"/>
          <w:sz w:val="32"/>
          <w:szCs w:val="32"/>
        </w:rPr>
        <w:t>局对具备建设条件的项目</w:t>
      </w:r>
      <w:r>
        <w:rPr>
          <w:rFonts w:ascii="仿宋" w:hAnsi="仿宋" w:eastAsia="仿宋"/>
          <w:color w:val="000000" w:themeColor="text1"/>
          <w:sz w:val="32"/>
          <w:szCs w:val="32"/>
        </w:rPr>
        <w:t>按相关规定</w:t>
      </w:r>
      <w:r>
        <w:rPr>
          <w:rFonts w:hint="eastAsia" w:ascii="仿宋" w:hAnsi="仿宋" w:eastAsia="仿宋"/>
          <w:color w:val="000000" w:themeColor="text1"/>
          <w:sz w:val="32"/>
          <w:szCs w:val="32"/>
        </w:rPr>
        <w:t>审核</w:t>
      </w:r>
      <w:r>
        <w:rPr>
          <w:rFonts w:ascii="仿宋" w:hAnsi="仿宋" w:eastAsia="仿宋"/>
          <w:color w:val="000000" w:themeColor="text1"/>
          <w:sz w:val="32"/>
          <w:szCs w:val="32"/>
        </w:rPr>
        <w:t>报批</w:t>
      </w:r>
      <w:r>
        <w:rPr>
          <w:rFonts w:hint="eastAsia" w:ascii="仿宋" w:hAnsi="仿宋" w:eastAsia="仿宋"/>
          <w:color w:val="000000" w:themeColor="text1"/>
          <w:sz w:val="32"/>
          <w:szCs w:val="32"/>
        </w:rPr>
        <w:t>后纳</w:t>
      </w:r>
      <w:r>
        <w:rPr>
          <w:rFonts w:ascii="仿宋" w:hAnsi="仿宋" w:eastAsia="仿宋"/>
          <w:color w:val="000000" w:themeColor="text1"/>
          <w:sz w:val="32"/>
          <w:szCs w:val="32"/>
        </w:rPr>
        <w:t>入项目生成库</w:t>
      </w:r>
      <w:r>
        <w:rPr>
          <w:rFonts w:hint="eastAsia" w:ascii="仿宋" w:hAnsi="仿宋" w:eastAsia="仿宋"/>
          <w:color w:val="000000" w:themeColor="text1"/>
          <w:sz w:val="32"/>
          <w:szCs w:val="32"/>
        </w:rPr>
        <w:t>，并列</w:t>
      </w:r>
      <w:r>
        <w:rPr>
          <w:rFonts w:ascii="仿宋" w:hAnsi="仿宋" w:eastAsia="仿宋"/>
          <w:color w:val="000000" w:themeColor="text1"/>
          <w:sz w:val="32"/>
          <w:szCs w:val="32"/>
        </w:rPr>
        <w:t>入</w:t>
      </w:r>
      <w:r>
        <w:rPr>
          <w:rFonts w:hint="eastAsia" w:ascii="仿宋" w:hAnsi="仿宋" w:eastAsia="仿宋"/>
          <w:color w:val="000000" w:themeColor="text1"/>
          <w:sz w:val="32"/>
          <w:szCs w:val="32"/>
        </w:rPr>
        <w:t>年度政府投资项目计划。策划成熟的项目信息由协同平台通过投资项目统一代码与市工程建设项目审批管理系统对接，作为推进项目后续行政审批流程的依据。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对于未通过符合性审查，但市委、市政府确定要实施的特别重大项目，由市自然资源局组织相关部门研究规划调整的可行性，并出具书面意见。对于具备规划调整可行性的项目，由市发展改革局先行列入年度政府投资项目计划草案；对于经协调无法就规划调整达成一致意见的且牵涉重大问题的项目，由市发展改革局专题请示市政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7.项目变更：项目生成后，需要进行项目调整和增补的，以市委、市政府决策作为依据，由市</w:t>
      </w:r>
      <w:r>
        <w:rPr>
          <w:rFonts w:ascii="仿宋" w:hAnsi="仿宋" w:eastAsia="仿宋"/>
          <w:color w:val="000000" w:themeColor="text1"/>
          <w:sz w:val="32"/>
          <w:szCs w:val="32"/>
        </w:rPr>
        <w:t>发展改革</w:t>
      </w:r>
      <w:r>
        <w:rPr>
          <w:rFonts w:hint="eastAsia" w:ascii="仿宋" w:hAnsi="仿宋" w:eastAsia="仿宋"/>
          <w:color w:val="000000" w:themeColor="text1"/>
          <w:sz w:val="32"/>
          <w:szCs w:val="32"/>
        </w:rPr>
        <w:t>局通过年度政府投资项目调整计划作补充完善。</w:t>
      </w:r>
    </w:p>
    <w:p>
      <w:pPr>
        <w:pStyle w:val="3"/>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 w:val="36"/>
          <w:szCs w:val="36"/>
        </w:rPr>
      </w:pPr>
      <w:r>
        <w:rPr>
          <w:rFonts w:hint="eastAsia" w:ascii="黑体" w:hAnsi="黑体" w:eastAsia="黑体" w:cs="黑体"/>
          <w:b w:val="0"/>
          <w:bCs/>
          <w:color w:val="000000" w:themeColor="text1"/>
          <w:sz w:val="36"/>
          <w:szCs w:val="36"/>
        </w:rPr>
        <w:t>第三章 社会投资项目策划生成流程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第七条 </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rPr>
        <w:t>社会投资类项目原则上落实社会投资自主权，在符合产业政策和指导目录的前提下，由各级政府、开发区管委会、行业主管部门等招商或主管部门牵头以“一事一议”流程，根据项目开发意向组织建设主体申报策划生成。策划生成包括项目启动阶段、项目协调阶段、成果应用阶段。</w:t>
      </w:r>
    </w:p>
    <w:p>
      <w:pPr>
        <w:pStyle w:val="2"/>
        <w:pageBreakBefore w:val="0"/>
        <w:widowControl w:val="0"/>
        <w:kinsoku/>
        <w:wordWrap/>
        <w:overflowPunct/>
        <w:topLinePunct w:val="0"/>
        <w:autoSpaceDE/>
        <w:autoSpaceDN/>
        <w:bidi w:val="0"/>
        <w:adjustRightInd/>
        <w:snapToGrid/>
        <w:spacing w:line="600" w:lineRule="exact"/>
        <w:textAlignment w:val="auto"/>
        <w:rPr>
          <w:color w:val="000000" w:themeColor="text1"/>
        </w:rPr>
      </w:pPr>
      <w:r>
        <w:rPr>
          <w:rFonts w:hint="eastAsia" w:ascii="仿宋" w:hAnsi="仿宋" w:eastAsia="仿宋"/>
          <w:color w:val="000000" w:themeColor="text1"/>
          <w:sz w:val="32"/>
          <w:szCs w:val="32"/>
        </w:rPr>
        <w:t xml:space="preserve">    项目启动阶段。招商或主管部门牵头组织研究项目建设方案，确定建设规模、规划条件和用地要求等，并在协同平台上填报信息提供预选址范围，申报启动项目策划生成。</w:t>
      </w:r>
    </w:p>
    <w:p>
      <w:pPr>
        <w:pageBreakBefore w:val="0"/>
        <w:widowControl w:val="0"/>
        <w:tabs>
          <w:tab w:val="left" w:pos="0"/>
        </w:tabs>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项目协调阶段。市自然资源局开展合规性审查和组织联合审查，并汇总形成审查意见报告推送至项目的招商或主管部门。不符合要求的项目需按要求组织补充完善相应内容重新启动策划生成。</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成果应用阶段。对符合要求的项目市自然资源局纳入年度土地储备用地计划并按程序报批，项目的招商或主管部门按规定开展相关报批手续，市发展改革局纳入相应的项目管理。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bookmarkStart w:id="3" w:name="_Hlk46848699"/>
      <w:r>
        <w:rPr>
          <w:rFonts w:hint="eastAsia" w:ascii="仿宋" w:hAnsi="仿宋" w:eastAsia="仿宋"/>
          <w:color w:val="000000" w:themeColor="text1"/>
          <w:sz w:val="32"/>
          <w:szCs w:val="32"/>
        </w:rPr>
        <w:t xml:space="preserve">第八条 </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rPr>
        <w:t>社会投资项目策划生成具体操作流</w:t>
      </w:r>
      <w:r>
        <w:rPr>
          <w:rFonts w:ascii="仿宋" w:hAnsi="仿宋" w:eastAsia="仿宋"/>
          <w:color w:val="000000" w:themeColor="text1"/>
          <w:sz w:val="32"/>
          <w:szCs w:val="32"/>
        </w:rPr>
        <w:t>程</w:t>
      </w:r>
    </w:p>
    <w:bookmarkEnd w:id="3"/>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1</w:t>
      </w:r>
      <w:r>
        <w:rPr>
          <w:rFonts w:ascii="仿宋" w:hAnsi="仿宋" w:eastAsia="仿宋"/>
          <w:color w:val="000000" w:themeColor="text1"/>
          <w:sz w:val="32"/>
          <w:szCs w:val="32"/>
        </w:rPr>
        <w:t>.</w:t>
      </w:r>
      <w:r>
        <w:rPr>
          <w:rFonts w:hint="eastAsia" w:ascii="仿宋" w:hAnsi="仿宋" w:eastAsia="仿宋"/>
          <w:color w:val="000000" w:themeColor="text1"/>
          <w:sz w:val="32"/>
          <w:szCs w:val="32"/>
        </w:rPr>
        <w:t>项目信息填报：招商或主管部门牵头组织在协同平台填报项目信息，提供预选址范围（坐标矢量文件）、产业类型、建设内容及规模等相关前期材料，并通过协同平台发送至市自然资源局，启动项目策划。</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2．合规性审查：市自然资源部门在</w:t>
      </w:r>
      <w:r>
        <w:rPr>
          <w:rFonts w:ascii="仿宋" w:hAnsi="仿宋" w:eastAsia="仿宋"/>
          <w:color w:val="000000" w:themeColor="text1"/>
          <w:sz w:val="32"/>
          <w:szCs w:val="32"/>
        </w:rPr>
        <w:t>10个工作日内</w:t>
      </w:r>
      <w:r>
        <w:rPr>
          <w:rFonts w:hint="eastAsia" w:ascii="仿宋" w:hAnsi="仿宋" w:eastAsia="仿宋"/>
          <w:color w:val="000000" w:themeColor="text1"/>
          <w:sz w:val="32"/>
          <w:szCs w:val="32"/>
        </w:rPr>
        <w:t>，对项目是否符合相关规划要求（国土空间规划、控制性详细规划等）及相关政策要求等，形成合规性审查意见。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3.联合审查：根据项目性质通过协同平台将合规性审查意见推送至发展改革、住建、生态环境、工信、水务、国安、交通、教育、民政等部门，按需征求相关职能部门意见。各相关职能部门在</w:t>
      </w:r>
      <w:r>
        <w:rPr>
          <w:rFonts w:ascii="仿宋" w:hAnsi="仿宋" w:eastAsia="仿宋"/>
          <w:color w:val="000000" w:themeColor="text1"/>
          <w:sz w:val="32"/>
          <w:szCs w:val="32"/>
        </w:rPr>
        <w:t>7</w:t>
      </w:r>
      <w:r>
        <w:rPr>
          <w:rFonts w:hint="eastAsia" w:ascii="仿宋" w:hAnsi="仿宋" w:eastAsia="仿宋"/>
          <w:color w:val="000000" w:themeColor="text1"/>
          <w:sz w:val="32"/>
          <w:szCs w:val="32"/>
        </w:rPr>
        <w:t>个工作日内通过业务协同平台从以下方面反馈意见。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相关职能部门意见包括但不限于：</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发展改革部门核实是否符合相关产业政策和投资目录；</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住建部门对排水管道、污水处理设施等提出相关规划意见，核实市政等配套设施是否完善；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生态环境部门核实是否符合环境保护规划，提出环评预审意见；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水务部门核实否符合防洪、水源保护专项规划，提出防洪、水源保护意见；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国安部门核实是否压覆国安专项规划，提出预审意见；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交通部门核实是否符合交通规划，提出预审意见；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教育部门对居住地块需按照《中华人民共和国义务教育反》、《城市居住区规划设计规划》、《广东省学前教育三年行动计划》等有关规定执行，按人均居住需求配备学前教育及义务教育阶段教育科教用地，即对居住地块是否需要配套教育，教育设施用地位置及配建方式提出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民政部门对市政交通设施、城市公共空间名称命名等提出预审意见；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文广部门核实是否符合文物保护规划、保护范围和建设控制地带，提出预审意见；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应急部门对用地周边及地块自身是否存在易燃易爆问题提出安全相关意见；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统战部门对用地周边及地块是否涉及宗教场所等，提出相关意见；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人防部门对居住地块是否需要配建防空地下室提出相关意见；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气象部门对用地周边及地块自身是否影响气象探测环境、是否需要气候可行性论证、是否需要雷电灾害风险评估等提出相关意见；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 w:hAnsi="仿宋" w:eastAsia="仿宋"/>
          <w:color w:val="000000" w:themeColor="text1"/>
          <w:sz w:val="32"/>
          <w:szCs w:val="32"/>
        </w:rPr>
        <w:t>工信部门核实是否符合园区相关规划、产业政策等。</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4.审查意见汇总：市自然资源局在</w:t>
      </w:r>
      <w:r>
        <w:rPr>
          <w:rFonts w:ascii="仿宋" w:hAnsi="仿宋" w:eastAsia="仿宋"/>
          <w:color w:val="000000" w:themeColor="text1"/>
          <w:sz w:val="32"/>
          <w:szCs w:val="32"/>
        </w:rPr>
        <w:t>3个工作日内将合规性审查</w:t>
      </w:r>
      <w:r>
        <w:rPr>
          <w:rFonts w:hint="eastAsia" w:ascii="仿宋" w:hAnsi="仿宋" w:eastAsia="仿宋"/>
          <w:color w:val="000000" w:themeColor="text1"/>
          <w:sz w:val="32"/>
          <w:szCs w:val="32"/>
        </w:rPr>
        <w:t>和联合审查的</w:t>
      </w:r>
      <w:r>
        <w:rPr>
          <w:rFonts w:ascii="仿宋" w:hAnsi="仿宋" w:eastAsia="仿宋"/>
          <w:color w:val="000000" w:themeColor="text1"/>
          <w:sz w:val="32"/>
          <w:szCs w:val="32"/>
        </w:rPr>
        <w:t>意见</w:t>
      </w:r>
      <w:r>
        <w:rPr>
          <w:rFonts w:hint="eastAsia" w:ascii="仿宋" w:hAnsi="仿宋" w:eastAsia="仿宋"/>
          <w:color w:val="000000" w:themeColor="text1"/>
          <w:sz w:val="32"/>
          <w:szCs w:val="32"/>
        </w:rPr>
        <w:t>汇总形成审查意见报告。</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5.审查成果应用：市自然资源局将通过审查的项目纳入年度土地储备用地计划并按程序报批，项目的招商或主管部门按规定开展相关报批手续，市发展改革局将项目纳入相应的项目管理。未通过审查的项目由申报单位按要求组织进行补充完善相关内容。</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第九条 </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rPr>
        <w:t>利用自有用地或取得出让用地后按出让要求和条件建设项目无需开展策划生成。</w:t>
      </w:r>
    </w:p>
    <w:p>
      <w:pPr>
        <w:pStyle w:val="3"/>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color w:val="000000" w:themeColor="text1"/>
          <w:sz w:val="36"/>
          <w:szCs w:val="36"/>
        </w:rPr>
      </w:pPr>
      <w:r>
        <w:rPr>
          <w:rFonts w:hint="eastAsia" w:ascii="黑体" w:hAnsi="黑体" w:eastAsia="黑体" w:cs="黑体"/>
          <w:b w:val="0"/>
          <w:bCs/>
          <w:color w:val="000000" w:themeColor="text1"/>
          <w:sz w:val="36"/>
          <w:szCs w:val="36"/>
        </w:rPr>
        <w:t>第四章 附则</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第十条 协同生成后形成的意向用地红线图和部门建设条件将推送至工程建设项目审批管理系统，作为办理工程建设项目后续审批手续的主要参考。</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第十一条  已通过合规性审查的项目，原则上不进行调整。如建设方案发生调整，涉及空间变化的，需要重新开展项目策划生成。</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第十二条 行政审批部门应加强项目策划生成后，在后续审批阶段实施情况的监督。各部门要加强在竣工阶段建设条件的闭合管理。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第十三条 各县（市、区）应参照本细则，结合本地区实际，制定相关配套制度，做好本地区项目策划生成管理工作。</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第十四条 本细则自印发之日起实施。</w:t>
      </w:r>
    </w:p>
    <w:p>
      <w:pPr>
        <w:pStyle w:val="2"/>
        <w:pageBreakBefore w:val="0"/>
        <w:widowControl w:val="0"/>
        <w:kinsoku/>
        <w:wordWrap/>
        <w:overflowPunct/>
        <w:topLinePunct w:val="0"/>
        <w:autoSpaceDE/>
        <w:autoSpaceDN/>
        <w:bidi w:val="0"/>
        <w:adjustRightInd/>
        <w:snapToGrid/>
        <w:spacing w:line="600" w:lineRule="exact"/>
        <w:textAlignment w:val="auto"/>
        <w:rPr>
          <w:rFonts w:ascii="仿宋" w:hAnsi="仿宋" w:eastAsia="仿宋"/>
          <w:color w:val="FF0000"/>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olor w:val="000000" w:themeColor="text1"/>
          <w:sz w:val="32"/>
          <w:szCs w:val="32"/>
        </w:rPr>
      </w:pPr>
      <w:r>
        <w:rPr>
          <w:rFonts w:hint="eastAsia" w:ascii="仿宋" w:hAnsi="仿宋" w:eastAsia="仿宋"/>
          <w:color w:val="000000" w:themeColor="text1"/>
          <w:sz w:val="32"/>
          <w:szCs w:val="32"/>
        </w:rPr>
        <w:t>附件：</w:t>
      </w:r>
      <w:r>
        <w:rPr>
          <w:rFonts w:ascii="仿宋" w:hAnsi="仿宋" w:eastAsia="仿宋"/>
          <w:color w:val="000000" w:themeColor="text1"/>
          <w:sz w:val="32"/>
          <w:szCs w:val="32"/>
        </w:rPr>
        <w:t>1</w:t>
      </w:r>
      <w:r>
        <w:rPr>
          <w:rFonts w:hint="eastAsia" w:ascii="仿宋" w:hAnsi="仿宋" w:eastAsia="仿宋"/>
          <w:color w:val="000000" w:themeColor="text1"/>
          <w:sz w:val="32"/>
          <w:szCs w:val="32"/>
        </w:rPr>
        <w:t>.政府投资项目策划生成流程图</w:t>
      </w:r>
    </w:p>
    <w:p>
      <w:pPr>
        <w:pStyle w:val="2"/>
        <w:pageBreakBefore w:val="0"/>
        <w:widowControl w:val="0"/>
        <w:kinsoku/>
        <w:wordWrap/>
        <w:overflowPunct/>
        <w:topLinePunct w:val="0"/>
        <w:autoSpaceDE/>
        <w:autoSpaceDN/>
        <w:bidi w:val="0"/>
        <w:adjustRightInd/>
        <w:snapToGrid/>
        <w:spacing w:line="600" w:lineRule="exact"/>
        <w:ind w:left="960" w:firstLine="640" w:firstLineChars="200"/>
        <w:textAlignment w:val="auto"/>
        <w:rPr>
          <w:rFonts w:ascii="仿宋" w:hAnsi="仿宋" w:eastAsia="仿宋"/>
          <w:color w:val="000000" w:themeColor="text1"/>
          <w:sz w:val="32"/>
          <w:szCs w:val="32"/>
        </w:rPr>
        <w:sectPr>
          <w:footerReference r:id="rId3" w:type="default"/>
          <w:footerReference r:id="rId4" w:type="even"/>
          <w:pgSz w:w="11906" w:h="16838"/>
          <w:pgMar w:top="2098" w:right="1474" w:bottom="1984" w:left="1587" w:header="851" w:footer="992" w:gutter="0"/>
          <w:cols w:space="425" w:num="1"/>
          <w:docGrid w:type="lines" w:linePitch="312" w:charSpace="0"/>
        </w:sectPr>
      </w:pPr>
      <w:r>
        <w:rPr>
          <w:rFonts w:ascii="仿宋" w:hAnsi="仿宋" w:eastAsia="仿宋"/>
          <w:color w:val="000000" w:themeColor="text1"/>
          <w:sz w:val="32"/>
          <w:szCs w:val="32"/>
        </w:rPr>
        <w:t>2</w:t>
      </w:r>
      <w:r>
        <w:rPr>
          <w:rFonts w:hint="eastAsia" w:ascii="仿宋" w:hAnsi="仿宋" w:eastAsia="仿宋"/>
          <w:color w:val="000000" w:themeColor="text1"/>
          <w:sz w:val="32"/>
          <w:szCs w:val="32"/>
        </w:rPr>
        <w:t>.社会投资项目策划生成流程图</w:t>
      </w:r>
      <w:bookmarkEnd w:id="4"/>
      <w:r>
        <w:rPr>
          <w:rFonts w:ascii="仿宋" w:hAnsi="仿宋" w:eastAsia="仿宋"/>
          <w:color w:val="000000" w:themeColor="text1"/>
          <w:sz w:val="24"/>
          <w:u w:val="single"/>
        </w:rPr>
        <w:br w:type="page"/>
      </w:r>
    </w:p>
    <w:p>
      <w:pPr>
        <w:pStyle w:val="7"/>
        <w:adjustRightInd w:val="0"/>
        <w:snapToGrid w:val="0"/>
        <w:spacing w:before="0" w:beforeAutospacing="0" w:after="0" w:afterAutospacing="0" w:line="480" w:lineRule="exact"/>
        <w:jc w:val="center"/>
        <w:rPr>
          <w:rFonts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政府投资类项目策划生成流程图</w:t>
      </w:r>
    </w:p>
    <w:p>
      <w:pPr>
        <w:pStyle w:val="2"/>
        <w:jc w:val="center"/>
        <w:rPr>
          <w:color w:val="000000" w:themeColor="text1"/>
          <w:sz w:val="24"/>
          <w:highlight w:val="yellow"/>
          <w:u w:val="single"/>
        </w:rPr>
      </w:pPr>
      <w:r>
        <w:drawing>
          <wp:inline distT="0" distB="0" distL="0" distR="0">
            <wp:extent cx="7291705" cy="49485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91733" cy="4948793"/>
                    </a:xfrm>
                    <a:prstGeom prst="rect">
                      <a:avLst/>
                    </a:prstGeom>
                    <a:noFill/>
                    <a:ln>
                      <a:noFill/>
                    </a:ln>
                  </pic:spPr>
                </pic:pic>
              </a:graphicData>
            </a:graphic>
          </wp:inline>
        </w:drawing>
      </w:r>
    </w:p>
    <w:p>
      <w:pPr>
        <w:pStyle w:val="2"/>
        <w:jc w:val="center"/>
        <w:rPr>
          <w:color w:val="000000" w:themeColor="text1"/>
          <w:sz w:val="24"/>
          <w:highlight w:val="yellow"/>
          <w:u w:val="single"/>
        </w:rPr>
        <w:sectPr>
          <w:pgSz w:w="16838" w:h="11906" w:orient="landscape"/>
          <w:pgMar w:top="1800" w:right="1440" w:bottom="1800" w:left="1440" w:header="851" w:footer="992" w:gutter="0"/>
          <w:cols w:space="425" w:num="1"/>
          <w:docGrid w:type="lines" w:linePitch="312" w:charSpace="0"/>
        </w:sectPr>
      </w:pPr>
    </w:p>
    <w:p>
      <w:pPr>
        <w:pStyle w:val="7"/>
        <w:adjustRightInd w:val="0"/>
        <w:snapToGrid w:val="0"/>
        <w:spacing w:before="0" w:beforeAutospacing="0" w:after="0" w:afterAutospacing="0" w:line="480" w:lineRule="exact"/>
        <w:jc w:val="center"/>
        <w:rPr>
          <w:rFonts w:ascii="Times New Roman" w:hAnsi="Times New Roman" w:eastAsia="方正小标宋_GBK" w:cs="Times New Roman"/>
          <w:color w:val="000000" w:themeColor="text1"/>
          <w:sz w:val="44"/>
          <w:szCs w:val="44"/>
        </w:rPr>
      </w:pPr>
      <w:r>
        <w:rPr>
          <w:rFonts w:hint="eastAsia" w:ascii="Times New Roman" w:hAnsi="Times New Roman" w:eastAsia="方正小标宋_GBK" w:cs="Times New Roman"/>
          <w:color w:val="000000" w:themeColor="text1"/>
          <w:sz w:val="44"/>
          <w:szCs w:val="44"/>
        </w:rPr>
        <w:t>社会投资类项目策划生成流程图</w:t>
      </w:r>
    </w:p>
    <w:p>
      <w:pPr>
        <w:pStyle w:val="7"/>
        <w:adjustRightInd w:val="0"/>
        <w:snapToGrid w:val="0"/>
        <w:spacing w:before="0" w:beforeAutospacing="0" w:after="0" w:afterAutospacing="0"/>
        <w:jc w:val="center"/>
        <w:rPr>
          <w:rFonts w:ascii="Times New Roman" w:hAnsi="Times New Roman" w:eastAsia="方正小标宋_GBK" w:cs="Times New Roman"/>
          <w:color w:val="000000" w:themeColor="text1"/>
          <w:sz w:val="44"/>
          <w:szCs w:val="44"/>
        </w:rPr>
      </w:pPr>
      <w:r>
        <w:drawing>
          <wp:inline distT="0" distB="0" distL="0" distR="0">
            <wp:extent cx="7268210" cy="491426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68654" cy="4914640"/>
                    </a:xfrm>
                    <a:prstGeom prst="rect">
                      <a:avLst/>
                    </a:prstGeom>
                    <a:noFill/>
                    <a:ln>
                      <a:noFill/>
                    </a:ln>
                  </pic:spPr>
                </pic:pic>
              </a:graphicData>
            </a:graphic>
          </wp:inline>
        </w:drawing>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9</w:t>
    </w:r>
    <w:r>
      <w:rPr>
        <w:rFonts w:ascii="宋体" w:hAnsi="宋体" w:eastAsia="宋体"/>
        <w:sz w:val="28"/>
        <w:szCs w:val="28"/>
      </w:rPr>
      <w:fldChar w:fldCharType="end"/>
    </w:r>
    <w:r>
      <w:rPr>
        <w:rFonts w:hint="eastAsia" w:ascii="宋体" w:hAnsi="宋体" w:eastAsia="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4561"/>
    <w:rsid w:val="000070CD"/>
    <w:rsid w:val="00020A08"/>
    <w:rsid w:val="0002643D"/>
    <w:rsid w:val="0003200D"/>
    <w:rsid w:val="00044DC6"/>
    <w:rsid w:val="00063B4D"/>
    <w:rsid w:val="00065938"/>
    <w:rsid w:val="00066017"/>
    <w:rsid w:val="00070772"/>
    <w:rsid w:val="00077CE6"/>
    <w:rsid w:val="00080139"/>
    <w:rsid w:val="00085546"/>
    <w:rsid w:val="000857E0"/>
    <w:rsid w:val="00090524"/>
    <w:rsid w:val="0009179A"/>
    <w:rsid w:val="000964E8"/>
    <w:rsid w:val="000B3982"/>
    <w:rsid w:val="000B4139"/>
    <w:rsid w:val="000C54A9"/>
    <w:rsid w:val="000D27AB"/>
    <w:rsid w:val="000D4C62"/>
    <w:rsid w:val="000D55FB"/>
    <w:rsid w:val="000D6605"/>
    <w:rsid w:val="0010292E"/>
    <w:rsid w:val="00105124"/>
    <w:rsid w:val="00106B0C"/>
    <w:rsid w:val="00112E80"/>
    <w:rsid w:val="001216FA"/>
    <w:rsid w:val="00122AC4"/>
    <w:rsid w:val="00130A95"/>
    <w:rsid w:val="00146C4B"/>
    <w:rsid w:val="00152BCE"/>
    <w:rsid w:val="001541F2"/>
    <w:rsid w:val="00171DD8"/>
    <w:rsid w:val="00176D47"/>
    <w:rsid w:val="00194FAC"/>
    <w:rsid w:val="001954AD"/>
    <w:rsid w:val="001A0746"/>
    <w:rsid w:val="001A47D9"/>
    <w:rsid w:val="001B3BE4"/>
    <w:rsid w:val="001B4BE0"/>
    <w:rsid w:val="001B62F7"/>
    <w:rsid w:val="001B7254"/>
    <w:rsid w:val="001E4DB3"/>
    <w:rsid w:val="001F0B39"/>
    <w:rsid w:val="001F1510"/>
    <w:rsid w:val="002006E6"/>
    <w:rsid w:val="00206139"/>
    <w:rsid w:val="00227BA4"/>
    <w:rsid w:val="00237A77"/>
    <w:rsid w:val="00251F6B"/>
    <w:rsid w:val="0025269B"/>
    <w:rsid w:val="00261134"/>
    <w:rsid w:val="00263A09"/>
    <w:rsid w:val="00270772"/>
    <w:rsid w:val="002710C7"/>
    <w:rsid w:val="00272331"/>
    <w:rsid w:val="00281015"/>
    <w:rsid w:val="00286253"/>
    <w:rsid w:val="00287145"/>
    <w:rsid w:val="00287B3A"/>
    <w:rsid w:val="00291721"/>
    <w:rsid w:val="00291A01"/>
    <w:rsid w:val="0029323B"/>
    <w:rsid w:val="002A0953"/>
    <w:rsid w:val="002A0E9E"/>
    <w:rsid w:val="002B2D5E"/>
    <w:rsid w:val="002B5D00"/>
    <w:rsid w:val="002C1697"/>
    <w:rsid w:val="002E0A6F"/>
    <w:rsid w:val="002E49A9"/>
    <w:rsid w:val="002F0678"/>
    <w:rsid w:val="002F17F8"/>
    <w:rsid w:val="002F3921"/>
    <w:rsid w:val="002F7881"/>
    <w:rsid w:val="00301199"/>
    <w:rsid w:val="00302DB5"/>
    <w:rsid w:val="00310835"/>
    <w:rsid w:val="00321837"/>
    <w:rsid w:val="00323B08"/>
    <w:rsid w:val="003341D9"/>
    <w:rsid w:val="003446B5"/>
    <w:rsid w:val="00345EE4"/>
    <w:rsid w:val="00351876"/>
    <w:rsid w:val="0035320E"/>
    <w:rsid w:val="00356241"/>
    <w:rsid w:val="0037650F"/>
    <w:rsid w:val="00376943"/>
    <w:rsid w:val="00376E8E"/>
    <w:rsid w:val="00383337"/>
    <w:rsid w:val="003838AB"/>
    <w:rsid w:val="00383D3C"/>
    <w:rsid w:val="00384B35"/>
    <w:rsid w:val="003958EA"/>
    <w:rsid w:val="003A4D44"/>
    <w:rsid w:val="003B152E"/>
    <w:rsid w:val="003C51AD"/>
    <w:rsid w:val="003C619E"/>
    <w:rsid w:val="003D23E7"/>
    <w:rsid w:val="003E4533"/>
    <w:rsid w:val="003F2D7E"/>
    <w:rsid w:val="003F3C93"/>
    <w:rsid w:val="003F7F1D"/>
    <w:rsid w:val="00405F35"/>
    <w:rsid w:val="00427EFD"/>
    <w:rsid w:val="00431F70"/>
    <w:rsid w:val="00433694"/>
    <w:rsid w:val="00445139"/>
    <w:rsid w:val="00450BAE"/>
    <w:rsid w:val="0045735C"/>
    <w:rsid w:val="00460B20"/>
    <w:rsid w:val="004732C5"/>
    <w:rsid w:val="00483D36"/>
    <w:rsid w:val="0048426C"/>
    <w:rsid w:val="00484F29"/>
    <w:rsid w:val="004966A6"/>
    <w:rsid w:val="004A4271"/>
    <w:rsid w:val="004B03A5"/>
    <w:rsid w:val="004B510C"/>
    <w:rsid w:val="004B7AE1"/>
    <w:rsid w:val="004B7FFB"/>
    <w:rsid w:val="004D4D46"/>
    <w:rsid w:val="004E3CAE"/>
    <w:rsid w:val="0051077C"/>
    <w:rsid w:val="00510954"/>
    <w:rsid w:val="0051108D"/>
    <w:rsid w:val="00514CFD"/>
    <w:rsid w:val="00520A35"/>
    <w:rsid w:val="0054016E"/>
    <w:rsid w:val="005442FE"/>
    <w:rsid w:val="00554A95"/>
    <w:rsid w:val="00554FEE"/>
    <w:rsid w:val="005562D4"/>
    <w:rsid w:val="00580842"/>
    <w:rsid w:val="005855E4"/>
    <w:rsid w:val="005929CB"/>
    <w:rsid w:val="0059658B"/>
    <w:rsid w:val="005A2671"/>
    <w:rsid w:val="005B7682"/>
    <w:rsid w:val="005D2A82"/>
    <w:rsid w:val="005D5B77"/>
    <w:rsid w:val="005D636C"/>
    <w:rsid w:val="005F0569"/>
    <w:rsid w:val="005F6F2A"/>
    <w:rsid w:val="00603604"/>
    <w:rsid w:val="006045C5"/>
    <w:rsid w:val="00607254"/>
    <w:rsid w:val="00611308"/>
    <w:rsid w:val="0061143C"/>
    <w:rsid w:val="006116B6"/>
    <w:rsid w:val="00620DEA"/>
    <w:rsid w:val="0062123F"/>
    <w:rsid w:val="00624922"/>
    <w:rsid w:val="0063277B"/>
    <w:rsid w:val="0063327C"/>
    <w:rsid w:val="0063711F"/>
    <w:rsid w:val="00640200"/>
    <w:rsid w:val="00641F52"/>
    <w:rsid w:val="00643082"/>
    <w:rsid w:val="0065238D"/>
    <w:rsid w:val="00655033"/>
    <w:rsid w:val="00675E6F"/>
    <w:rsid w:val="0067727C"/>
    <w:rsid w:val="006821B4"/>
    <w:rsid w:val="00684E6F"/>
    <w:rsid w:val="00685C6C"/>
    <w:rsid w:val="006864C9"/>
    <w:rsid w:val="00687219"/>
    <w:rsid w:val="006A1D5D"/>
    <w:rsid w:val="006A7D6C"/>
    <w:rsid w:val="006C1CE0"/>
    <w:rsid w:val="006C4BAA"/>
    <w:rsid w:val="006C56A9"/>
    <w:rsid w:val="006D1211"/>
    <w:rsid w:val="006E0D11"/>
    <w:rsid w:val="006E3B5D"/>
    <w:rsid w:val="006F1261"/>
    <w:rsid w:val="006F677F"/>
    <w:rsid w:val="00722A18"/>
    <w:rsid w:val="00724709"/>
    <w:rsid w:val="007341E7"/>
    <w:rsid w:val="00734D6C"/>
    <w:rsid w:val="00734E3C"/>
    <w:rsid w:val="00740DFA"/>
    <w:rsid w:val="00747920"/>
    <w:rsid w:val="00751A55"/>
    <w:rsid w:val="00752D44"/>
    <w:rsid w:val="0075547F"/>
    <w:rsid w:val="00777575"/>
    <w:rsid w:val="007B0336"/>
    <w:rsid w:val="007E32A1"/>
    <w:rsid w:val="007F0F68"/>
    <w:rsid w:val="007F481D"/>
    <w:rsid w:val="00810AFA"/>
    <w:rsid w:val="00814031"/>
    <w:rsid w:val="008159B6"/>
    <w:rsid w:val="00825648"/>
    <w:rsid w:val="00831F5D"/>
    <w:rsid w:val="00837D94"/>
    <w:rsid w:val="00850C0D"/>
    <w:rsid w:val="008575A8"/>
    <w:rsid w:val="00871F2E"/>
    <w:rsid w:val="00882CCA"/>
    <w:rsid w:val="0088686C"/>
    <w:rsid w:val="008945B6"/>
    <w:rsid w:val="008A2269"/>
    <w:rsid w:val="008B5A1B"/>
    <w:rsid w:val="008B6FC7"/>
    <w:rsid w:val="008C1D39"/>
    <w:rsid w:val="008D3061"/>
    <w:rsid w:val="008D729B"/>
    <w:rsid w:val="008E20CA"/>
    <w:rsid w:val="008E3E07"/>
    <w:rsid w:val="008E6832"/>
    <w:rsid w:val="008F2102"/>
    <w:rsid w:val="00902248"/>
    <w:rsid w:val="00903D17"/>
    <w:rsid w:val="00906A89"/>
    <w:rsid w:val="00913DE4"/>
    <w:rsid w:val="00917BFC"/>
    <w:rsid w:val="00920C88"/>
    <w:rsid w:val="0094331F"/>
    <w:rsid w:val="00962B3C"/>
    <w:rsid w:val="00964C55"/>
    <w:rsid w:val="0096662D"/>
    <w:rsid w:val="00972CF1"/>
    <w:rsid w:val="0097435A"/>
    <w:rsid w:val="00980462"/>
    <w:rsid w:val="00980FEA"/>
    <w:rsid w:val="00981F5B"/>
    <w:rsid w:val="0098784A"/>
    <w:rsid w:val="009A570C"/>
    <w:rsid w:val="009B3E6D"/>
    <w:rsid w:val="009B4825"/>
    <w:rsid w:val="009C2151"/>
    <w:rsid w:val="009C4203"/>
    <w:rsid w:val="009C4609"/>
    <w:rsid w:val="009C68BA"/>
    <w:rsid w:val="009C7F13"/>
    <w:rsid w:val="009D2C36"/>
    <w:rsid w:val="009D5D13"/>
    <w:rsid w:val="009E2645"/>
    <w:rsid w:val="009E4A4B"/>
    <w:rsid w:val="009E54D2"/>
    <w:rsid w:val="009E7E2C"/>
    <w:rsid w:val="009F2831"/>
    <w:rsid w:val="009F33C8"/>
    <w:rsid w:val="009F3B13"/>
    <w:rsid w:val="00A152B7"/>
    <w:rsid w:val="00A2420E"/>
    <w:rsid w:val="00A30A3C"/>
    <w:rsid w:val="00A360E5"/>
    <w:rsid w:val="00A45207"/>
    <w:rsid w:val="00A60785"/>
    <w:rsid w:val="00A65B64"/>
    <w:rsid w:val="00A66399"/>
    <w:rsid w:val="00A76CA7"/>
    <w:rsid w:val="00A835DD"/>
    <w:rsid w:val="00AA2CAD"/>
    <w:rsid w:val="00AA2DF5"/>
    <w:rsid w:val="00AB08A8"/>
    <w:rsid w:val="00AB1F27"/>
    <w:rsid w:val="00AB383B"/>
    <w:rsid w:val="00AB65FF"/>
    <w:rsid w:val="00AC010C"/>
    <w:rsid w:val="00AC393E"/>
    <w:rsid w:val="00AE3B24"/>
    <w:rsid w:val="00AE6BE7"/>
    <w:rsid w:val="00AF0905"/>
    <w:rsid w:val="00AF133F"/>
    <w:rsid w:val="00AF39DF"/>
    <w:rsid w:val="00B05109"/>
    <w:rsid w:val="00B06C25"/>
    <w:rsid w:val="00B07EE8"/>
    <w:rsid w:val="00B16D47"/>
    <w:rsid w:val="00B4025A"/>
    <w:rsid w:val="00B40C3A"/>
    <w:rsid w:val="00B4579B"/>
    <w:rsid w:val="00B47F32"/>
    <w:rsid w:val="00B52910"/>
    <w:rsid w:val="00B52A45"/>
    <w:rsid w:val="00B54995"/>
    <w:rsid w:val="00B7455A"/>
    <w:rsid w:val="00B74561"/>
    <w:rsid w:val="00B82F2B"/>
    <w:rsid w:val="00B85347"/>
    <w:rsid w:val="00BA11A3"/>
    <w:rsid w:val="00BA39E6"/>
    <w:rsid w:val="00BA5899"/>
    <w:rsid w:val="00BB1B4A"/>
    <w:rsid w:val="00BB34AB"/>
    <w:rsid w:val="00BB7178"/>
    <w:rsid w:val="00BD2D33"/>
    <w:rsid w:val="00BE4BB8"/>
    <w:rsid w:val="00BE5468"/>
    <w:rsid w:val="00BE7D14"/>
    <w:rsid w:val="00BF65E3"/>
    <w:rsid w:val="00BF6E6F"/>
    <w:rsid w:val="00C04581"/>
    <w:rsid w:val="00C21304"/>
    <w:rsid w:val="00C31E3E"/>
    <w:rsid w:val="00C35194"/>
    <w:rsid w:val="00C40EDD"/>
    <w:rsid w:val="00C47E10"/>
    <w:rsid w:val="00C60151"/>
    <w:rsid w:val="00C7148B"/>
    <w:rsid w:val="00C81026"/>
    <w:rsid w:val="00C854B7"/>
    <w:rsid w:val="00C87CA2"/>
    <w:rsid w:val="00C90F7E"/>
    <w:rsid w:val="00CB3A52"/>
    <w:rsid w:val="00CC2EE6"/>
    <w:rsid w:val="00CC52C3"/>
    <w:rsid w:val="00CC6839"/>
    <w:rsid w:val="00CD078D"/>
    <w:rsid w:val="00CD0F69"/>
    <w:rsid w:val="00CD4F80"/>
    <w:rsid w:val="00CD5E8D"/>
    <w:rsid w:val="00CE4591"/>
    <w:rsid w:val="00CF5080"/>
    <w:rsid w:val="00CF764F"/>
    <w:rsid w:val="00D22ABE"/>
    <w:rsid w:val="00D41047"/>
    <w:rsid w:val="00D750F9"/>
    <w:rsid w:val="00D91335"/>
    <w:rsid w:val="00D96BDB"/>
    <w:rsid w:val="00DA2A30"/>
    <w:rsid w:val="00DA7F57"/>
    <w:rsid w:val="00DB17E9"/>
    <w:rsid w:val="00DB4FE7"/>
    <w:rsid w:val="00DC3308"/>
    <w:rsid w:val="00DD1051"/>
    <w:rsid w:val="00DD6DEC"/>
    <w:rsid w:val="00DE2EFC"/>
    <w:rsid w:val="00DF2A53"/>
    <w:rsid w:val="00E0010F"/>
    <w:rsid w:val="00E03B33"/>
    <w:rsid w:val="00E04D15"/>
    <w:rsid w:val="00E06B5D"/>
    <w:rsid w:val="00E06DC8"/>
    <w:rsid w:val="00E1226F"/>
    <w:rsid w:val="00E13107"/>
    <w:rsid w:val="00E16A6D"/>
    <w:rsid w:val="00E22B4A"/>
    <w:rsid w:val="00E32F1D"/>
    <w:rsid w:val="00E41263"/>
    <w:rsid w:val="00E416C2"/>
    <w:rsid w:val="00E41D88"/>
    <w:rsid w:val="00E45F05"/>
    <w:rsid w:val="00E476A1"/>
    <w:rsid w:val="00E52B4C"/>
    <w:rsid w:val="00E6210B"/>
    <w:rsid w:val="00E64691"/>
    <w:rsid w:val="00E648F9"/>
    <w:rsid w:val="00E71A3E"/>
    <w:rsid w:val="00E75BE9"/>
    <w:rsid w:val="00E80E0C"/>
    <w:rsid w:val="00E939DB"/>
    <w:rsid w:val="00E977CF"/>
    <w:rsid w:val="00EB5A82"/>
    <w:rsid w:val="00EC61AA"/>
    <w:rsid w:val="00ED2F87"/>
    <w:rsid w:val="00ED3BF1"/>
    <w:rsid w:val="00EE14A4"/>
    <w:rsid w:val="00EE4EF9"/>
    <w:rsid w:val="00EE52D4"/>
    <w:rsid w:val="00F0525A"/>
    <w:rsid w:val="00F05B91"/>
    <w:rsid w:val="00F15AD0"/>
    <w:rsid w:val="00F15AF9"/>
    <w:rsid w:val="00F16D3E"/>
    <w:rsid w:val="00F17952"/>
    <w:rsid w:val="00F17BF0"/>
    <w:rsid w:val="00F17EB5"/>
    <w:rsid w:val="00F266C0"/>
    <w:rsid w:val="00F31086"/>
    <w:rsid w:val="00F32D6A"/>
    <w:rsid w:val="00F421E4"/>
    <w:rsid w:val="00F465F3"/>
    <w:rsid w:val="00F5340B"/>
    <w:rsid w:val="00F64287"/>
    <w:rsid w:val="00F70046"/>
    <w:rsid w:val="00FA41C0"/>
    <w:rsid w:val="00FA4BB8"/>
    <w:rsid w:val="00FB0E61"/>
    <w:rsid w:val="00FB1FAD"/>
    <w:rsid w:val="00FC1981"/>
    <w:rsid w:val="00FD69FC"/>
    <w:rsid w:val="00FF333E"/>
    <w:rsid w:val="09194C95"/>
    <w:rsid w:val="0CF60EA2"/>
    <w:rsid w:val="134B52DE"/>
    <w:rsid w:val="13814C80"/>
    <w:rsid w:val="1AE043B4"/>
    <w:rsid w:val="1C703E58"/>
    <w:rsid w:val="1F6018F8"/>
    <w:rsid w:val="223C4FE7"/>
    <w:rsid w:val="22C64126"/>
    <w:rsid w:val="24C273F8"/>
    <w:rsid w:val="2D781681"/>
    <w:rsid w:val="2E75189A"/>
    <w:rsid w:val="30826C6A"/>
    <w:rsid w:val="324B43B8"/>
    <w:rsid w:val="354C0A13"/>
    <w:rsid w:val="37523081"/>
    <w:rsid w:val="3A003FB1"/>
    <w:rsid w:val="3EEE2BBD"/>
    <w:rsid w:val="3FFF578E"/>
    <w:rsid w:val="441D444E"/>
    <w:rsid w:val="457562F7"/>
    <w:rsid w:val="46AA7E21"/>
    <w:rsid w:val="4B163BEB"/>
    <w:rsid w:val="4C897131"/>
    <w:rsid w:val="4CAD4D0D"/>
    <w:rsid w:val="5C2162D1"/>
    <w:rsid w:val="65103034"/>
    <w:rsid w:val="68264395"/>
    <w:rsid w:val="6FA0044B"/>
    <w:rsid w:val="766817F0"/>
    <w:rsid w:val="7DDC7919"/>
    <w:rsid w:val="7EE579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5"/>
    <w:unhideWhenUsed/>
    <w:qFormat/>
    <w:uiPriority w:val="9"/>
    <w:pPr>
      <w:keepNext/>
      <w:keepLines/>
      <w:spacing w:before="480" w:after="400"/>
      <w:outlineLvl w:val="1"/>
    </w:pPr>
    <w:rPr>
      <w:rFonts w:ascii="Arial" w:hAnsi="Arial" w:eastAsia="黑体"/>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框文本 字符"/>
    <w:basedOn w:val="10"/>
    <w:link w:val="4"/>
    <w:semiHidden/>
    <w:qFormat/>
    <w:uiPriority w:val="99"/>
    <w:rPr>
      <w:sz w:val="18"/>
      <w:szCs w:val="18"/>
    </w:rPr>
  </w:style>
  <w:style w:type="paragraph" w:customStyle="1" w:styleId="14">
    <w:name w:val="列表段落1"/>
    <w:basedOn w:val="1"/>
    <w:qFormat/>
    <w:uiPriority w:val="34"/>
    <w:pPr>
      <w:ind w:firstLine="420" w:firstLineChars="200"/>
    </w:pPr>
  </w:style>
  <w:style w:type="character" w:customStyle="1" w:styleId="15">
    <w:name w:val="标题 2 字符"/>
    <w:basedOn w:val="10"/>
    <w:link w:val="3"/>
    <w:qFormat/>
    <w:uiPriority w:val="9"/>
    <w:rPr>
      <w:rFonts w:ascii="Arial" w:hAnsi="Arial" w:eastAsia="黑体" w:cstheme="minorBidi"/>
      <w:b/>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356516-F96C-427F-9BEA-89F4E950B80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577</Words>
  <Characters>3290</Characters>
  <Lines>27</Lines>
  <Paragraphs>7</Paragraphs>
  <TotalTime>11</TotalTime>
  <ScaleCrop>false</ScaleCrop>
  <LinksUpToDate>false</LinksUpToDate>
  <CharactersWithSpaces>3860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2019-10-22T03:20:00Z</dcterms:created>
  <dc:creator>lenovo</dc:creator>
  <cp:lastModifiedBy>陈绮萱</cp:lastModifiedBy>
  <cp:lastPrinted>2020-04-29T08:33:00Z</cp:lastPrinted>
  <dcterms:modified xsi:type="dcterms:W3CDTF">2020-12-30T08:44:41Z</dcterms:modified>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