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04" w:firstLineChars="250"/>
        <w:rPr>
          <w:rFonts w:ascii="宋体" w:hAnsi="宋体" w:eastAsia="宋体" w:cs="Times New Roman"/>
          <w:b/>
          <w:sz w:val="44"/>
          <w:szCs w:val="44"/>
        </w:rPr>
      </w:pPr>
    </w:p>
    <w:p>
      <w:pPr>
        <w:ind w:firstLine="1104" w:firstLineChars="250"/>
        <w:rPr>
          <w:rFonts w:ascii="宋体" w:hAnsi="宋体" w:eastAsia="宋体" w:cs="Times New Roman"/>
          <w:b/>
          <w:sz w:val="44"/>
          <w:szCs w:val="44"/>
        </w:rPr>
      </w:pPr>
    </w:p>
    <w:p>
      <w:pPr>
        <w:ind w:firstLine="1104" w:firstLineChars="250"/>
        <w:rPr>
          <w:rFonts w:ascii="宋体" w:hAnsi="宋体" w:eastAsia="宋体" w:cs="Times New Roman"/>
          <w:b/>
          <w:sz w:val="44"/>
          <w:szCs w:val="44"/>
        </w:rPr>
      </w:pPr>
    </w:p>
    <w:p>
      <w:pPr>
        <w:ind w:firstLine="1104" w:firstLineChars="250"/>
        <w:rPr>
          <w:rFonts w:ascii="宋体" w:hAnsi="宋体" w:eastAsia="宋体" w:cs="Times New Roman"/>
          <w:b/>
          <w:sz w:val="44"/>
          <w:szCs w:val="44"/>
        </w:rPr>
      </w:pPr>
    </w:p>
    <w:p>
      <w:pPr>
        <w:pStyle w:val="13"/>
        <w:ind w:firstLine="640"/>
      </w:pPr>
      <w:r>
        <w:rPr>
          <w:rFonts w:hint="eastAsia"/>
        </w:rPr>
        <w:t>河（库）长制工作经费</w:t>
      </w:r>
    </w:p>
    <w:p>
      <w:pPr>
        <w:pStyle w:val="13"/>
        <w:ind w:firstLine="640"/>
        <w:rPr>
          <w:szCs w:val="40"/>
        </w:rPr>
      </w:pPr>
      <w:r>
        <w:rPr>
          <w:rFonts w:hint="eastAsia"/>
          <w:szCs w:val="40"/>
        </w:rPr>
        <w:t>财政资金绩效评价报告</w:t>
      </w:r>
    </w:p>
    <w:p>
      <w:pPr>
        <w:spacing w:line="700" w:lineRule="exact"/>
        <w:ind w:firstLine="0" w:firstLineChars="0"/>
        <w:jc w:val="center"/>
        <w:rPr>
          <w:rFonts w:ascii="方正小标宋简体" w:hAnsi="宋体" w:eastAsia="方正小标宋简体" w:cs="Times New Roman"/>
          <w:bCs/>
          <w:sz w:val="44"/>
          <w:szCs w:val="48"/>
        </w:rPr>
      </w:pPr>
    </w:p>
    <w:p>
      <w:pPr>
        <w:ind w:firstLine="360" w:firstLineChars="100"/>
        <w:rPr>
          <w:rFonts w:ascii="仿宋_GB2312"/>
          <w:color w:val="000000" w:themeColor="text1"/>
          <w:sz w:val="36"/>
          <w:szCs w:val="36"/>
          <w14:textFill>
            <w14:solidFill>
              <w14:schemeClr w14:val="tx1"/>
            </w14:solidFill>
          </w14:textFill>
        </w:rPr>
      </w:pPr>
    </w:p>
    <w:p>
      <w:pPr>
        <w:ind w:firstLine="0" w:firstLineChars="0"/>
        <w:rPr>
          <w:rFonts w:ascii="仿宋_GB2312"/>
          <w:color w:val="000000" w:themeColor="text1"/>
          <w:sz w:val="36"/>
          <w:szCs w:val="36"/>
          <w14:textFill>
            <w14:solidFill>
              <w14:schemeClr w14:val="tx1"/>
            </w14:solidFill>
          </w14:textFill>
        </w:rPr>
      </w:pPr>
    </w:p>
    <w:p>
      <w:pPr>
        <w:ind w:firstLine="360" w:firstLineChars="100"/>
        <w:rPr>
          <w:rFonts w:ascii="仿宋_GB2312"/>
          <w:color w:val="000000" w:themeColor="text1"/>
          <w:sz w:val="36"/>
          <w:szCs w:val="36"/>
          <w14:textFill>
            <w14:solidFill>
              <w14:schemeClr w14:val="tx1"/>
            </w14:solidFill>
          </w14:textFill>
        </w:rPr>
      </w:pPr>
    </w:p>
    <w:p>
      <w:pPr>
        <w:ind w:firstLine="360" w:firstLineChars="100"/>
        <w:rPr>
          <w:rFonts w:ascii="仿宋_GB2312"/>
          <w:color w:val="000000" w:themeColor="text1"/>
          <w:sz w:val="36"/>
          <w:szCs w:val="36"/>
          <w14:textFill>
            <w14:solidFill>
              <w14:schemeClr w14:val="tx1"/>
            </w14:solidFill>
          </w14:textFill>
        </w:rPr>
      </w:pPr>
    </w:p>
    <w:p>
      <w:pPr>
        <w:ind w:firstLine="360" w:firstLineChars="100"/>
        <w:rPr>
          <w:rFonts w:ascii="仿宋_GB2312"/>
          <w:color w:val="000000" w:themeColor="text1"/>
          <w:sz w:val="36"/>
          <w:szCs w:val="36"/>
          <w14:textFill>
            <w14:solidFill>
              <w14:schemeClr w14:val="tx1"/>
            </w14:solidFill>
          </w14:textFill>
        </w:rPr>
      </w:pPr>
    </w:p>
    <w:p>
      <w:pPr>
        <w:ind w:firstLine="360" w:firstLineChars="100"/>
        <w:rPr>
          <w:rFonts w:ascii="仿宋_GB2312"/>
          <w:color w:val="000000" w:themeColor="text1"/>
          <w:sz w:val="36"/>
          <w:szCs w:val="36"/>
          <w14:textFill>
            <w14:solidFill>
              <w14:schemeClr w14:val="tx1"/>
            </w14:solidFill>
          </w14:textFill>
        </w:rPr>
      </w:pPr>
    </w:p>
    <w:p>
      <w:pPr>
        <w:ind w:firstLine="0" w:firstLineChars="0"/>
        <w:rPr>
          <w:rFonts w:ascii="仿宋_GB2312"/>
          <w:color w:val="000000" w:themeColor="text1"/>
          <w:sz w:val="36"/>
          <w:szCs w:val="36"/>
          <w14:textFill>
            <w14:solidFill>
              <w14:schemeClr w14:val="tx1"/>
            </w14:solidFill>
          </w14:textFill>
        </w:rPr>
      </w:pPr>
    </w:p>
    <w:p>
      <w:pPr>
        <w:ind w:firstLine="0" w:firstLineChars="0"/>
        <w:jc w:val="left"/>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项目主管部门：汕尾市水务局</w:t>
      </w:r>
    </w:p>
    <w:p>
      <w:pPr>
        <w:ind w:firstLine="0" w:firstLineChars="0"/>
        <w:jc w:val="left"/>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项目实施单位：汕尾市水务局</w:t>
      </w:r>
    </w:p>
    <w:p>
      <w:pPr>
        <w:ind w:firstLine="0" w:firstLineChars="0"/>
        <w:jc w:val="left"/>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评价委托单位：汕尾市财政局</w:t>
      </w:r>
    </w:p>
    <w:p>
      <w:pPr>
        <w:ind w:firstLine="0" w:firstLineChars="0"/>
        <w:jc w:val="left"/>
        <w:rPr>
          <w:rFonts w:ascii="仿宋_GB2312"/>
          <w:color w:val="000000" w:themeColor="text1"/>
          <w:sz w:val="28"/>
          <w:szCs w:val="28"/>
          <w:u w:val="single"/>
          <w14:textFill>
            <w14:solidFill>
              <w14:schemeClr w14:val="tx1"/>
            </w14:solidFill>
          </w14:textFill>
        </w:rPr>
      </w:pPr>
      <w:r>
        <w:rPr>
          <w:rFonts w:hint="eastAsia" w:ascii="仿宋_GB2312"/>
          <w:color w:val="000000" w:themeColor="text1"/>
          <w:sz w:val="28"/>
          <w:szCs w:val="28"/>
          <w14:textFill>
            <w14:solidFill>
              <w14:schemeClr w14:val="tx1"/>
            </w14:solidFill>
          </w14:textFill>
        </w:rPr>
        <w:t>评价实施机构：致同会计师事务所（特殊普通合伙）广州分所</w:t>
      </w:r>
    </w:p>
    <w:p>
      <w:pPr>
        <w:ind w:firstLine="0" w:firstLineChars="0"/>
        <w:jc w:val="left"/>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评价报告时间：2019年</w:t>
      </w:r>
      <w:r>
        <w:rPr>
          <w:rFonts w:ascii="仿宋_GB2312"/>
          <w:color w:val="000000" w:themeColor="text1"/>
          <w:sz w:val="28"/>
          <w:szCs w:val="28"/>
          <w14:textFill>
            <w14:solidFill>
              <w14:schemeClr w14:val="tx1"/>
            </w14:solidFill>
          </w14:textFill>
        </w:rPr>
        <w:t>12</w:t>
      </w:r>
      <w:r>
        <w:rPr>
          <w:rFonts w:hint="eastAsia" w:ascii="仿宋_GB2312"/>
          <w:color w:val="000000" w:themeColor="text1"/>
          <w:sz w:val="28"/>
          <w:szCs w:val="28"/>
          <w14:textFill>
            <w14:solidFill>
              <w14:schemeClr w14:val="tx1"/>
            </w14:solidFill>
          </w14:textFill>
        </w:rPr>
        <w:t>月</w:t>
      </w:r>
    </w:p>
    <w:p>
      <w:pPr>
        <w:widowControl/>
        <w:ind w:firstLine="720"/>
        <w:jc w:val="left"/>
        <w:rPr>
          <w:rFonts w:ascii="仿宋_GB2312"/>
          <w:sz w:val="36"/>
          <w:szCs w:val="36"/>
        </w:rPr>
      </w:pPr>
      <w:r>
        <w:rPr>
          <w:rFonts w:ascii="仿宋_GB2312"/>
          <w:sz w:val="36"/>
          <w:szCs w:val="36"/>
        </w:rPr>
        <w:br w:type="page"/>
      </w:r>
    </w:p>
    <w:sdt>
      <w:sdtPr>
        <w:rPr>
          <w:rFonts w:hint="eastAsia" w:ascii="仿宋_GB2312" w:hAnsi="Times New Roman" w:eastAsia="仿宋_GB2312" w:cstheme="minorBidi"/>
          <w:b w:val="0"/>
          <w:color w:val="auto"/>
          <w:kern w:val="2"/>
          <w:sz w:val="36"/>
          <w:szCs w:val="36"/>
          <w:lang w:val="zh-CN"/>
        </w:rPr>
        <w:id w:val="1817218644"/>
        <w:docPartObj>
          <w:docPartGallery w:val="Table of Contents"/>
          <w:docPartUnique/>
        </w:docPartObj>
      </w:sdtPr>
      <w:sdtEndPr>
        <w:rPr>
          <w:rFonts w:hint="eastAsia" w:ascii="仿宋_GB2312" w:hAnsi="仿宋_GB2312" w:eastAsia="仿宋_GB2312" w:cs="仿宋_GB2312"/>
          <w:b w:val="0"/>
          <w:bCs/>
          <w:color w:val="auto"/>
          <w:kern w:val="2"/>
          <w:sz w:val="28"/>
          <w:szCs w:val="28"/>
          <w:lang w:val="zh-CN"/>
        </w:rPr>
      </w:sdtEndPr>
      <w:sdtContent>
        <w:p>
          <w:pPr>
            <w:pStyle w:val="24"/>
            <w:spacing w:before="0" w:line="480" w:lineRule="exact"/>
            <w:jc w:val="center"/>
            <w:rPr>
              <w:rFonts w:ascii="仿宋_GB2312" w:hAnsi="黑体" w:eastAsia="仿宋_GB2312"/>
              <w:color w:val="auto"/>
              <w:sz w:val="36"/>
              <w:szCs w:val="36"/>
            </w:rPr>
          </w:pPr>
          <w:r>
            <w:rPr>
              <w:rFonts w:hint="eastAsia" w:ascii="仿宋_GB2312" w:hAnsi="黑体" w:eastAsia="仿宋_GB2312"/>
              <w:color w:val="auto"/>
              <w:sz w:val="36"/>
              <w:szCs w:val="36"/>
            </w:rPr>
            <w:t>目  录</w:t>
          </w:r>
        </w:p>
        <w:p>
          <w:pPr>
            <w:ind w:firstLine="640"/>
          </w:pPr>
        </w:p>
        <w:p>
          <w:pPr>
            <w:pStyle w:val="12"/>
            <w:tabs>
              <w:tab w:val="right" w:leader="dot" w:pos="8306"/>
              <w:tab w:val="clear" w:pos="8296"/>
            </w:tabs>
            <w:rPr>
              <w:rFonts w:hAnsi="仿宋_GB2312" w:cs="仿宋_GB2312"/>
            </w:rPr>
          </w:pPr>
          <w:r>
            <w:rPr>
              <w:rFonts w:hint="eastAsia" w:hAnsi="仿宋_GB2312" w:cs="仿宋_GB2312"/>
              <w:bCs/>
              <w:lang w:val="zh-CN"/>
            </w:rPr>
            <w:fldChar w:fldCharType="begin"/>
          </w:r>
          <w:r>
            <w:rPr>
              <w:rFonts w:hint="eastAsia" w:hAnsi="仿宋_GB2312" w:cs="仿宋_GB2312"/>
              <w:bCs/>
              <w:lang w:val="zh-CN"/>
            </w:rPr>
            <w:instrText xml:space="preserve"> TOC \o "1-3" \h \z \u </w:instrText>
          </w:r>
          <w:r>
            <w:rPr>
              <w:rFonts w:hint="eastAsia" w:hAnsi="仿宋_GB2312" w:cs="仿宋_GB2312"/>
              <w:bCs/>
              <w:lang w:val="zh-CN"/>
            </w:rPr>
            <w:fldChar w:fldCharType="separate"/>
          </w:r>
          <w:r>
            <w:fldChar w:fldCharType="begin"/>
          </w:r>
          <w:r>
            <w:instrText xml:space="preserve"> HYPERLINK \l "_Toc5008" </w:instrText>
          </w:r>
          <w:r>
            <w:fldChar w:fldCharType="separate"/>
          </w:r>
          <w:r>
            <w:rPr>
              <w:rFonts w:hint="eastAsia" w:hAnsi="仿宋_GB2312" w:cs="仿宋_GB2312"/>
            </w:rPr>
            <w:t>一、项目基本情况</w:t>
          </w:r>
          <w:r>
            <w:rPr>
              <w:rFonts w:hint="eastAsia" w:hAnsi="仿宋_GB2312" w:cs="仿宋_GB2312"/>
            </w:rPr>
            <w:tab/>
          </w:r>
          <w:r>
            <w:rPr>
              <w:rFonts w:hint="eastAsia" w:hAnsi="仿宋_GB2312" w:cs="仿宋_GB2312"/>
            </w:rPr>
            <w:fldChar w:fldCharType="begin"/>
          </w:r>
          <w:r>
            <w:rPr>
              <w:rFonts w:hint="eastAsia" w:hAnsi="仿宋_GB2312" w:cs="仿宋_GB2312"/>
            </w:rPr>
            <w:instrText xml:space="preserve"> PAGEREF _Toc5008 </w:instrText>
          </w:r>
          <w:r>
            <w:rPr>
              <w:rFonts w:hint="eastAsia" w:hAnsi="仿宋_GB2312" w:cs="仿宋_GB2312"/>
            </w:rPr>
            <w:fldChar w:fldCharType="separate"/>
          </w:r>
          <w:r>
            <w:rPr>
              <w:rFonts w:hint="eastAsia" w:hAnsi="仿宋_GB2312" w:cs="仿宋_GB2312"/>
            </w:rPr>
            <w:t>1</w:t>
          </w:r>
          <w:r>
            <w:rPr>
              <w:rFonts w:hint="eastAsia" w:hAnsi="仿宋_GB2312" w:cs="仿宋_GB2312"/>
            </w:rPr>
            <w:fldChar w:fldCharType="end"/>
          </w:r>
          <w:r>
            <w:rPr>
              <w:rFonts w:hint="eastAsia" w:hAnsi="仿宋_GB2312" w:cs="仿宋_GB2312"/>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"_Toc25302" </w:instrText>
          </w:r>
          <w:r>
            <w:fldChar w:fldCharType="separate"/>
          </w:r>
          <w:r>
            <w:rPr>
              <w:rFonts w:hint="eastAsia" w:ascii="仿宋_GB2312" w:hAnsi="仿宋_GB2312" w:cs="仿宋_GB2312"/>
              <w:sz w:val="28"/>
              <w:szCs w:val="28"/>
            </w:rPr>
            <w:t>（一）评价对象</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_Toc25302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"_Toc22390" </w:instrText>
          </w:r>
          <w:r>
            <w:fldChar w:fldCharType="separate"/>
          </w:r>
          <w:r>
            <w:rPr>
              <w:rFonts w:hint="eastAsia" w:ascii="仿宋_GB2312" w:hAnsi="仿宋_GB2312" w:cs="仿宋_GB2312"/>
              <w:sz w:val="28"/>
              <w:szCs w:val="28"/>
            </w:rPr>
            <w:t>（二）项目基本情况</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_Toc22390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"_Toc30325" </w:instrText>
          </w:r>
          <w:r>
            <w:fldChar w:fldCharType="separate"/>
          </w:r>
          <w:r>
            <w:rPr>
              <w:rFonts w:hint="eastAsia" w:ascii="仿宋_GB2312" w:hAnsi="仿宋_GB2312" w:cs="仿宋_GB2312"/>
              <w:sz w:val="28"/>
              <w:szCs w:val="28"/>
            </w:rPr>
            <w:t>（三）项目资金使用情况</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_Toc30325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12"/>
            <w:tabs>
              <w:tab w:val="right" w:leader="dot" w:pos="8306"/>
              <w:tab w:val="clear" w:pos="8296"/>
            </w:tabs>
            <w:rPr>
              <w:rFonts w:hAnsi="仿宋_GB2312" w:cs="仿宋_GB2312"/>
            </w:rPr>
          </w:pPr>
          <w:r>
            <w:fldChar w:fldCharType="begin"/>
          </w:r>
          <w:r>
            <w:instrText xml:space="preserve"> HYPERLINK \l "_Toc25924" </w:instrText>
          </w:r>
          <w:r>
            <w:fldChar w:fldCharType="separate"/>
          </w:r>
          <w:r>
            <w:rPr>
              <w:rFonts w:hint="eastAsia" w:hAnsi="仿宋_GB2312" w:cs="仿宋_GB2312"/>
            </w:rPr>
            <w:t>二、绩效评价及分析</w:t>
          </w:r>
          <w:r>
            <w:rPr>
              <w:rFonts w:hint="eastAsia" w:hAnsi="仿宋_GB2312" w:cs="仿宋_GB2312"/>
            </w:rPr>
            <w:tab/>
          </w:r>
          <w:r>
            <w:rPr>
              <w:rFonts w:hint="eastAsia" w:hAnsi="仿宋_GB2312" w:cs="仿宋_GB2312"/>
            </w:rPr>
            <w:fldChar w:fldCharType="begin"/>
          </w:r>
          <w:r>
            <w:rPr>
              <w:rFonts w:hint="eastAsia" w:hAnsi="仿宋_GB2312" w:cs="仿宋_GB2312"/>
            </w:rPr>
            <w:instrText xml:space="preserve"> PAGEREF _Toc25924 </w:instrText>
          </w:r>
          <w:r>
            <w:rPr>
              <w:rFonts w:hint="eastAsia" w:hAnsi="仿宋_GB2312" w:cs="仿宋_GB2312"/>
            </w:rPr>
            <w:fldChar w:fldCharType="separate"/>
          </w:r>
          <w:r>
            <w:rPr>
              <w:rFonts w:hint="eastAsia" w:hAnsi="仿宋_GB2312" w:cs="仿宋_GB2312"/>
            </w:rPr>
            <w:t>1</w:t>
          </w:r>
          <w:r>
            <w:rPr>
              <w:rFonts w:hint="eastAsia" w:hAnsi="仿宋_GB2312" w:cs="仿宋_GB2312"/>
            </w:rPr>
            <w:fldChar w:fldCharType="end"/>
          </w:r>
          <w:r>
            <w:rPr>
              <w:rFonts w:hint="eastAsia" w:hAnsi="仿宋_GB2312" w:cs="仿宋_GB2312"/>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"_Toc31508" </w:instrText>
          </w:r>
          <w:r>
            <w:fldChar w:fldCharType="separate"/>
          </w:r>
          <w:r>
            <w:rPr>
              <w:rFonts w:hint="eastAsia" w:ascii="仿宋_GB2312" w:hAnsi="仿宋_GB2312" w:cs="仿宋_GB2312"/>
              <w:sz w:val="28"/>
              <w:szCs w:val="28"/>
            </w:rPr>
            <w:t>（一）评价目的</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_Toc31508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"_Toc26146" </w:instrText>
          </w:r>
          <w:r>
            <w:fldChar w:fldCharType="separate"/>
          </w:r>
          <w:r>
            <w:rPr>
              <w:rFonts w:hint="eastAsia" w:ascii="仿宋_GB2312" w:hAnsi="仿宋_GB2312" w:cs="仿宋_GB2312"/>
              <w:sz w:val="28"/>
              <w:szCs w:val="28"/>
            </w:rPr>
            <w:t>（二）评价方法</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_Toc26146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2</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"_Toc26089" </w:instrText>
          </w:r>
          <w:r>
            <w:fldChar w:fldCharType="separate"/>
          </w:r>
          <w:r>
            <w:rPr>
              <w:rFonts w:hint="eastAsia" w:ascii="仿宋_GB2312" w:hAnsi="仿宋_GB2312" w:cs="仿宋_GB2312"/>
              <w:sz w:val="28"/>
              <w:szCs w:val="28"/>
            </w:rPr>
            <w:t>（三）评价依据</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_Toc26089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3</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"_Toc4203" </w:instrText>
          </w:r>
          <w:r>
            <w:fldChar w:fldCharType="separate"/>
          </w:r>
          <w:r>
            <w:rPr>
              <w:rFonts w:hint="eastAsia" w:ascii="仿宋_GB2312" w:hAnsi="仿宋_GB2312" w:cs="仿宋_GB2312"/>
              <w:sz w:val="28"/>
              <w:szCs w:val="28"/>
            </w:rPr>
            <w:t>（四）评价工作组织实施</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_Toc4203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4</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12"/>
            <w:tabs>
              <w:tab w:val="right" w:leader="dot" w:pos="8306"/>
              <w:tab w:val="clear" w:pos="8296"/>
            </w:tabs>
            <w:rPr>
              <w:rFonts w:hAnsi="仿宋_GB2312" w:cs="仿宋_GB2312"/>
            </w:rPr>
          </w:pPr>
          <w:r>
            <w:fldChar w:fldCharType="begin"/>
          </w:r>
          <w:r>
            <w:instrText xml:space="preserve"> HYPERLINK \l "_Toc3412" </w:instrText>
          </w:r>
          <w:r>
            <w:fldChar w:fldCharType="separate"/>
          </w:r>
          <w:r>
            <w:rPr>
              <w:rFonts w:hint="eastAsia" w:hAnsi="仿宋_GB2312" w:cs="仿宋_GB2312"/>
            </w:rPr>
            <w:t>三、绩效分析</w:t>
          </w:r>
          <w:r>
            <w:rPr>
              <w:rFonts w:hint="eastAsia" w:hAnsi="仿宋_GB2312" w:cs="仿宋_GB2312"/>
            </w:rPr>
            <w:tab/>
          </w:r>
          <w:r>
            <w:rPr>
              <w:rFonts w:hint="eastAsia" w:hAnsi="仿宋_GB2312" w:cs="仿宋_GB2312"/>
            </w:rPr>
            <w:fldChar w:fldCharType="begin"/>
          </w:r>
          <w:r>
            <w:rPr>
              <w:rFonts w:hint="eastAsia" w:hAnsi="仿宋_GB2312" w:cs="仿宋_GB2312"/>
            </w:rPr>
            <w:instrText xml:space="preserve"> PAGEREF _Toc3412 </w:instrText>
          </w:r>
          <w:r>
            <w:rPr>
              <w:rFonts w:hint="eastAsia" w:hAnsi="仿宋_GB2312" w:cs="仿宋_GB2312"/>
            </w:rPr>
            <w:fldChar w:fldCharType="separate"/>
          </w:r>
          <w:r>
            <w:rPr>
              <w:rFonts w:hint="eastAsia" w:hAnsi="仿宋_GB2312" w:cs="仿宋_GB2312"/>
            </w:rPr>
            <w:t>5</w:t>
          </w:r>
          <w:r>
            <w:rPr>
              <w:rFonts w:hint="eastAsia" w:hAnsi="仿宋_GB2312" w:cs="仿宋_GB2312"/>
            </w:rPr>
            <w:fldChar w:fldCharType="end"/>
          </w:r>
          <w:r>
            <w:rPr>
              <w:rFonts w:hint="eastAsia" w:hAnsi="仿宋_GB2312" w:cs="仿宋_GB2312"/>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"_Toc29564" </w:instrText>
          </w:r>
          <w:r>
            <w:fldChar w:fldCharType="separate"/>
          </w:r>
          <w:r>
            <w:rPr>
              <w:rFonts w:hint="eastAsia" w:ascii="仿宋_GB2312" w:hAnsi="仿宋_GB2312" w:cs="仿宋_GB2312"/>
              <w:sz w:val="28"/>
              <w:szCs w:val="28"/>
            </w:rPr>
            <w:t>（一）绩效评价指标体系设置</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_Toc29564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5</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"_Toc29642" </w:instrText>
          </w:r>
          <w:r>
            <w:fldChar w:fldCharType="separate"/>
          </w:r>
          <w:r>
            <w:rPr>
              <w:rFonts w:hint="eastAsia" w:ascii="仿宋_GB2312" w:hAnsi="仿宋_GB2312" w:cs="仿宋_GB2312"/>
              <w:sz w:val="28"/>
              <w:szCs w:val="28"/>
            </w:rPr>
            <w:t>（二）评价结果</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_Toc29642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5</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"_Toc15936" </w:instrText>
          </w:r>
          <w:r>
            <w:fldChar w:fldCharType="separate"/>
          </w:r>
          <w:r>
            <w:rPr>
              <w:rFonts w:hint="eastAsia" w:ascii="仿宋_GB2312" w:hAnsi="仿宋_GB2312" w:cs="仿宋_GB2312"/>
              <w:sz w:val="28"/>
              <w:szCs w:val="28"/>
            </w:rPr>
            <w:t>（三）绩效分析</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_Toc15936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5</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12"/>
            <w:tabs>
              <w:tab w:val="right" w:leader="dot" w:pos="8306"/>
              <w:tab w:val="clear" w:pos="8296"/>
            </w:tabs>
            <w:rPr>
              <w:rFonts w:hAnsi="仿宋_GB2312" w:cs="仿宋_GB2312"/>
            </w:rPr>
          </w:pPr>
          <w:r>
            <w:fldChar w:fldCharType="begin"/>
          </w:r>
          <w:r>
            <w:instrText xml:space="preserve"> HYPERLINK \l "_Toc14026" </w:instrText>
          </w:r>
          <w:r>
            <w:fldChar w:fldCharType="separate"/>
          </w:r>
          <w:r>
            <w:rPr>
              <w:rFonts w:hint="eastAsia" w:hAnsi="仿宋_GB2312" w:cs="仿宋_GB2312"/>
            </w:rPr>
            <w:t>四、主要经验及业绩</w:t>
          </w:r>
          <w:r>
            <w:rPr>
              <w:rFonts w:hint="eastAsia" w:hAnsi="仿宋_GB2312" w:cs="仿宋_GB2312"/>
            </w:rPr>
            <w:tab/>
          </w:r>
          <w:r>
            <w:rPr>
              <w:rFonts w:hint="eastAsia" w:hAnsi="仿宋_GB2312" w:cs="仿宋_GB2312"/>
            </w:rPr>
            <w:fldChar w:fldCharType="begin"/>
          </w:r>
          <w:r>
            <w:rPr>
              <w:rFonts w:hint="eastAsia" w:hAnsi="仿宋_GB2312" w:cs="仿宋_GB2312"/>
            </w:rPr>
            <w:instrText xml:space="preserve"> PAGEREF _Toc14026 </w:instrText>
          </w:r>
          <w:r>
            <w:rPr>
              <w:rFonts w:hint="eastAsia" w:hAnsi="仿宋_GB2312" w:cs="仿宋_GB2312"/>
            </w:rPr>
            <w:fldChar w:fldCharType="separate"/>
          </w:r>
          <w:r>
            <w:rPr>
              <w:rFonts w:hint="eastAsia" w:hAnsi="仿宋_GB2312" w:cs="仿宋_GB2312"/>
            </w:rPr>
            <w:t>8</w:t>
          </w:r>
          <w:r>
            <w:rPr>
              <w:rFonts w:hint="eastAsia" w:hAnsi="仿宋_GB2312" w:cs="仿宋_GB2312"/>
            </w:rPr>
            <w:fldChar w:fldCharType="end"/>
          </w:r>
          <w:r>
            <w:rPr>
              <w:rFonts w:hint="eastAsia" w:hAnsi="仿宋_GB2312" w:cs="仿宋_GB2312"/>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"_Toc5950" </w:instrText>
          </w:r>
          <w:r>
            <w:fldChar w:fldCharType="separate"/>
          </w:r>
          <w:r>
            <w:rPr>
              <w:rFonts w:hint="eastAsia" w:ascii="仿宋_GB2312" w:hAnsi="仿宋_GB2312" w:cs="仿宋_GB2312"/>
              <w:sz w:val="28"/>
              <w:szCs w:val="28"/>
            </w:rPr>
            <w:t>（一）全面推行河长制湖长制，形成四级全覆盖的河长湖长体系。</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_Toc5950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8</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"_Toc2299" </w:instrText>
          </w:r>
          <w:r>
            <w:fldChar w:fldCharType="separate"/>
          </w:r>
          <w:r>
            <w:rPr>
              <w:rFonts w:hint="eastAsia" w:ascii="仿宋_GB2312" w:hAnsi="仿宋_GB2312" w:cs="仿宋_GB2312"/>
              <w:sz w:val="28"/>
              <w:szCs w:val="28"/>
            </w:rPr>
            <w:t>（二）积极开展巡河巡湖工作，有效解决河道问题。</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_Toc2299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8</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12"/>
            <w:tabs>
              <w:tab w:val="right" w:leader="dot" w:pos="8306"/>
              <w:tab w:val="clear" w:pos="8296"/>
            </w:tabs>
            <w:rPr>
              <w:rFonts w:hAnsi="仿宋_GB2312" w:cs="仿宋_GB2312"/>
            </w:rPr>
          </w:pPr>
          <w:r>
            <w:fldChar w:fldCharType="begin"/>
          </w:r>
          <w:r>
            <w:instrText xml:space="preserve"> HYPERLINK \l "_Toc23206" </w:instrText>
          </w:r>
          <w:r>
            <w:fldChar w:fldCharType="separate"/>
          </w:r>
          <w:r>
            <w:rPr>
              <w:rFonts w:hint="eastAsia" w:hAnsi="仿宋_GB2312" w:cs="仿宋_GB2312"/>
            </w:rPr>
            <w:t>五、存在问题及不足</w:t>
          </w:r>
          <w:r>
            <w:rPr>
              <w:rFonts w:hint="eastAsia" w:hAnsi="仿宋_GB2312" w:cs="仿宋_GB2312"/>
            </w:rPr>
            <w:tab/>
          </w:r>
          <w:r>
            <w:rPr>
              <w:rFonts w:hint="eastAsia" w:hAnsi="仿宋_GB2312" w:cs="仿宋_GB2312"/>
            </w:rPr>
            <w:fldChar w:fldCharType="begin"/>
          </w:r>
          <w:r>
            <w:rPr>
              <w:rFonts w:hint="eastAsia" w:hAnsi="仿宋_GB2312" w:cs="仿宋_GB2312"/>
            </w:rPr>
            <w:instrText xml:space="preserve"> PAGEREF _Toc23206 </w:instrText>
          </w:r>
          <w:r>
            <w:rPr>
              <w:rFonts w:hint="eastAsia" w:hAnsi="仿宋_GB2312" w:cs="仿宋_GB2312"/>
            </w:rPr>
            <w:fldChar w:fldCharType="separate"/>
          </w:r>
          <w:r>
            <w:rPr>
              <w:rFonts w:hint="eastAsia" w:hAnsi="仿宋_GB2312" w:cs="仿宋_GB2312"/>
            </w:rPr>
            <w:t>9</w:t>
          </w:r>
          <w:r>
            <w:rPr>
              <w:rFonts w:hint="eastAsia" w:hAnsi="仿宋_GB2312" w:cs="仿宋_GB2312"/>
            </w:rPr>
            <w:fldChar w:fldCharType="end"/>
          </w:r>
          <w:r>
            <w:rPr>
              <w:rFonts w:hint="eastAsia" w:hAnsi="仿宋_GB2312" w:cs="仿宋_GB2312"/>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"_Toc4209" </w:instrText>
          </w:r>
          <w:r>
            <w:fldChar w:fldCharType="separate"/>
          </w:r>
          <w:r>
            <w:rPr>
              <w:rFonts w:hint="eastAsia" w:ascii="仿宋_GB2312" w:hAnsi="仿宋_GB2312" w:cs="仿宋_GB2312"/>
              <w:sz w:val="28"/>
              <w:szCs w:val="28"/>
            </w:rPr>
            <w:t>（一）河（库）长制宣传工作未进行满意度调查，无法体现宣传效果。</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_Toc4209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9</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"_Toc20569" </w:instrText>
          </w:r>
          <w:r>
            <w:fldChar w:fldCharType="separate"/>
          </w:r>
          <w:r>
            <w:rPr>
              <w:rFonts w:hint="eastAsia" w:ascii="仿宋_GB2312" w:hAnsi="仿宋_GB2312" w:cs="仿宋_GB2312"/>
              <w:sz w:val="28"/>
              <w:szCs w:val="28"/>
            </w:rPr>
            <w:t>（二）缺乏项目规划目标及管理办法，不利于项目管理。</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_Toc20569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9</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"_Toc1972" </w:instrText>
          </w:r>
          <w:r>
            <w:fldChar w:fldCharType="separate"/>
          </w:r>
          <w:r>
            <w:rPr>
              <w:rFonts w:hint="eastAsia" w:ascii="仿宋_GB2312" w:hAnsi="仿宋_GB2312" w:cs="仿宋_GB2312"/>
              <w:sz w:val="28"/>
              <w:szCs w:val="28"/>
            </w:rPr>
            <w:t>（三）未制定资金使用计划，难以发挥资金使用效益。</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_Toc1972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10</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12"/>
            <w:tabs>
              <w:tab w:val="right" w:leader="dot" w:pos="8306"/>
              <w:tab w:val="clear" w:pos="8296"/>
            </w:tabs>
            <w:rPr>
              <w:rFonts w:hAnsi="仿宋_GB2312" w:cs="仿宋_GB2312"/>
            </w:rPr>
          </w:pPr>
          <w:r>
            <w:fldChar w:fldCharType="begin"/>
          </w:r>
          <w:r>
            <w:instrText xml:space="preserve"> HYPERLINK \l "_Toc27549" </w:instrText>
          </w:r>
          <w:r>
            <w:fldChar w:fldCharType="separate"/>
          </w:r>
          <w:r>
            <w:rPr>
              <w:rFonts w:hint="eastAsia" w:hAnsi="仿宋_GB2312" w:cs="仿宋_GB2312"/>
            </w:rPr>
            <w:t>六、政策建议及举措</w:t>
          </w:r>
          <w:r>
            <w:rPr>
              <w:rFonts w:hint="eastAsia" w:hAnsi="仿宋_GB2312" w:cs="仿宋_GB2312"/>
            </w:rPr>
            <w:tab/>
          </w:r>
          <w:r>
            <w:rPr>
              <w:rFonts w:hint="eastAsia" w:hAnsi="仿宋_GB2312" w:cs="仿宋_GB2312"/>
            </w:rPr>
            <w:fldChar w:fldCharType="begin"/>
          </w:r>
          <w:r>
            <w:rPr>
              <w:rFonts w:hint="eastAsia" w:hAnsi="仿宋_GB2312" w:cs="仿宋_GB2312"/>
            </w:rPr>
            <w:instrText xml:space="preserve"> PAGEREF _Toc27549 </w:instrText>
          </w:r>
          <w:r>
            <w:rPr>
              <w:rFonts w:hint="eastAsia" w:hAnsi="仿宋_GB2312" w:cs="仿宋_GB2312"/>
            </w:rPr>
            <w:fldChar w:fldCharType="separate"/>
          </w:r>
          <w:r>
            <w:rPr>
              <w:rFonts w:hint="eastAsia" w:hAnsi="仿宋_GB2312" w:cs="仿宋_GB2312"/>
            </w:rPr>
            <w:t>10</w:t>
          </w:r>
          <w:r>
            <w:rPr>
              <w:rFonts w:hint="eastAsia" w:hAnsi="仿宋_GB2312" w:cs="仿宋_GB2312"/>
            </w:rPr>
            <w:fldChar w:fldCharType="end"/>
          </w:r>
          <w:r>
            <w:rPr>
              <w:rFonts w:hint="eastAsia" w:hAnsi="仿宋_GB2312" w:cs="仿宋_GB2312"/>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"_Toc5222" </w:instrText>
          </w:r>
          <w:r>
            <w:fldChar w:fldCharType="separate"/>
          </w:r>
          <w:r>
            <w:rPr>
              <w:rFonts w:hint="eastAsia" w:ascii="仿宋_GB2312" w:hAnsi="仿宋_GB2312" w:cs="仿宋_GB2312"/>
              <w:sz w:val="28"/>
              <w:szCs w:val="28"/>
            </w:rPr>
            <w:t>（一）对河（库）长制宣传工作进行满意度调查。</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_Toc5222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10</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"_Toc1332" </w:instrText>
          </w:r>
          <w:r>
            <w:fldChar w:fldCharType="separate"/>
          </w:r>
          <w:r>
            <w:rPr>
              <w:rFonts w:hint="eastAsia" w:ascii="仿宋_GB2312" w:hAnsi="仿宋_GB2312" w:cs="仿宋_GB2312"/>
              <w:sz w:val="28"/>
              <w:szCs w:val="28"/>
            </w:rPr>
            <w:t>（二）健全并完善项目管理办法，提升项目管理水平。</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_Toc1332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10</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2"/>
            <w:tabs>
              <w:tab w:val="right" w:leader="dot" w:pos="8306"/>
              <w:tab w:val="clear" w:pos="8296"/>
            </w:tabs>
            <w:ind w:left="640" w:hanging="70"/>
            <w:rPr>
              <w:rFonts w:ascii="仿宋_GB2312" w:hAnsi="仿宋_GB2312" w:cs="仿宋_GB2312"/>
              <w:sz w:val="28"/>
              <w:szCs w:val="28"/>
            </w:rPr>
          </w:pPr>
          <w:r>
            <w:fldChar w:fldCharType="begin"/>
          </w:r>
          <w:r>
            <w:instrText xml:space="preserve"> HYPERLINK \l "_Toc30527" </w:instrText>
          </w:r>
          <w:r>
            <w:fldChar w:fldCharType="separate"/>
          </w:r>
          <w:r>
            <w:rPr>
              <w:rFonts w:hint="eastAsia" w:ascii="仿宋_GB2312" w:hAnsi="仿宋_GB2312" w:cs="仿宋_GB2312"/>
              <w:sz w:val="28"/>
              <w:szCs w:val="28"/>
            </w:rPr>
            <w:t>（三）制定资金使用计划，充分发挥财政资金使用效益。</w:t>
          </w:r>
          <w:r>
            <w:rPr>
              <w:rFonts w:hint="eastAsia" w:ascii="仿宋_GB2312" w:hAnsi="仿宋_GB2312" w:cs="仿宋_GB2312"/>
              <w:sz w:val="28"/>
              <w:szCs w:val="28"/>
            </w:rPr>
            <w:tab/>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PAGEREF _Toc30527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11</w: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end"/>
          </w:r>
        </w:p>
        <w:p>
          <w:pPr>
            <w:pStyle w:val="12"/>
            <w:tabs>
              <w:tab w:val="right" w:leader="dot" w:pos="8306"/>
              <w:tab w:val="clear" w:pos="8296"/>
            </w:tabs>
            <w:rPr>
              <w:rFonts w:hAnsi="仿宋_GB2312" w:cs="仿宋_GB2312"/>
            </w:rPr>
          </w:pPr>
          <w:r>
            <w:fldChar w:fldCharType="begin"/>
          </w:r>
          <w:r>
            <w:instrText xml:space="preserve"> HYPERLINK \l "_Toc492" </w:instrText>
          </w:r>
          <w:r>
            <w:fldChar w:fldCharType="separate"/>
          </w:r>
          <w:r>
            <w:rPr>
              <w:rFonts w:hint="eastAsia" w:hAnsi="仿宋_GB2312" w:cs="仿宋_GB2312"/>
            </w:rPr>
            <w:t>附件1 评分表</w:t>
          </w:r>
          <w:r>
            <w:rPr>
              <w:rFonts w:hint="eastAsia" w:hAnsi="仿宋_GB2312" w:cs="仿宋_GB2312"/>
            </w:rPr>
            <w:tab/>
          </w:r>
          <w:r>
            <w:rPr>
              <w:rFonts w:hint="eastAsia" w:hAnsi="仿宋_GB2312" w:cs="仿宋_GB2312"/>
            </w:rPr>
            <w:fldChar w:fldCharType="begin"/>
          </w:r>
          <w:r>
            <w:rPr>
              <w:rFonts w:hint="eastAsia" w:hAnsi="仿宋_GB2312" w:cs="仿宋_GB2312"/>
            </w:rPr>
            <w:instrText xml:space="preserve"> PAGEREF _Toc492 </w:instrText>
          </w:r>
          <w:r>
            <w:rPr>
              <w:rFonts w:hint="eastAsia" w:hAnsi="仿宋_GB2312" w:cs="仿宋_GB2312"/>
            </w:rPr>
            <w:fldChar w:fldCharType="separate"/>
          </w:r>
          <w:r>
            <w:rPr>
              <w:rFonts w:hint="eastAsia" w:hAnsi="仿宋_GB2312" w:cs="仿宋_GB2312"/>
            </w:rPr>
            <w:t>12</w:t>
          </w:r>
          <w:r>
            <w:rPr>
              <w:rFonts w:hint="eastAsia" w:hAnsi="仿宋_GB2312" w:cs="仿宋_GB2312"/>
            </w:rPr>
            <w:fldChar w:fldCharType="end"/>
          </w:r>
          <w:r>
            <w:rPr>
              <w:rFonts w:hint="eastAsia" w:hAnsi="仿宋_GB2312" w:cs="仿宋_GB2312"/>
            </w:rPr>
            <w:fldChar w:fldCharType="end"/>
          </w:r>
        </w:p>
        <w:p>
          <w:pPr>
            <w:pStyle w:val="12"/>
            <w:tabs>
              <w:tab w:val="right" w:leader="dot" w:pos="8306"/>
              <w:tab w:val="clear" w:pos="8296"/>
            </w:tabs>
            <w:rPr>
              <w:rFonts w:hAnsi="仿宋_GB2312" w:cs="仿宋_GB2312"/>
            </w:rPr>
          </w:pPr>
          <w:r>
            <w:fldChar w:fldCharType="begin"/>
          </w:r>
          <w:r>
            <w:instrText xml:space="preserve"> HYPERLINK \l "_Toc29930" </w:instrText>
          </w:r>
          <w:r>
            <w:fldChar w:fldCharType="separate"/>
          </w:r>
          <w:r>
            <w:rPr>
              <w:rFonts w:hint="eastAsia" w:hAnsi="仿宋_GB2312" w:cs="仿宋_GB2312"/>
            </w:rPr>
            <w:t>附件2 评价小组人员名单</w:t>
          </w:r>
          <w:r>
            <w:rPr>
              <w:rFonts w:hint="eastAsia" w:hAnsi="仿宋_GB2312" w:cs="仿宋_GB2312"/>
            </w:rPr>
            <w:tab/>
          </w:r>
          <w:r>
            <w:rPr>
              <w:rFonts w:hint="eastAsia" w:hAnsi="仿宋_GB2312" w:cs="仿宋_GB2312"/>
            </w:rPr>
            <w:fldChar w:fldCharType="begin"/>
          </w:r>
          <w:r>
            <w:rPr>
              <w:rFonts w:hint="eastAsia" w:hAnsi="仿宋_GB2312" w:cs="仿宋_GB2312"/>
            </w:rPr>
            <w:instrText xml:space="preserve"> PAGEREF _Toc29930 </w:instrText>
          </w:r>
          <w:r>
            <w:rPr>
              <w:rFonts w:hint="eastAsia" w:hAnsi="仿宋_GB2312" w:cs="仿宋_GB2312"/>
            </w:rPr>
            <w:fldChar w:fldCharType="separate"/>
          </w:r>
          <w:r>
            <w:rPr>
              <w:rFonts w:hint="eastAsia" w:hAnsi="仿宋_GB2312" w:cs="仿宋_GB2312"/>
            </w:rPr>
            <w:t>18</w:t>
          </w:r>
          <w:r>
            <w:rPr>
              <w:rFonts w:hint="eastAsia" w:hAnsi="仿宋_GB2312" w:cs="仿宋_GB2312"/>
            </w:rPr>
            <w:fldChar w:fldCharType="end"/>
          </w:r>
          <w:r>
            <w:rPr>
              <w:rFonts w:hint="eastAsia" w:hAnsi="仿宋_GB2312" w:cs="仿宋_GB2312"/>
            </w:rPr>
            <w:fldChar w:fldCharType="end"/>
          </w:r>
        </w:p>
        <w:p>
          <w:pPr>
            <w:spacing w:line="480" w:lineRule="exact"/>
            <w:ind w:firstLine="0" w:firstLineChars="0"/>
            <w:rPr>
              <w:rFonts w:ascii="仿宋_GB2312" w:hAnsi="仿宋_GB2312" w:cs="仿宋_GB2312"/>
              <w:sz w:val="28"/>
              <w:szCs w:val="28"/>
            </w:rPr>
          </w:pPr>
          <w:r>
            <w:rPr>
              <w:rFonts w:hint="eastAsia" w:ascii="仿宋_GB2312" w:hAnsi="仿宋_GB2312" w:cs="仿宋_GB2312"/>
              <w:bCs/>
              <w:sz w:val="28"/>
              <w:szCs w:val="28"/>
              <w:lang w:val="zh-CN"/>
            </w:rPr>
            <w:fldChar w:fldCharType="end"/>
          </w:r>
        </w:p>
      </w:sdtContent>
    </w:sdt>
    <w:p>
      <w:pPr>
        <w:spacing w:line="40" w:lineRule="exact"/>
        <w:ind w:firstLine="640"/>
      </w:pPr>
    </w:p>
    <w:p>
      <w:pPr>
        <w:spacing w:line="40" w:lineRule="exact"/>
        <w:ind w:left="640"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13"/>
        <w:rPr>
          <w:sz w:val="40"/>
        </w:rPr>
      </w:pPr>
      <w:r>
        <w:rPr>
          <w:rFonts w:hint="eastAsia"/>
          <w:sz w:val="40"/>
        </w:rPr>
        <w:t>河（库）长制工作经费</w:t>
      </w:r>
    </w:p>
    <w:p>
      <w:pPr>
        <w:pStyle w:val="13"/>
        <w:rPr>
          <w:sz w:val="40"/>
          <w:szCs w:val="40"/>
        </w:rPr>
      </w:pPr>
      <w:r>
        <w:rPr>
          <w:rFonts w:hint="eastAsia"/>
          <w:sz w:val="40"/>
          <w:szCs w:val="40"/>
        </w:rPr>
        <w:t>财政资金绩效评价报告</w:t>
      </w:r>
    </w:p>
    <w:p>
      <w:pPr>
        <w:ind w:firstLine="640"/>
        <w:rPr>
          <w:rFonts w:hAnsi="仿宋"/>
          <w:szCs w:val="32"/>
        </w:rPr>
      </w:pPr>
      <w:r>
        <w:rPr>
          <w:rFonts w:hint="eastAsia"/>
        </w:rPr>
        <w:t>为了评价</w:t>
      </w:r>
      <w:r>
        <w:t>2018</w:t>
      </w:r>
      <w:r>
        <w:rPr>
          <w:rFonts w:hint="eastAsia"/>
        </w:rPr>
        <w:t>年度汕尾市市级部门预算项目支出资金使用绩效，致同会计师事务所（特殊普通合伙）广州分所受汕尾市财政局委托，对汕尾市水务局（以下简称“市水务局”）具体实施的</w:t>
      </w:r>
      <w:r>
        <w:rPr>
          <w:rFonts w:hint="eastAsia" w:hAnsi="仿宋"/>
          <w:szCs w:val="32"/>
        </w:rPr>
        <w:t>河（库）长制工作经费</w:t>
      </w:r>
      <w:r>
        <w:rPr>
          <w:rFonts w:hint="eastAsia"/>
        </w:rPr>
        <w:t>项目进行第三方绩效评价。经过第三方现场核查与综合分析评价，最终得出评价结论并形成本评价报告。</w:t>
      </w:r>
    </w:p>
    <w:p>
      <w:pPr>
        <w:pStyle w:val="3"/>
        <w:ind w:firstLine="640"/>
      </w:pPr>
      <w:bookmarkStart w:id="0" w:name="_Toc26045505"/>
      <w:bookmarkStart w:id="1" w:name="_Toc5008"/>
      <w:r>
        <w:rPr>
          <w:rFonts w:hint="eastAsia"/>
        </w:rPr>
        <w:t>一、项目基本情况</w:t>
      </w:r>
      <w:bookmarkEnd w:id="0"/>
      <w:bookmarkEnd w:id="1"/>
    </w:p>
    <w:p>
      <w:pPr>
        <w:pStyle w:val="4"/>
      </w:pPr>
      <w:bookmarkStart w:id="2" w:name="_Toc26045506"/>
      <w:bookmarkStart w:id="3" w:name="_Toc25302"/>
      <w:r>
        <w:rPr>
          <w:rFonts w:hint="eastAsia"/>
        </w:rPr>
        <w:t>（一）评价对象</w:t>
      </w:r>
      <w:bookmarkEnd w:id="2"/>
      <w:bookmarkEnd w:id="3"/>
    </w:p>
    <w:p>
      <w:pPr>
        <w:ind w:firstLine="643"/>
        <w:rPr>
          <w:bCs/>
        </w:rPr>
      </w:pPr>
      <w:bookmarkStart w:id="4" w:name="_Hlk17055254"/>
      <w:r>
        <w:rPr>
          <w:rFonts w:hint="eastAsia"/>
          <w:b/>
        </w:rPr>
        <w:t>评价对象：</w:t>
      </w:r>
      <w:r>
        <w:rPr>
          <w:rFonts w:hint="eastAsia"/>
          <w:bCs/>
        </w:rPr>
        <w:t>汕尾市水务局河（库）长制工作经费项目</w:t>
      </w:r>
    </w:p>
    <w:p>
      <w:pPr>
        <w:ind w:firstLine="643"/>
      </w:pPr>
      <w:r>
        <w:rPr>
          <w:rFonts w:hint="eastAsia" w:hAnsi="仿宋"/>
          <w:b/>
          <w:szCs w:val="32"/>
        </w:rPr>
        <w:t>评价基准日：</w:t>
      </w:r>
      <w:r>
        <w:rPr>
          <w:rFonts w:hAnsi="仿宋"/>
          <w:szCs w:val="32"/>
        </w:rPr>
        <w:t>2018</w:t>
      </w:r>
      <w:r>
        <w:rPr>
          <w:rFonts w:hint="eastAsia" w:hAnsi="仿宋"/>
          <w:szCs w:val="32"/>
        </w:rPr>
        <w:t>年</w:t>
      </w:r>
      <w:r>
        <w:rPr>
          <w:rFonts w:hAnsi="仿宋"/>
          <w:szCs w:val="32"/>
        </w:rPr>
        <w:t>12</w:t>
      </w:r>
      <w:r>
        <w:rPr>
          <w:rFonts w:hint="eastAsia" w:hAnsi="仿宋"/>
          <w:szCs w:val="32"/>
        </w:rPr>
        <w:t>月</w:t>
      </w:r>
      <w:r>
        <w:rPr>
          <w:rFonts w:hAnsi="仿宋"/>
          <w:szCs w:val="32"/>
        </w:rPr>
        <w:t>31</w:t>
      </w:r>
      <w:r>
        <w:rPr>
          <w:rFonts w:hint="eastAsia" w:hAnsi="仿宋"/>
          <w:szCs w:val="32"/>
        </w:rPr>
        <w:t>日</w:t>
      </w:r>
    </w:p>
    <w:bookmarkEnd w:id="4"/>
    <w:p>
      <w:pPr>
        <w:pStyle w:val="4"/>
      </w:pPr>
      <w:bookmarkStart w:id="5" w:name="_Toc26045507"/>
      <w:bookmarkStart w:id="6" w:name="_Toc22390"/>
      <w:r>
        <w:rPr>
          <w:rFonts w:hint="eastAsia"/>
        </w:rPr>
        <w:t>（二）项目基本情况</w:t>
      </w:r>
      <w:bookmarkEnd w:id="5"/>
      <w:bookmarkEnd w:id="6"/>
    </w:p>
    <w:p>
      <w:pPr>
        <w:ind w:firstLine="640"/>
      </w:pPr>
      <w:r>
        <w:rPr>
          <w:rFonts w:hint="eastAsia"/>
        </w:rPr>
        <w:t>本项目为2018年中追加项目，根据《汕尾市全面推行河（库）长制实施方案》实施，项目组织实施机构为汕尾市水务局，实际负责科室为河长办公室，主要用于全面推进河（库）长制工作经费。</w:t>
      </w:r>
    </w:p>
    <w:p>
      <w:pPr>
        <w:pStyle w:val="4"/>
      </w:pPr>
      <w:bookmarkStart w:id="7" w:name="_Toc30325"/>
      <w:bookmarkStart w:id="8" w:name="_Toc26045509"/>
      <w:r>
        <w:rPr>
          <w:rFonts w:hint="eastAsia"/>
        </w:rPr>
        <w:t>（三）项目资金使用情况</w:t>
      </w:r>
      <w:bookmarkEnd w:id="7"/>
      <w:bookmarkEnd w:id="8"/>
    </w:p>
    <w:p>
      <w:pPr>
        <w:ind w:firstLine="640"/>
      </w:pPr>
      <w:bookmarkStart w:id="9" w:name="_Toc25924"/>
      <w:bookmarkStart w:id="10" w:name="_Toc26045510"/>
      <w:r>
        <w:rPr>
          <w:rFonts w:hint="eastAsia"/>
        </w:rPr>
        <w:t>本项目资金预算安排100万元，实际支付140万元，支出率140%，超支40%，存在项目单位垫资情况。</w:t>
      </w:r>
    </w:p>
    <w:p>
      <w:pPr>
        <w:pStyle w:val="3"/>
        <w:ind w:firstLine="640"/>
      </w:pPr>
      <w:r>
        <w:rPr>
          <w:rFonts w:hint="eastAsia"/>
        </w:rPr>
        <w:t>二、绩效评价及分析</w:t>
      </w:r>
      <w:bookmarkEnd w:id="9"/>
      <w:bookmarkEnd w:id="10"/>
    </w:p>
    <w:p>
      <w:pPr>
        <w:pStyle w:val="4"/>
      </w:pPr>
      <w:bookmarkStart w:id="11" w:name="_Toc26045511"/>
      <w:bookmarkStart w:id="12" w:name="_Toc31508"/>
      <w:r>
        <w:rPr>
          <w:rFonts w:hint="eastAsia"/>
        </w:rPr>
        <w:t>（一）评价目的</w:t>
      </w:r>
      <w:bookmarkEnd w:id="11"/>
      <w:bookmarkEnd w:id="12"/>
    </w:p>
    <w:p>
      <w:pPr>
        <w:ind w:firstLine="640"/>
      </w:pPr>
      <w:r>
        <w:rPr>
          <w:rFonts w:hint="eastAsia"/>
        </w:rPr>
        <w:t>为了客观评价</w:t>
      </w:r>
      <w:r>
        <w:t>2018</w:t>
      </w:r>
      <w:r>
        <w:rPr>
          <w:rFonts w:hint="eastAsia"/>
        </w:rPr>
        <w:t>年度汕尾市河（库）长制工作经费</w:t>
      </w:r>
      <w:r>
        <w:rPr>
          <w:rFonts w:hint="eastAsia" w:hAnsi="仿宋"/>
          <w:szCs w:val="32"/>
        </w:rPr>
        <w:t>项目</w:t>
      </w:r>
      <w:r>
        <w:rPr>
          <w:rFonts w:hint="eastAsia"/>
        </w:rPr>
        <w:t>的经费使用情况，衡量一个完整财政年度内项目支出的整体绩效。从资金使用的经济性、效率性、效果性和公平性进行客观、公正的综合评判。本次绩效评价工作旨在总结既有经验、分析存在问题，强化部门预算绩效管理意识，促进被评价部门从整体上提升预算绩效管理工作水平，强化部门支出责任，规范资金管理行为，提高财政资金使用效益，为财政资金投入的科学性、安全性、规范性与效益性提供保障。</w:t>
      </w:r>
      <w:r>
        <w:t xml:space="preserve"> </w:t>
      </w:r>
    </w:p>
    <w:p>
      <w:pPr>
        <w:pStyle w:val="4"/>
      </w:pPr>
      <w:bookmarkStart w:id="13" w:name="_Toc16682928"/>
      <w:bookmarkStart w:id="14" w:name="_Toc26146"/>
      <w:bookmarkStart w:id="15" w:name="_Toc26045512"/>
      <w:r>
        <w:rPr>
          <w:rFonts w:hint="eastAsia"/>
        </w:rPr>
        <w:t>（二）评价方法</w:t>
      </w:r>
      <w:bookmarkEnd w:id="13"/>
      <w:bookmarkEnd w:id="14"/>
      <w:bookmarkEnd w:id="15"/>
    </w:p>
    <w:p>
      <w:pPr>
        <w:ind w:firstLine="640"/>
      </w:pPr>
      <w:r>
        <w:rPr>
          <w:rFonts w:hint="eastAsia"/>
          <w:color w:val="000000"/>
        </w:rPr>
        <w:t>本次评价遵循“客观、公正、科学、规范”的原则，通过对项目的经济性、效率性、有效性、公平性的比较和分析，检测</w:t>
      </w:r>
      <w:r>
        <w:rPr>
          <w:rFonts w:hint="eastAsia"/>
        </w:rPr>
        <w:t>评价财政支出效率、效益、效果。为使评价结论科学合理、客观公正，评价方法主要采用成本效益分析法、目标结果比较法、因素分析法、公众评判法、穿行测试法等多种方法，评价指标分析主要采用定量指标分析，并辅以部分定性分析。</w:t>
      </w:r>
    </w:p>
    <w:p>
      <w:pPr>
        <w:ind w:firstLine="0" w:firstLineChars="0"/>
        <w:jc w:val="center"/>
        <w:rPr>
          <w:b/>
        </w:rPr>
      </w:pPr>
      <w:r>
        <w:rPr>
          <w:rFonts w:hint="eastAsia"/>
          <w:b/>
        </w:rPr>
        <w:t>表</w:t>
      </w:r>
      <w:r>
        <w:rPr>
          <w:b/>
        </w:rPr>
        <w:t xml:space="preserve">2-1 </w:t>
      </w:r>
      <w:r>
        <w:rPr>
          <w:rFonts w:hint="eastAsia"/>
          <w:b/>
        </w:rPr>
        <w:t>主要评价方法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45"/>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20"/>
              <w:jc w:val="center"/>
              <w:rPr>
                <w:b/>
                <w:lang w:val="zh-CN"/>
              </w:rPr>
            </w:pPr>
            <w:r>
              <w:rPr>
                <w:rFonts w:hint="eastAsia"/>
                <w:b/>
                <w:lang w:val="zh-CN"/>
              </w:rPr>
              <w:t>序号</w:t>
            </w:r>
          </w:p>
        </w:tc>
        <w:tc>
          <w:tcPr>
            <w:tcW w:w="2245" w:type="dxa"/>
            <w:vAlign w:val="center"/>
          </w:tcPr>
          <w:p>
            <w:pPr>
              <w:pStyle w:val="20"/>
              <w:jc w:val="center"/>
              <w:rPr>
                <w:b/>
                <w:lang w:val="zh-CN"/>
              </w:rPr>
            </w:pPr>
            <w:r>
              <w:rPr>
                <w:rFonts w:hint="eastAsia"/>
                <w:b/>
                <w:lang w:val="zh-CN"/>
              </w:rPr>
              <w:t>评价方法</w:t>
            </w:r>
          </w:p>
        </w:tc>
        <w:tc>
          <w:tcPr>
            <w:tcW w:w="5976" w:type="dxa"/>
            <w:vAlign w:val="center"/>
          </w:tcPr>
          <w:p>
            <w:pPr>
              <w:pStyle w:val="20"/>
              <w:jc w:val="center"/>
              <w:rPr>
                <w:b/>
                <w:lang w:val="zh-CN"/>
              </w:rPr>
            </w:pPr>
            <w:r>
              <w:rPr>
                <w:rFonts w:hint="eastAsia"/>
                <w:b/>
                <w:lang w:val="zh-CN"/>
              </w:rPr>
              <w:t>方法说明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20"/>
              <w:jc w:val="center"/>
              <w:rPr>
                <w:b/>
                <w:lang w:val="zh-CN"/>
              </w:rPr>
            </w:pPr>
            <w:r>
              <w:rPr>
                <w:rFonts w:hint="eastAsia"/>
                <w:lang w:val="zh-CN"/>
              </w:rPr>
              <w:t>1</w:t>
            </w:r>
          </w:p>
        </w:tc>
        <w:tc>
          <w:tcPr>
            <w:tcW w:w="2245" w:type="dxa"/>
            <w:vAlign w:val="center"/>
          </w:tcPr>
          <w:p>
            <w:pPr>
              <w:pStyle w:val="20"/>
              <w:rPr>
                <w:lang w:val="zh-CN"/>
              </w:rPr>
            </w:pPr>
            <w:r>
              <w:rPr>
                <w:rFonts w:hint="eastAsia"/>
                <w:lang w:val="zh-CN"/>
              </w:rPr>
              <w:t>成本效益分析法</w:t>
            </w:r>
          </w:p>
        </w:tc>
        <w:tc>
          <w:tcPr>
            <w:tcW w:w="5976" w:type="dxa"/>
            <w:vAlign w:val="center"/>
          </w:tcPr>
          <w:p>
            <w:pPr>
              <w:pStyle w:val="20"/>
              <w:rPr>
                <w:lang w:val="zh-CN"/>
              </w:rPr>
            </w:pPr>
            <w:r>
              <w:rPr>
                <w:rFonts w:hint="eastAsia"/>
                <w:lang w:val="zh-CN"/>
              </w:rPr>
              <w:t>将一定时期内的支出与效益进行对比分析以评价绩效目标实现程度，适用于成本、效益都能准确计量的项目绩效评价。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20"/>
              <w:jc w:val="center"/>
              <w:rPr>
                <w:b/>
                <w:lang w:val="zh-CN"/>
              </w:rPr>
            </w:pPr>
            <w:r>
              <w:rPr>
                <w:rFonts w:hint="eastAsia"/>
                <w:lang w:val="zh-CN"/>
              </w:rPr>
              <w:t>2</w:t>
            </w:r>
          </w:p>
        </w:tc>
        <w:tc>
          <w:tcPr>
            <w:tcW w:w="2245" w:type="dxa"/>
            <w:vAlign w:val="center"/>
          </w:tcPr>
          <w:p>
            <w:pPr>
              <w:pStyle w:val="20"/>
              <w:rPr>
                <w:lang w:val="zh-CN"/>
              </w:rPr>
            </w:pPr>
            <w:r>
              <w:rPr>
                <w:rFonts w:hint="eastAsia"/>
                <w:lang w:val="zh-CN"/>
              </w:rPr>
              <w:t>目标结果比较法</w:t>
            </w:r>
          </w:p>
        </w:tc>
        <w:tc>
          <w:tcPr>
            <w:tcW w:w="5976" w:type="dxa"/>
            <w:vAlign w:val="center"/>
          </w:tcPr>
          <w:p>
            <w:pPr>
              <w:pStyle w:val="20"/>
              <w:rPr>
                <w:lang w:val="zh-CN"/>
              </w:rPr>
            </w:pPr>
            <w:r>
              <w:rPr>
                <w:rFonts w:hint="eastAsia"/>
                <w:lang w:val="zh-CN"/>
              </w:rPr>
              <w:t>通过对绩效目标与实施效果、历史与当期情况、同部门和地区同类支出的比较，综合分析绩效目标实现程度。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20"/>
              <w:jc w:val="center"/>
              <w:rPr>
                <w:b/>
                <w:lang w:val="zh-CN"/>
              </w:rPr>
            </w:pPr>
            <w:r>
              <w:rPr>
                <w:rFonts w:hint="eastAsia"/>
                <w:lang w:val="zh-CN"/>
              </w:rPr>
              <w:t>3</w:t>
            </w:r>
          </w:p>
        </w:tc>
        <w:tc>
          <w:tcPr>
            <w:tcW w:w="2245" w:type="dxa"/>
            <w:vAlign w:val="center"/>
          </w:tcPr>
          <w:p>
            <w:pPr>
              <w:pStyle w:val="20"/>
              <w:rPr>
                <w:lang w:val="zh-CN"/>
              </w:rPr>
            </w:pPr>
            <w:r>
              <w:rPr>
                <w:rFonts w:hint="eastAsia"/>
                <w:lang w:val="zh-CN"/>
              </w:rPr>
              <w:t>因素分析法</w:t>
            </w:r>
          </w:p>
        </w:tc>
        <w:tc>
          <w:tcPr>
            <w:tcW w:w="5976" w:type="dxa"/>
            <w:vAlign w:val="center"/>
          </w:tcPr>
          <w:p>
            <w:pPr>
              <w:pStyle w:val="20"/>
              <w:rPr>
                <w:lang w:val="zh-CN"/>
              </w:rPr>
            </w:pPr>
            <w:r>
              <w:rPr>
                <w:rFonts w:hint="eastAsia"/>
                <w:lang w:val="zh-CN"/>
              </w:rPr>
              <w:t>通过综合分析影响绩效目标实现、实施效果的内外因素，评价绩效目标实现程度。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20"/>
              <w:jc w:val="center"/>
              <w:rPr>
                <w:b/>
                <w:lang w:val="zh-CN"/>
              </w:rPr>
            </w:pPr>
            <w:r>
              <w:rPr>
                <w:rFonts w:hint="eastAsia"/>
                <w:lang w:val="zh-CN"/>
              </w:rPr>
              <w:t>4</w:t>
            </w:r>
          </w:p>
        </w:tc>
        <w:tc>
          <w:tcPr>
            <w:tcW w:w="2245" w:type="dxa"/>
            <w:vAlign w:val="center"/>
          </w:tcPr>
          <w:p>
            <w:pPr>
              <w:pStyle w:val="20"/>
              <w:rPr>
                <w:lang w:val="zh-CN"/>
              </w:rPr>
            </w:pPr>
            <w:r>
              <w:rPr>
                <w:rFonts w:hint="eastAsia"/>
                <w:lang w:val="zh-CN"/>
              </w:rPr>
              <w:t>公众评判法</w:t>
            </w:r>
          </w:p>
        </w:tc>
        <w:tc>
          <w:tcPr>
            <w:tcW w:w="5976" w:type="dxa"/>
            <w:vAlign w:val="center"/>
          </w:tcPr>
          <w:p>
            <w:pPr>
              <w:pStyle w:val="20"/>
              <w:rPr>
                <w:lang w:val="zh-CN"/>
              </w:rPr>
            </w:pPr>
            <w:r>
              <w:rPr>
                <w:rFonts w:hint="eastAsia"/>
                <w:lang w:val="zh-CN"/>
              </w:rPr>
              <w:t>通过专家评估、公众问卷及抽样调查等对财政支出效果进行评判，评价绩效目标实现程度。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20"/>
              <w:jc w:val="center"/>
              <w:rPr>
                <w:b/>
                <w:lang w:val="zh-CN"/>
              </w:rPr>
            </w:pPr>
            <w:r>
              <w:rPr>
                <w:rFonts w:hint="eastAsia"/>
                <w:lang w:val="zh-CN"/>
              </w:rPr>
              <w:t>5</w:t>
            </w:r>
          </w:p>
        </w:tc>
        <w:tc>
          <w:tcPr>
            <w:tcW w:w="2245" w:type="dxa"/>
            <w:vAlign w:val="center"/>
          </w:tcPr>
          <w:p>
            <w:pPr>
              <w:pStyle w:val="20"/>
              <w:rPr>
                <w:lang w:val="zh-CN"/>
              </w:rPr>
            </w:pPr>
            <w:r>
              <w:rPr>
                <w:rFonts w:hint="eastAsia"/>
                <w:lang w:val="zh-CN"/>
              </w:rPr>
              <w:t>穿行测试法</w:t>
            </w:r>
          </w:p>
        </w:tc>
        <w:tc>
          <w:tcPr>
            <w:tcW w:w="5976" w:type="dxa"/>
            <w:vAlign w:val="center"/>
          </w:tcPr>
          <w:p>
            <w:pPr>
              <w:pStyle w:val="20"/>
            </w:pPr>
            <w:r>
              <w:rPr>
                <w:rFonts w:hint="eastAsia"/>
              </w:rPr>
              <w:t>通过追踪项目实施内容在财务信息中的处理过程，采用询问、观察、检查等方式以确定是否与初始认知一致，了解项目的真实情况，评价前期投入及过程管理的规范性。</w:t>
            </w:r>
          </w:p>
        </w:tc>
      </w:tr>
    </w:tbl>
    <w:p>
      <w:pPr>
        <w:pStyle w:val="4"/>
      </w:pPr>
      <w:bookmarkStart w:id="16" w:name="_Toc16682929"/>
      <w:bookmarkStart w:id="17" w:name="_Toc26045513"/>
      <w:bookmarkStart w:id="18" w:name="_Toc26089"/>
      <w:r>
        <w:rPr>
          <w:rFonts w:hint="eastAsia"/>
        </w:rPr>
        <w:t>（三）评价依据</w:t>
      </w:r>
      <w:bookmarkEnd w:id="16"/>
      <w:bookmarkEnd w:id="17"/>
      <w:bookmarkEnd w:id="18"/>
    </w:p>
    <w:p>
      <w:pPr>
        <w:ind w:firstLine="640"/>
      </w:pPr>
      <w:r>
        <w:rPr>
          <w:rFonts w:hint="eastAsia"/>
        </w:rPr>
        <w:t>本次评价的主要依据见表</w:t>
      </w:r>
      <w:r>
        <w:t>2-2</w:t>
      </w:r>
      <w:r>
        <w:rPr>
          <w:rFonts w:hint="eastAsia"/>
        </w:rPr>
        <w:t>。</w:t>
      </w:r>
    </w:p>
    <w:p>
      <w:pPr>
        <w:ind w:firstLine="0" w:firstLineChars="0"/>
        <w:jc w:val="center"/>
        <w:rPr>
          <w:b/>
        </w:rPr>
      </w:pPr>
      <w:r>
        <w:rPr>
          <w:rFonts w:hint="eastAsia"/>
          <w:b/>
        </w:rPr>
        <w:t>表</w:t>
      </w:r>
      <w:r>
        <w:rPr>
          <w:b/>
        </w:rPr>
        <w:t xml:space="preserve">2-2 </w:t>
      </w:r>
      <w:r>
        <w:rPr>
          <w:rFonts w:hint="eastAsia"/>
          <w:b/>
        </w:rPr>
        <w:t>项目绩效评价依据</w:t>
      </w:r>
    </w:p>
    <w:tbl>
      <w:tblPr>
        <w:tblStyle w:val="28"/>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7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24" w:type="pct"/>
            <w:vAlign w:val="center"/>
          </w:tcPr>
          <w:p>
            <w:pPr>
              <w:pStyle w:val="20"/>
              <w:jc w:val="center"/>
            </w:pPr>
            <w:r>
              <w:rPr>
                <w:rFonts w:hint="eastAsia"/>
              </w:rPr>
              <w:t>评价依据类型</w:t>
            </w:r>
          </w:p>
        </w:tc>
        <w:tc>
          <w:tcPr>
            <w:tcW w:w="4076" w:type="pct"/>
            <w:vAlign w:val="center"/>
          </w:tcPr>
          <w:p>
            <w:pPr>
              <w:pStyle w:val="20"/>
              <w:jc w:val="center"/>
            </w:pPr>
            <w:r>
              <w:rPr>
                <w:rFonts w:hint="eastAsia"/>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pct"/>
            <w:vAlign w:val="center"/>
          </w:tcPr>
          <w:p>
            <w:pPr>
              <w:pStyle w:val="20"/>
              <w:jc w:val="center"/>
            </w:pPr>
            <w:r>
              <w:rPr>
                <w:rFonts w:hint="eastAsia"/>
              </w:rPr>
              <w:t>政策法规依据</w:t>
            </w:r>
          </w:p>
        </w:tc>
        <w:tc>
          <w:tcPr>
            <w:tcW w:w="4076" w:type="pct"/>
            <w:vAlign w:val="center"/>
          </w:tcPr>
          <w:p>
            <w:pPr>
              <w:pStyle w:val="20"/>
            </w:pPr>
            <w:r>
              <w:rPr>
                <w:rFonts w:hint="eastAsia"/>
              </w:rPr>
              <w:t>1.国家、地方相关法律、法规和规章制度；</w:t>
            </w:r>
          </w:p>
          <w:p>
            <w:pPr>
              <w:pStyle w:val="20"/>
            </w:pPr>
            <w:r>
              <w:rPr>
                <w:rFonts w:hint="eastAsia"/>
              </w:rPr>
              <w:t>2.国家、地区发展规划、方针政策；</w:t>
            </w:r>
          </w:p>
          <w:p>
            <w:pPr>
              <w:pStyle w:val="20"/>
            </w:pPr>
            <w:r>
              <w:rPr>
                <w:rFonts w:hint="eastAsia"/>
              </w:rPr>
              <w:t>3.国家、地方财政预算绩效管理相关文件；</w:t>
            </w:r>
          </w:p>
          <w:p>
            <w:pPr>
              <w:pStyle w:val="20"/>
            </w:pPr>
            <w:r>
              <w:rPr>
                <w:rFonts w:hint="eastAsia"/>
              </w:rPr>
              <w:t>4.相关行业政策。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pct"/>
            <w:vAlign w:val="center"/>
          </w:tcPr>
          <w:p>
            <w:pPr>
              <w:pStyle w:val="20"/>
              <w:jc w:val="center"/>
            </w:pPr>
            <w:r>
              <w:rPr>
                <w:rFonts w:hint="eastAsia"/>
              </w:rPr>
              <w:t>项目决策</w:t>
            </w:r>
          </w:p>
          <w:p>
            <w:pPr>
              <w:pStyle w:val="20"/>
              <w:jc w:val="center"/>
            </w:pPr>
            <w:r>
              <w:rPr>
                <w:rFonts w:hint="eastAsia"/>
              </w:rPr>
              <w:t>相关材料</w:t>
            </w:r>
          </w:p>
        </w:tc>
        <w:tc>
          <w:tcPr>
            <w:tcW w:w="4076" w:type="pct"/>
            <w:vAlign w:val="center"/>
          </w:tcPr>
          <w:p>
            <w:pPr>
              <w:pStyle w:val="20"/>
            </w:pPr>
            <w:r>
              <w:rPr>
                <w:rFonts w:hint="eastAsia"/>
              </w:rPr>
              <w:t>主要包括但不限于：</w:t>
            </w:r>
          </w:p>
          <w:p>
            <w:pPr>
              <w:pStyle w:val="20"/>
            </w:pPr>
            <w:r>
              <w:rPr>
                <w:rFonts w:hint="eastAsia"/>
              </w:rPr>
              <w:t>1.项目立项报告及批复文件；</w:t>
            </w:r>
          </w:p>
          <w:p>
            <w:pPr>
              <w:pStyle w:val="20"/>
            </w:pPr>
            <w:r>
              <w:rPr>
                <w:rFonts w:hint="eastAsia"/>
              </w:rPr>
              <w:t>2.项目可行性研究报告、评估报告；</w:t>
            </w:r>
          </w:p>
          <w:p>
            <w:pPr>
              <w:pStyle w:val="20"/>
            </w:pPr>
            <w:r>
              <w:rPr>
                <w:rFonts w:hint="eastAsia"/>
              </w:rPr>
              <w:t>3.项目预算报告及财政部门批复（若有预算调整的，包括调整报告及批复）；</w:t>
            </w:r>
          </w:p>
          <w:p>
            <w:pPr>
              <w:pStyle w:val="20"/>
            </w:pPr>
            <w:r>
              <w:rPr>
                <w:rFonts w:hint="eastAsia"/>
              </w:rPr>
              <w:t>4.项目绩效目标申报表及财政部门对项目绩效目标审核意见书。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pct"/>
            <w:vAlign w:val="center"/>
          </w:tcPr>
          <w:p>
            <w:pPr>
              <w:pStyle w:val="20"/>
              <w:jc w:val="center"/>
            </w:pPr>
            <w:r>
              <w:rPr>
                <w:rFonts w:hint="eastAsia"/>
              </w:rPr>
              <w:t>实施过程</w:t>
            </w:r>
          </w:p>
          <w:p>
            <w:pPr>
              <w:pStyle w:val="20"/>
              <w:jc w:val="center"/>
            </w:pPr>
            <w:r>
              <w:rPr>
                <w:rFonts w:hint="eastAsia"/>
              </w:rPr>
              <w:t>相关材料</w:t>
            </w:r>
          </w:p>
        </w:tc>
        <w:tc>
          <w:tcPr>
            <w:tcW w:w="4076" w:type="pct"/>
            <w:vAlign w:val="center"/>
          </w:tcPr>
          <w:p>
            <w:pPr>
              <w:pStyle w:val="20"/>
            </w:pPr>
            <w:r>
              <w:rPr>
                <w:rFonts w:hint="eastAsia"/>
              </w:rPr>
              <w:t>主要包括但不限于：</w:t>
            </w:r>
          </w:p>
          <w:p>
            <w:pPr>
              <w:pStyle w:val="20"/>
            </w:pPr>
            <w:r>
              <w:rPr>
                <w:rFonts w:hint="eastAsia"/>
              </w:rPr>
              <w:t>1.项目实施方案、进度计划等；</w:t>
            </w:r>
          </w:p>
          <w:p>
            <w:pPr>
              <w:pStyle w:val="20"/>
            </w:pPr>
            <w:r>
              <w:rPr>
                <w:rFonts w:hint="eastAsia"/>
              </w:rPr>
              <w:t>2.项目进度报告、过程监管记录、过程总结、项目阶段验收报告（建设类）等；</w:t>
            </w:r>
          </w:p>
          <w:p>
            <w:pPr>
              <w:pStyle w:val="20"/>
            </w:pPr>
            <w:r>
              <w:rPr>
                <w:rFonts w:hint="eastAsia"/>
              </w:rPr>
              <w:t>3.项目管理制度及执行情况；</w:t>
            </w:r>
          </w:p>
          <w:p>
            <w:pPr>
              <w:pStyle w:val="20"/>
            </w:pPr>
            <w:r>
              <w:rPr>
                <w:rFonts w:hint="eastAsia"/>
              </w:rPr>
              <w:t>4.预算管理制度、资金管理办法、财务管理制度，以及项目财务会计报表、决算报告、财务会计凭证等资料；</w:t>
            </w:r>
          </w:p>
          <w:p>
            <w:pPr>
              <w:pStyle w:val="20"/>
            </w:pPr>
            <w:r>
              <w:rPr>
                <w:rFonts w:hint="eastAsia"/>
              </w:rPr>
              <w:t>5.人大审查结果报告、审计报告及决定、财政监督检查报告；</w:t>
            </w:r>
          </w:p>
          <w:p>
            <w:pPr>
              <w:pStyle w:val="20"/>
            </w:pPr>
            <w:r>
              <w:rPr>
                <w:rFonts w:hint="eastAsia"/>
              </w:rPr>
              <w:t>6.其他过程性材料。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jc w:val="center"/>
        </w:trPr>
        <w:tc>
          <w:tcPr>
            <w:tcW w:w="924" w:type="pct"/>
            <w:vAlign w:val="center"/>
          </w:tcPr>
          <w:p>
            <w:pPr>
              <w:pStyle w:val="20"/>
              <w:jc w:val="center"/>
            </w:pPr>
            <w:r>
              <w:rPr>
                <w:rFonts w:hint="eastAsia"/>
              </w:rPr>
              <w:t>项目绩效</w:t>
            </w:r>
          </w:p>
          <w:p>
            <w:pPr>
              <w:pStyle w:val="20"/>
              <w:jc w:val="center"/>
            </w:pPr>
            <w:r>
              <w:rPr>
                <w:rFonts w:hint="eastAsia"/>
              </w:rPr>
              <w:t>相关材料</w:t>
            </w:r>
          </w:p>
        </w:tc>
        <w:tc>
          <w:tcPr>
            <w:tcW w:w="4076" w:type="pct"/>
            <w:vAlign w:val="center"/>
          </w:tcPr>
          <w:p>
            <w:pPr>
              <w:pStyle w:val="20"/>
            </w:pPr>
            <w:r>
              <w:rPr>
                <w:rFonts w:hint="eastAsia"/>
              </w:rPr>
              <w:t>（一）项目产出。主要包括但不限于：</w:t>
            </w:r>
          </w:p>
          <w:p>
            <w:pPr>
              <w:pStyle w:val="20"/>
            </w:pPr>
            <w:r>
              <w:rPr>
                <w:rFonts w:hint="eastAsia"/>
              </w:rPr>
              <w:t>1.与项目实施相关产出内容（产品、服务或社会经济变化情况）；</w:t>
            </w:r>
          </w:p>
          <w:p>
            <w:pPr>
              <w:pStyle w:val="20"/>
            </w:pPr>
            <w:r>
              <w:rPr>
                <w:rFonts w:hint="eastAsia"/>
              </w:rPr>
              <w:t>2.项目产出所达到的技术参数、质量状况、等级标准等；</w:t>
            </w:r>
          </w:p>
          <w:p>
            <w:pPr>
              <w:pStyle w:val="20"/>
            </w:pPr>
            <w:r>
              <w:rPr>
                <w:rFonts w:hint="eastAsia"/>
              </w:rPr>
              <w:t>3.项目产出经济指标（如数量、产值、利税、创汇等，包括绝对数和相对数）。</w:t>
            </w:r>
          </w:p>
          <w:p>
            <w:pPr>
              <w:pStyle w:val="20"/>
            </w:pPr>
            <w:r>
              <w:rPr>
                <w:rFonts w:hint="eastAsia"/>
              </w:rPr>
              <w:t>（二）项目效果。主要包括但不限于：</w:t>
            </w:r>
          </w:p>
          <w:p>
            <w:pPr>
              <w:pStyle w:val="20"/>
            </w:pPr>
            <w:r>
              <w:rPr>
                <w:rFonts w:hint="eastAsia"/>
              </w:rPr>
              <w:t>1.项目完成后的受益范围；</w:t>
            </w:r>
          </w:p>
          <w:p>
            <w:pPr>
              <w:pStyle w:val="20"/>
            </w:pPr>
            <w:r>
              <w:rPr>
                <w:rFonts w:hint="eastAsia"/>
              </w:rPr>
              <w:t>2.项目完成后对经济、社会、生态等产生的影响；</w:t>
            </w:r>
          </w:p>
          <w:p>
            <w:pPr>
              <w:pStyle w:val="20"/>
            </w:pPr>
            <w:r>
              <w:rPr>
                <w:rFonts w:hint="eastAsia"/>
              </w:rPr>
              <w:t>3.相关群体满意度（包括受益群体、非受益群体、社会公众等）问卷调查；</w:t>
            </w:r>
          </w:p>
          <w:p>
            <w:pPr>
              <w:pStyle w:val="20"/>
            </w:pPr>
            <w:r>
              <w:rPr>
                <w:rFonts w:hint="eastAsia"/>
              </w:rPr>
              <w:t>4.项目可持续性条件及完善状况。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24" w:type="pct"/>
            <w:vAlign w:val="center"/>
          </w:tcPr>
          <w:p>
            <w:pPr>
              <w:pStyle w:val="20"/>
              <w:jc w:val="center"/>
            </w:pPr>
            <w:r>
              <w:rPr>
                <w:rFonts w:hint="eastAsia"/>
              </w:rPr>
              <w:t>项目单位</w:t>
            </w:r>
          </w:p>
          <w:p>
            <w:pPr>
              <w:pStyle w:val="20"/>
              <w:jc w:val="center"/>
            </w:pPr>
            <w:r>
              <w:rPr>
                <w:rFonts w:hint="eastAsia"/>
              </w:rPr>
              <w:t>自评材料</w:t>
            </w:r>
          </w:p>
        </w:tc>
        <w:tc>
          <w:tcPr>
            <w:tcW w:w="4076" w:type="pct"/>
            <w:vAlign w:val="center"/>
          </w:tcPr>
          <w:p>
            <w:pPr>
              <w:pStyle w:val="20"/>
            </w:pPr>
            <w:r>
              <w:rPr>
                <w:rFonts w:hint="eastAsia"/>
              </w:rPr>
              <w:t>1.自评表</w:t>
            </w:r>
          </w:p>
          <w:p>
            <w:pPr>
              <w:pStyle w:val="20"/>
            </w:pPr>
            <w:r>
              <w:rPr>
                <w:rFonts w:hint="eastAsia"/>
              </w:rPr>
              <w:t>2</w:t>
            </w:r>
            <w:r>
              <w:t>.</w:t>
            </w:r>
            <w:r>
              <w:rPr>
                <w:rFonts w:hint="eastAsia"/>
              </w:rPr>
              <w:t>基础信息表</w:t>
            </w:r>
          </w:p>
          <w:p>
            <w:pPr>
              <w:pStyle w:val="20"/>
            </w:pPr>
            <w:r>
              <w:t>3</w:t>
            </w:r>
            <w:r>
              <w:rPr>
                <w:rFonts w:hint="eastAsia"/>
              </w:rPr>
              <w:t>.自评报告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pct"/>
            <w:vAlign w:val="center"/>
          </w:tcPr>
          <w:p>
            <w:pPr>
              <w:pStyle w:val="20"/>
              <w:jc w:val="center"/>
            </w:pPr>
            <w:r>
              <w:rPr>
                <w:rFonts w:hint="eastAsia"/>
              </w:rPr>
              <w:t>其他</w:t>
            </w:r>
          </w:p>
          <w:p>
            <w:pPr>
              <w:pStyle w:val="20"/>
              <w:jc w:val="center"/>
            </w:pPr>
            <w:r>
              <w:rPr>
                <w:rFonts w:hint="eastAsia"/>
              </w:rPr>
              <w:t>依据</w:t>
            </w:r>
          </w:p>
        </w:tc>
        <w:tc>
          <w:tcPr>
            <w:tcW w:w="4076" w:type="pct"/>
            <w:vAlign w:val="center"/>
          </w:tcPr>
          <w:p>
            <w:pPr>
              <w:pStyle w:val="20"/>
            </w:pPr>
            <w:r>
              <w:rPr>
                <w:rFonts w:hint="eastAsia"/>
              </w:rPr>
              <w:t>（一）行业信息资料。主要包括但不限于：</w:t>
            </w:r>
          </w:p>
          <w:p>
            <w:pPr>
              <w:pStyle w:val="20"/>
            </w:pPr>
            <w:r>
              <w:rPr>
                <w:rFonts w:hint="eastAsia"/>
              </w:rPr>
              <w:t>1.项目所属行业的专业技术规范、行业标准；</w:t>
            </w:r>
          </w:p>
          <w:p>
            <w:pPr>
              <w:pStyle w:val="20"/>
            </w:pPr>
            <w:r>
              <w:rPr>
                <w:rFonts w:hint="eastAsia"/>
              </w:rPr>
              <w:t>2.项目相关行业技术经济统计资料；</w:t>
            </w:r>
          </w:p>
          <w:p>
            <w:pPr>
              <w:pStyle w:val="20"/>
            </w:pPr>
            <w:r>
              <w:rPr>
                <w:rFonts w:hint="eastAsia"/>
              </w:rPr>
              <w:t>3.项目相关行业历史、现状及发展趋势。</w:t>
            </w:r>
          </w:p>
          <w:p>
            <w:pPr>
              <w:pStyle w:val="20"/>
            </w:pPr>
            <w:r>
              <w:rPr>
                <w:rFonts w:hint="eastAsia"/>
              </w:rPr>
              <w:t>（二）部门相关材料</w:t>
            </w:r>
          </w:p>
          <w:p>
            <w:pPr>
              <w:pStyle w:val="20"/>
            </w:pPr>
            <w:r>
              <w:rPr>
                <w:rFonts w:hint="eastAsia"/>
              </w:rPr>
              <w:t>1.预算部门（单位）职能职责、中长期发展规划及年度工作计划；</w:t>
            </w:r>
          </w:p>
          <w:p>
            <w:pPr>
              <w:pStyle w:val="20"/>
            </w:pPr>
            <w:r>
              <w:rPr>
                <w:rFonts w:hint="eastAsia"/>
              </w:rPr>
              <w:t>2.项目执行单位概况、编制、职能职责、项目执行的组织安排情况等。</w:t>
            </w:r>
          </w:p>
          <w:p>
            <w:pPr>
              <w:pStyle w:val="20"/>
            </w:pPr>
            <w:r>
              <w:rPr>
                <w:rFonts w:hint="eastAsia"/>
              </w:rPr>
              <w:t>（三）根据评价项目特点需要的其他资料。</w:t>
            </w:r>
          </w:p>
        </w:tc>
      </w:tr>
    </w:tbl>
    <w:p>
      <w:pPr>
        <w:pStyle w:val="4"/>
      </w:pPr>
      <w:bookmarkStart w:id="19" w:name="_Toc4203"/>
      <w:bookmarkStart w:id="20" w:name="_Toc26045514"/>
      <w:bookmarkStart w:id="21" w:name="_Toc16682930"/>
      <w:r>
        <w:rPr>
          <w:rFonts w:hint="eastAsia"/>
        </w:rPr>
        <w:t>（四）评价工作组织实施</w:t>
      </w:r>
      <w:bookmarkEnd w:id="19"/>
      <w:bookmarkEnd w:id="20"/>
      <w:bookmarkEnd w:id="21"/>
    </w:p>
    <w:p>
      <w:pPr>
        <w:ind w:firstLine="640"/>
      </w:pPr>
      <w:r>
        <w:rPr>
          <w:rFonts w:hint="eastAsia"/>
        </w:rPr>
        <w:t>本次评价工作经过了单位自评、书面评审、现场核查、综合评价</w:t>
      </w:r>
      <w:r>
        <w:t>4</w:t>
      </w:r>
      <w:r>
        <w:rPr>
          <w:rFonts w:hint="eastAsia"/>
        </w:rPr>
        <w:t>个阶段：</w:t>
      </w:r>
    </w:p>
    <w:p>
      <w:pPr>
        <w:ind w:firstLine="640"/>
      </w:pPr>
      <w:r>
        <w:t>1.</w:t>
      </w:r>
      <w:r>
        <w:rPr>
          <w:rFonts w:hint="eastAsia"/>
        </w:rPr>
        <w:t>单位自评。项目单位根据市财政局下达的通知，进行绩效自评、材料收集，并同时提交至市财政局并转交至第三方。</w:t>
      </w:r>
    </w:p>
    <w:p>
      <w:pPr>
        <w:ind w:firstLine="640"/>
        <w:rPr>
          <w:rFonts w:hAnsi="仿宋_GB2312"/>
        </w:rPr>
      </w:pPr>
      <w:r>
        <w:t>2.书面评审。第三方评价机构组织绩效评价小组对</w:t>
      </w:r>
      <w:r>
        <w:rPr>
          <w:rFonts w:hint="eastAsia"/>
        </w:rPr>
        <w:t>项目自评材料进行审核，并</w:t>
      </w:r>
      <w:r>
        <w:rPr>
          <w:rFonts w:hint="eastAsia" w:hAnsi="仿宋_GB2312"/>
          <w:szCs w:val="32"/>
        </w:rPr>
        <w:t>对单位所报送自评材料的及时性、完整性、规范性及内容有效性进行核查。</w:t>
      </w:r>
      <w:r>
        <w:rPr>
          <w:rFonts w:hint="eastAsia" w:hAnsi="仿宋_GB2312"/>
        </w:rPr>
        <w:t>根据书评情况制定现场核查方案，用于指导后期现场核查。</w:t>
      </w:r>
    </w:p>
    <w:p>
      <w:pPr>
        <w:ind w:firstLine="640"/>
        <w:rPr>
          <w:rFonts w:hAnsi="仿宋_GB2312"/>
        </w:rPr>
      </w:pPr>
      <w:r>
        <w:rPr>
          <w:rFonts w:hAnsi="仿宋_GB2312"/>
        </w:rPr>
        <w:t>3.现场核查。评价小组根据自评材料以及现场核查方案，组织财务专家、行业专家及评价人员</w:t>
      </w:r>
      <w:r>
        <w:rPr>
          <w:rFonts w:hint="eastAsia" w:hAnsi="仿宋_GB2312"/>
        </w:rPr>
        <w:t>开展现场核查。专家与项目相关负责人进行了现场座谈，并针对核查问题清单进行调研、记录，搜集补充了佐证材料。</w:t>
      </w:r>
    </w:p>
    <w:p>
      <w:pPr>
        <w:ind w:firstLine="640"/>
        <w:rPr>
          <w:rFonts w:hAnsi="仿宋_GB2312"/>
        </w:rPr>
      </w:pPr>
      <w:r>
        <w:rPr>
          <w:rFonts w:hAnsi="仿宋_GB2312"/>
        </w:rPr>
        <w:t>4.综合评价。第三方评价机构基于前期的单位自评报告、佐证材料、现场核查情况、专家评价情况，组织撰写并出具本综合评价报告。</w:t>
      </w:r>
    </w:p>
    <w:p>
      <w:pPr>
        <w:pStyle w:val="3"/>
        <w:ind w:firstLine="640"/>
      </w:pPr>
      <w:bookmarkStart w:id="22" w:name="_Toc3412"/>
      <w:bookmarkStart w:id="23" w:name="_Toc26045515"/>
      <w:r>
        <w:rPr>
          <w:rFonts w:hint="eastAsia"/>
        </w:rPr>
        <w:t>三、绩效分析</w:t>
      </w:r>
      <w:bookmarkEnd w:id="22"/>
      <w:bookmarkEnd w:id="23"/>
    </w:p>
    <w:p>
      <w:pPr>
        <w:pStyle w:val="4"/>
      </w:pPr>
      <w:bookmarkStart w:id="24" w:name="_Toc16682932"/>
      <w:bookmarkStart w:id="25" w:name="_Toc26045516"/>
      <w:bookmarkStart w:id="26" w:name="_Toc29564"/>
      <w:r>
        <w:rPr>
          <w:rFonts w:hint="eastAsia"/>
        </w:rPr>
        <w:t>（一）绩效评价指标体系设置</w:t>
      </w:r>
      <w:bookmarkEnd w:id="24"/>
      <w:bookmarkEnd w:id="25"/>
      <w:bookmarkEnd w:id="26"/>
    </w:p>
    <w:p>
      <w:pPr>
        <w:ind w:firstLine="640"/>
      </w:pPr>
      <w:r>
        <w:rPr>
          <w:rFonts w:hint="eastAsia"/>
        </w:rPr>
        <w:t>本次评价采用目标预定与实施效果比较、定性与定量综合分析、自评材料审核与实地核查相结合等方法，对项目绩效影响、绩效表现方面进行全面综合评价，确定了包括</w:t>
      </w:r>
      <w:r>
        <w:t>2项一级指标，7项二级指标，13项三级指标的评价指标体系。</w:t>
      </w:r>
      <w:bookmarkStart w:id="27" w:name="_Hlk16692959"/>
      <w:r>
        <w:rPr>
          <w:rFonts w:hint="eastAsia"/>
        </w:rPr>
        <w:t>该</w:t>
      </w:r>
      <w:r>
        <w:t>指标体系采用百分制计分</w:t>
      </w:r>
      <w:r>
        <w:rPr>
          <w:rFonts w:hint="eastAsia"/>
        </w:rPr>
        <w:t>法</w:t>
      </w:r>
      <w:r>
        <w:t>，其中</w:t>
      </w:r>
      <w:r>
        <w:rPr>
          <w:rFonts w:hint="eastAsia"/>
        </w:rPr>
        <w:t>绩效影响</w:t>
      </w:r>
      <w:r>
        <w:t>部分满分50分；</w:t>
      </w:r>
      <w:r>
        <w:rPr>
          <w:rFonts w:hint="eastAsia"/>
        </w:rPr>
        <w:t>绩效表现</w:t>
      </w:r>
      <w:r>
        <w:t>部分满分50分。</w:t>
      </w:r>
      <w:bookmarkEnd w:id="27"/>
      <w:r>
        <w:rPr>
          <w:rFonts w:hint="eastAsia"/>
        </w:rPr>
        <w:t>（详见附件</w:t>
      </w:r>
      <w:r>
        <w:t>1</w:t>
      </w:r>
      <w:r>
        <w:rPr>
          <w:rFonts w:hint="eastAsia"/>
        </w:rPr>
        <w:t>）</w:t>
      </w:r>
    </w:p>
    <w:p>
      <w:pPr>
        <w:pStyle w:val="4"/>
      </w:pPr>
      <w:bookmarkStart w:id="28" w:name="_Toc29642"/>
      <w:bookmarkStart w:id="29" w:name="_Toc26045517"/>
      <w:bookmarkStart w:id="30" w:name="_Toc16682933"/>
      <w:r>
        <w:rPr>
          <w:rFonts w:hint="eastAsia"/>
        </w:rPr>
        <w:t>（二）评价结果</w:t>
      </w:r>
      <w:bookmarkEnd w:id="28"/>
      <w:bookmarkEnd w:id="29"/>
      <w:bookmarkEnd w:id="30"/>
    </w:p>
    <w:p>
      <w:pPr>
        <w:ind w:firstLine="640"/>
      </w:pPr>
      <w:bookmarkStart w:id="31" w:name="_Hlk16693054"/>
      <w:bookmarkStart w:id="32" w:name="_Hlk16606365"/>
      <w:bookmarkStart w:id="33" w:name="_Hlk16801036"/>
      <w:r>
        <w:rPr>
          <w:rFonts w:hint="eastAsia"/>
        </w:rPr>
        <w:t>基于现场核查结果及相关档案材料分析</w:t>
      </w:r>
      <w:bookmarkEnd w:id="31"/>
      <w:r>
        <w:rPr>
          <w:rFonts w:hint="eastAsia"/>
        </w:rPr>
        <w:t>，</w:t>
      </w:r>
      <w:r>
        <w:t>2018年度</w:t>
      </w:r>
      <w:r>
        <w:rPr>
          <w:rFonts w:hint="eastAsia"/>
        </w:rPr>
        <w:t>河（库）长制工作经费项目专家评价最终得分为77分，绩效等级为“中”</w:t>
      </w:r>
      <w:bookmarkStart w:id="34" w:name="_Hlk16693085"/>
      <w:r>
        <w:rPr>
          <w:rFonts w:hint="eastAsia"/>
          <w:sz w:val="24"/>
        </w:rPr>
        <w:t>（注：得分</w:t>
      </w:r>
      <w:r>
        <w:rPr>
          <w:rFonts w:hint="eastAsia" w:ascii="微软雅黑" w:hAnsi="微软雅黑" w:eastAsia="微软雅黑" w:cs="微软雅黑"/>
          <w:sz w:val="24"/>
        </w:rPr>
        <w:t>≧</w:t>
      </w:r>
      <w:r>
        <w:rPr>
          <w:sz w:val="24"/>
        </w:rPr>
        <w:t>90为优，90＞得分</w:t>
      </w:r>
      <w:r>
        <w:rPr>
          <w:rFonts w:hint="eastAsia" w:ascii="微软雅黑" w:hAnsi="微软雅黑" w:eastAsia="微软雅黑" w:cs="微软雅黑"/>
          <w:sz w:val="24"/>
        </w:rPr>
        <w:t>≧</w:t>
      </w:r>
      <w:r>
        <w:rPr>
          <w:sz w:val="24"/>
        </w:rPr>
        <w:t>80为良，80＞得分</w:t>
      </w:r>
      <w:r>
        <w:rPr>
          <w:rFonts w:hint="eastAsia" w:ascii="微软雅黑" w:hAnsi="微软雅黑" w:eastAsia="微软雅黑" w:cs="微软雅黑"/>
          <w:sz w:val="24"/>
        </w:rPr>
        <w:t>≧</w:t>
      </w:r>
      <w:r>
        <w:rPr>
          <w:sz w:val="24"/>
        </w:rPr>
        <w:t>70为中，70＞得分</w:t>
      </w:r>
      <w:r>
        <w:rPr>
          <w:rFonts w:hint="eastAsia" w:ascii="微软雅黑" w:hAnsi="微软雅黑" w:eastAsia="微软雅黑" w:cs="微软雅黑"/>
          <w:sz w:val="24"/>
        </w:rPr>
        <w:t>≧</w:t>
      </w:r>
      <w:r>
        <w:rPr>
          <w:sz w:val="24"/>
        </w:rPr>
        <w:t>60为低，得分＜60为差）</w:t>
      </w:r>
      <w:r>
        <w:t>。</w:t>
      </w:r>
      <w:bookmarkEnd w:id="32"/>
      <w:bookmarkEnd w:id="34"/>
    </w:p>
    <w:bookmarkEnd w:id="33"/>
    <w:p>
      <w:pPr>
        <w:pStyle w:val="4"/>
      </w:pPr>
      <w:bookmarkStart w:id="35" w:name="_Toc15936"/>
      <w:bookmarkStart w:id="36" w:name="_Toc26045518"/>
      <w:r>
        <w:rPr>
          <w:rFonts w:hint="eastAsia"/>
        </w:rPr>
        <w:t>（三）绩效分析</w:t>
      </w:r>
      <w:bookmarkEnd w:id="35"/>
      <w:bookmarkEnd w:id="36"/>
    </w:p>
    <w:p>
      <w:pPr>
        <w:pStyle w:val="5"/>
        <w:ind w:firstLine="643"/>
      </w:pPr>
      <w:bookmarkStart w:id="37" w:name="_Toc4524"/>
      <w:r>
        <w:t>1.</w:t>
      </w:r>
      <w:r>
        <w:rPr>
          <w:rFonts w:hint="eastAsia"/>
        </w:rPr>
        <w:t>绩效影响</w:t>
      </w:r>
      <w:bookmarkEnd w:id="37"/>
    </w:p>
    <w:p>
      <w:pPr>
        <w:pStyle w:val="6"/>
        <w:ind w:firstLine="643"/>
      </w:pPr>
      <w:r>
        <w:rPr>
          <w:rFonts w:hint="eastAsia"/>
        </w:rPr>
        <w:t>①前期准备（满分</w:t>
      </w:r>
      <w:r>
        <w:t>16</w:t>
      </w:r>
      <w:r>
        <w:rPr>
          <w:rFonts w:hint="eastAsia"/>
        </w:rPr>
        <w:t>分，得分9分）</w:t>
      </w:r>
    </w:p>
    <w:p>
      <w:pPr>
        <w:ind w:firstLine="640"/>
      </w:pPr>
      <w:r>
        <w:rPr>
          <w:rFonts w:hint="eastAsia"/>
        </w:rPr>
        <w:t>论证决策（满分</w:t>
      </w:r>
      <w:r>
        <w:t>5</w:t>
      </w:r>
      <w:r>
        <w:rPr>
          <w:rFonts w:hint="eastAsia"/>
        </w:rPr>
        <w:t>分，得4分）方面，本项目为2018年中追加项目，资金设立符合有关规定，本项目17年已制定《汕尾市全面推行河（库）长制实施方案》，应列入2018年初部门预算，而非进行年中追加项目，一定程度上说明前期论证不足，扣1分。</w:t>
      </w:r>
    </w:p>
    <w:p>
      <w:pPr>
        <w:ind w:firstLine="640"/>
      </w:pPr>
      <w:r>
        <w:rPr>
          <w:rFonts w:hint="eastAsia"/>
        </w:rPr>
        <w:t>目标设置（满分5分，得分2分）方面，一是目标设置完整性，项目单位设置了时效指标、成本指标及生态效益指标，但项目单位未针对本项目分阶段设置绩效目标，扣1分；二是目标设置科学性，项目单位所设置的生态效益指标，均为定性表述不可量化，难以考查生态效益指标实现情况，扣2分。</w:t>
      </w:r>
    </w:p>
    <w:p>
      <w:pPr>
        <w:ind w:firstLine="640"/>
      </w:pPr>
      <w:r>
        <w:rPr>
          <w:rFonts w:hint="eastAsia"/>
        </w:rPr>
        <w:t>保障措施（满分6分，得分3分）方面，项目单位有实施方案由河长办负责具体实施，保障机构健全。但本项目未制定项目资金管理办法及工作进度计划，对项目资金的支出缺乏管理措施，资金投入难以保障，扣3分。</w:t>
      </w:r>
    </w:p>
    <w:p>
      <w:pPr>
        <w:pStyle w:val="6"/>
        <w:ind w:firstLine="643"/>
      </w:pPr>
      <w:r>
        <w:rPr>
          <w:rFonts w:hint="eastAsia"/>
        </w:rPr>
        <w:t>②资金管理（满分</w:t>
      </w:r>
      <w:r>
        <w:t>20</w:t>
      </w:r>
      <w:r>
        <w:rPr>
          <w:rFonts w:hint="eastAsia"/>
        </w:rPr>
        <w:t>分，得分20分）</w:t>
      </w:r>
    </w:p>
    <w:p>
      <w:pPr>
        <w:ind w:firstLine="640"/>
      </w:pPr>
      <w:r>
        <w:rPr>
          <w:rFonts w:hint="eastAsia"/>
        </w:rPr>
        <w:t>资金到位（满分4分，得分4分）方面，财政资金实际到位100万，资金到位及时。</w:t>
      </w:r>
    </w:p>
    <w:p>
      <w:pPr>
        <w:ind w:firstLine="640"/>
      </w:pPr>
      <w:r>
        <w:rPr>
          <w:rFonts w:hint="eastAsia"/>
        </w:rPr>
        <w:t>资金支付（满分</w:t>
      </w:r>
      <w:r>
        <w:t>7</w:t>
      </w:r>
      <w:r>
        <w:rPr>
          <w:rFonts w:hint="eastAsia"/>
        </w:rPr>
        <w:t>分，得分7分）方面，资金预算安排100万元，实际支付140万元，支出率140%，存在垫资情况。</w:t>
      </w:r>
    </w:p>
    <w:p>
      <w:pPr>
        <w:ind w:firstLine="640"/>
      </w:pPr>
      <w:r>
        <w:rPr>
          <w:rFonts w:hint="eastAsia"/>
        </w:rPr>
        <w:t>支出规范性（满分</w:t>
      </w:r>
      <w:r>
        <w:t>9</w:t>
      </w:r>
      <w:r>
        <w:rPr>
          <w:rFonts w:hint="eastAsia"/>
        </w:rPr>
        <w:t>分，得分9分）方面，经现场评审财务专家核查，项目单位预算支出规范、事项支出合规、会计核算规范，未发现其他违规问题。</w:t>
      </w:r>
    </w:p>
    <w:p>
      <w:pPr>
        <w:pStyle w:val="6"/>
        <w:ind w:firstLine="643"/>
      </w:pPr>
      <w:r>
        <w:rPr>
          <w:rFonts w:hint="eastAsia"/>
        </w:rPr>
        <w:t>③保障措施（满分1</w:t>
      </w:r>
      <w:r>
        <w:t>4</w:t>
      </w:r>
      <w:r>
        <w:rPr>
          <w:rFonts w:hint="eastAsia"/>
        </w:rPr>
        <w:t>分，得分13分）</w:t>
      </w:r>
    </w:p>
    <w:p>
      <w:pPr>
        <w:ind w:firstLine="640"/>
      </w:pPr>
      <w:r>
        <w:rPr>
          <w:rFonts w:hint="eastAsia"/>
        </w:rPr>
        <w:t>实施程序（满分</w:t>
      </w:r>
      <w:r>
        <w:t>8</w:t>
      </w:r>
      <w:r>
        <w:rPr>
          <w:rFonts w:hint="eastAsia"/>
        </w:rPr>
        <w:t>分，得分8分）方面，项目实施能按规定程序实施，项目建设能严格执行相关制度规定，项目管理情况较好。</w:t>
      </w:r>
    </w:p>
    <w:p>
      <w:pPr>
        <w:ind w:firstLine="640"/>
      </w:pPr>
      <w:r>
        <w:rPr>
          <w:rFonts w:hint="eastAsia"/>
        </w:rPr>
        <w:t>管理情况（满分</w:t>
      </w:r>
      <w:r>
        <w:t>6</w:t>
      </w:r>
      <w:r>
        <w:rPr>
          <w:rFonts w:hint="eastAsia"/>
        </w:rPr>
        <w:t>分，得分5分）方面，市水务局设置河长办，主要负责联络各县区河长，起到上传下达的作用。但未根据汕尾市实际情况有针对性的制定中长期项目规划及管理办法，明确每年度阶段性计划及发展目标，管理制度上略有欠缺，扣1分。</w:t>
      </w:r>
    </w:p>
    <w:p>
      <w:pPr>
        <w:pStyle w:val="5"/>
        <w:ind w:firstLine="643"/>
      </w:pPr>
      <w:bookmarkStart w:id="38" w:name="_Toc46"/>
      <w:r>
        <w:t>2.</w:t>
      </w:r>
      <w:r>
        <w:rPr>
          <w:rFonts w:hint="eastAsia"/>
        </w:rPr>
        <w:t>绩效表现</w:t>
      </w:r>
      <w:bookmarkEnd w:id="38"/>
    </w:p>
    <w:p>
      <w:pPr>
        <w:pStyle w:val="6"/>
        <w:ind w:firstLine="643"/>
      </w:pPr>
      <w:r>
        <w:rPr>
          <w:rFonts w:hint="eastAsia"/>
        </w:rPr>
        <w:t>①经济性（满分</w:t>
      </w:r>
      <w:r>
        <w:t>5</w:t>
      </w:r>
      <w:r>
        <w:rPr>
          <w:rFonts w:hint="eastAsia"/>
        </w:rPr>
        <w:t>分，得分3分）</w:t>
      </w:r>
    </w:p>
    <w:p>
      <w:pPr>
        <w:ind w:firstLine="640"/>
      </w:pPr>
      <w:r>
        <w:rPr>
          <w:rFonts w:hint="eastAsia"/>
        </w:rPr>
        <w:t>预算（成本）控制（满分</w:t>
      </w:r>
      <w:r>
        <w:t>5</w:t>
      </w:r>
      <w:r>
        <w:rPr>
          <w:rFonts w:hint="eastAsia"/>
        </w:rPr>
        <w:t>分，得分3分）方面，项目资金实际到达100万，但从项目单位提供的项目支出明细中了解到，河长制工作经费实际支付140万，超支40%，扣2分。</w:t>
      </w:r>
    </w:p>
    <w:p>
      <w:pPr>
        <w:pStyle w:val="6"/>
        <w:ind w:firstLine="643"/>
      </w:pPr>
      <w:r>
        <w:rPr>
          <w:rFonts w:hint="eastAsia"/>
        </w:rPr>
        <w:t>②效率性（满分</w:t>
      </w:r>
      <w:r>
        <w:t>10</w:t>
      </w:r>
      <w:r>
        <w:rPr>
          <w:rFonts w:hint="eastAsia"/>
        </w:rPr>
        <w:t>分，得分5分）</w:t>
      </w:r>
    </w:p>
    <w:p>
      <w:pPr>
        <w:ind w:firstLine="640"/>
      </w:pPr>
      <w:r>
        <w:rPr>
          <w:rFonts w:hint="eastAsia"/>
        </w:rPr>
        <w:t>完成进度及质量（满分</w:t>
      </w:r>
      <w:r>
        <w:t>10</w:t>
      </w:r>
      <w:r>
        <w:rPr>
          <w:rFonts w:hint="eastAsia"/>
        </w:rPr>
        <w:t>分，得分5分）方面，本项目经费主要用于在全市推行河（库）长制工作经费，2018年基本能按支出计划完成办公费、宣传费的支出。但是在完成质量上难以考核，一是单位未设置质量指标，二是单位进行河（库）长制宣传工作未进行满意度调查及其他相关举措，难以衡量宣传效果，综合评价扣5分。</w:t>
      </w:r>
    </w:p>
    <w:p>
      <w:pPr>
        <w:pStyle w:val="6"/>
        <w:ind w:firstLine="643"/>
      </w:pPr>
      <w:r>
        <w:rPr>
          <w:rFonts w:hint="eastAsia"/>
        </w:rPr>
        <w:t>③效果性（满分</w:t>
      </w:r>
      <w:r>
        <w:t>30</w:t>
      </w:r>
      <w:r>
        <w:rPr>
          <w:rFonts w:hint="eastAsia"/>
        </w:rPr>
        <w:t>分，得分24分）</w:t>
      </w:r>
    </w:p>
    <w:p>
      <w:pPr>
        <w:ind w:firstLine="640"/>
      </w:pPr>
      <w:r>
        <w:rPr>
          <w:rFonts w:hint="eastAsia"/>
        </w:rPr>
        <w:t>社会经济效益（满分</w:t>
      </w:r>
      <w:r>
        <w:t>25</w:t>
      </w:r>
      <w:r>
        <w:rPr>
          <w:rFonts w:hint="eastAsia"/>
        </w:rPr>
        <w:t>分，得分20分）方面，推行河（库）长制有利于落实绿色发展理念，明确各级河长责任，推动生态文明建设，完善水治理体系，生态环境效益较好。但本项目经费用于宣传部分，难以衡量项目产出，社会效益无法得到体现，普通群众对河（库）长制的知晓程度较低，综合评价得20分。</w:t>
      </w:r>
    </w:p>
    <w:p>
      <w:pPr>
        <w:ind w:firstLine="640"/>
      </w:pPr>
      <w:r>
        <w:rPr>
          <w:rFonts w:hint="eastAsia"/>
        </w:rPr>
        <w:t>可持续发展（满分</w:t>
      </w:r>
      <w:r>
        <w:t>5</w:t>
      </w:r>
      <w:r>
        <w:rPr>
          <w:rFonts w:hint="eastAsia"/>
        </w:rPr>
        <w:t>分，得分4分）方面，全面推行河（库）长制是我国现阶段一大重大政策，政策可持续强，项目单位专门设立河长办公室保障机构、人员可持续，但是在项目管理制度上，有待完善，扣1分。</w:t>
      </w:r>
    </w:p>
    <w:p>
      <w:pPr>
        <w:pStyle w:val="6"/>
        <w:ind w:firstLine="643"/>
      </w:pPr>
      <w:r>
        <w:rPr>
          <w:rFonts w:hint="eastAsia"/>
        </w:rPr>
        <w:t>④公平性（满分</w:t>
      </w:r>
      <w:r>
        <w:t>5</w:t>
      </w:r>
      <w:r>
        <w:rPr>
          <w:rFonts w:hint="eastAsia"/>
        </w:rPr>
        <w:t>分，得分3分）</w:t>
      </w:r>
    </w:p>
    <w:p>
      <w:pPr>
        <w:ind w:firstLine="640"/>
      </w:pPr>
      <w:r>
        <w:rPr>
          <w:rFonts w:hint="eastAsia"/>
        </w:rPr>
        <w:t>公共属性（满意度）（满分5分，得分3分）方面，项目单位2018年度没有群众上访情况发生，未接到12345热线对河道治理的投诉。但对本项目实施的宣传工作未进行满意度调查，扣2分。</w:t>
      </w:r>
    </w:p>
    <w:p>
      <w:pPr>
        <w:pStyle w:val="3"/>
        <w:ind w:firstLine="640"/>
      </w:pPr>
      <w:bookmarkStart w:id="39" w:name="_Toc26045519"/>
      <w:bookmarkStart w:id="40" w:name="_Toc14026"/>
      <w:bookmarkStart w:id="41" w:name="_Hlk17055330"/>
      <w:r>
        <w:rPr>
          <w:rFonts w:hint="eastAsia"/>
        </w:rPr>
        <w:t>四、主要经验及业绩</w:t>
      </w:r>
      <w:bookmarkEnd w:id="39"/>
      <w:bookmarkEnd w:id="40"/>
    </w:p>
    <w:p>
      <w:pPr>
        <w:pStyle w:val="4"/>
      </w:pPr>
      <w:bookmarkStart w:id="42" w:name="_Toc26045520"/>
      <w:bookmarkStart w:id="43" w:name="_Toc5950"/>
      <w:r>
        <w:rPr>
          <w:rFonts w:hint="eastAsia"/>
        </w:rPr>
        <w:t>（一）</w:t>
      </w:r>
      <w:bookmarkEnd w:id="42"/>
      <w:r>
        <w:rPr>
          <w:rFonts w:hint="eastAsia"/>
        </w:rPr>
        <w:t>全面推行河长制湖长制，形成四级全覆盖的河长湖长体系</w:t>
      </w:r>
      <w:bookmarkEnd w:id="43"/>
    </w:p>
    <w:p>
      <w:pPr>
        <w:ind w:firstLine="640"/>
      </w:pPr>
      <w:r>
        <w:rPr>
          <w:rFonts w:hint="eastAsia"/>
        </w:rPr>
        <w:t>汕尾市列入市级河长制湖长制管理的河流共3条、湖泊1个，全市共设立各级河（库）长1,096人，湖长48人。其中市级河长3人、湖长1人，县级河（库）长45人、湖长2人，镇级河（库）长386人、湖长5人，村级河（库）长662人、湖长40人，形成了市、县、镇（街）、村（社区）四级全覆盖的河长湖长体系，推行工作</w:t>
      </w:r>
      <w:bookmarkStart w:id="71" w:name="_GoBack"/>
      <w:bookmarkEnd w:id="71"/>
      <w:r>
        <w:rPr>
          <w:rFonts w:hint="eastAsia"/>
        </w:rPr>
        <w:t>铺开，取得了初步成效。</w:t>
      </w:r>
    </w:p>
    <w:p>
      <w:pPr>
        <w:pStyle w:val="4"/>
      </w:pPr>
      <w:bookmarkStart w:id="44" w:name="_Toc26045521"/>
      <w:bookmarkStart w:id="45" w:name="_Toc2299"/>
      <w:r>
        <w:rPr>
          <w:rFonts w:hint="eastAsia"/>
        </w:rPr>
        <w:t>（二）</w:t>
      </w:r>
      <w:bookmarkEnd w:id="44"/>
      <w:r>
        <w:rPr>
          <w:rFonts w:hint="eastAsia"/>
        </w:rPr>
        <w:t>积极开展巡河巡湖工作，有效解决河道问题</w:t>
      </w:r>
      <w:bookmarkEnd w:id="45"/>
    </w:p>
    <w:p>
      <w:pPr>
        <w:ind w:firstLine="640"/>
      </w:pPr>
      <w:r>
        <w:rPr>
          <w:rFonts w:hint="eastAsia"/>
        </w:rPr>
        <w:t>据市水务局统计，从17年9月份开始至18年12月份，汕尾市各级河长巡河347次，市河长办发出通报和各项督办函35件，市、县河长办印发简报182期，培训92次，媒体宣传576次。全市开展了两轮水浮莲集中清理，共投入8,083万元，清理河道1,395公里，清理水域面积158平方公里，清理水面漂浮物约78万吨。两轮的清理工作，歼灭了汕尾市主要河流的水浮莲，有效解决河道水浮莲污染问题，为汕尾市进一步达到“河畅、水清、堤固、岸绿、景美”总目标做出努力。</w:t>
      </w:r>
    </w:p>
    <w:p>
      <w:pPr>
        <w:pStyle w:val="3"/>
        <w:ind w:firstLine="640"/>
      </w:pPr>
      <w:bookmarkStart w:id="46" w:name="_Toc23206"/>
      <w:bookmarkStart w:id="47" w:name="_Toc26045522"/>
      <w:r>
        <w:rPr>
          <w:rFonts w:hint="eastAsia"/>
        </w:rPr>
        <w:t>五、存在问题及不足</w:t>
      </w:r>
      <w:bookmarkEnd w:id="46"/>
      <w:bookmarkEnd w:id="47"/>
    </w:p>
    <w:p>
      <w:pPr>
        <w:ind w:firstLine="640"/>
      </w:pPr>
      <w:bookmarkStart w:id="48" w:name="_Hlk16801172"/>
      <w:r>
        <w:rPr>
          <w:rFonts w:hint="eastAsia"/>
        </w:rPr>
        <w:t>项目在取得成效的同时，也存在部分问题仍需完善，具体表现如下：</w:t>
      </w:r>
    </w:p>
    <w:p>
      <w:pPr>
        <w:pStyle w:val="4"/>
      </w:pPr>
      <w:bookmarkStart w:id="49" w:name="_Toc26045523"/>
      <w:bookmarkStart w:id="50" w:name="_Toc4209"/>
      <w:r>
        <w:rPr>
          <w:rFonts w:hint="eastAsia"/>
        </w:rPr>
        <w:t>（一）</w:t>
      </w:r>
      <w:bookmarkEnd w:id="49"/>
      <w:r>
        <w:rPr>
          <w:rFonts w:hint="eastAsia"/>
        </w:rPr>
        <w:t>河（库）长制宣传工作未进行满意度调查，无法体现宣传效果</w:t>
      </w:r>
      <w:bookmarkEnd w:id="50"/>
    </w:p>
    <w:p>
      <w:pPr>
        <w:ind w:firstLine="640"/>
      </w:pPr>
      <w:r>
        <w:rPr>
          <w:rFonts w:hint="eastAsia"/>
        </w:rPr>
        <w:t>2018年本项目共花费35万用于媒体宣传，但该部分宣传工作实施后，未对市民群众进行满意度调查，无法了解市民群众对各级河长及河长制湖长制管理河流和湖泊的满意程度及意见建议等，无法体现宣传工作的效果，无法为后续推进完善河（库）长制工作提供参考依据，不利于提升河长制工作的管理水平。</w:t>
      </w:r>
    </w:p>
    <w:p>
      <w:pPr>
        <w:pStyle w:val="4"/>
      </w:pPr>
      <w:bookmarkStart w:id="51" w:name="_Toc26045524"/>
      <w:bookmarkStart w:id="52" w:name="_Toc20569"/>
      <w:r>
        <w:rPr>
          <w:rFonts w:hint="eastAsia"/>
        </w:rPr>
        <w:t>（二）</w:t>
      </w:r>
      <w:bookmarkEnd w:id="51"/>
      <w:r>
        <w:rPr>
          <w:rFonts w:hint="eastAsia"/>
        </w:rPr>
        <w:t>缺乏项目规划目标及管理办法，不利于项目管理</w:t>
      </w:r>
      <w:bookmarkEnd w:id="52"/>
    </w:p>
    <w:p>
      <w:pPr>
        <w:ind w:firstLine="640"/>
      </w:pPr>
      <w:r>
        <w:rPr>
          <w:rFonts w:hint="eastAsia"/>
        </w:rPr>
        <w:t>项目实施方案中有总目标，提到2020年底要实现“河畅、水清、堤固、岸绿、景美”的总目标，但对全市用水总量、重要水功能区水质达标率、城镇供水水源地水质达标率等的要求，项目单位缺乏对总目标的分解，未明确每年度的阶段目标，未根据实施方案细化项目管理办法。实施方案中对河（库）长制办公室职责仅进行了简单表述，未明确开展工作的频率、监管要求、验收标准等，不利于项目开展的具体执行。</w:t>
      </w:r>
    </w:p>
    <w:p>
      <w:pPr>
        <w:pStyle w:val="4"/>
      </w:pPr>
      <w:bookmarkStart w:id="53" w:name="_Hlk16606641"/>
      <w:bookmarkStart w:id="54" w:name="_Toc16682942"/>
      <w:bookmarkStart w:id="55" w:name="_Toc26045525"/>
      <w:bookmarkStart w:id="56" w:name="_Toc1972"/>
      <w:r>
        <w:rPr>
          <w:rFonts w:hint="eastAsia"/>
        </w:rPr>
        <w:t>（三）</w:t>
      </w:r>
      <w:bookmarkEnd w:id="53"/>
      <w:bookmarkEnd w:id="54"/>
      <w:bookmarkEnd w:id="55"/>
      <w:r>
        <w:rPr>
          <w:rFonts w:hint="eastAsia"/>
        </w:rPr>
        <w:t>未制定资金使用计划，难以发挥资金使用效益</w:t>
      </w:r>
      <w:bookmarkEnd w:id="56"/>
    </w:p>
    <w:p>
      <w:pPr>
        <w:ind w:firstLine="640"/>
      </w:pPr>
      <w:r>
        <w:rPr>
          <w:rFonts w:hint="eastAsia"/>
        </w:rPr>
        <w:t>本项目年初申请项目资金175万，单位年初对175万的使用计划较为简单，例如“互联网+河长制140万”，没有资金测算依据和资金支出明细，对资金使用没有规定完成时间和完成任务的要求及标准，项目资金使用容易脱离绩效目标，不利于资金管理，不利于财政资金使用最大化。</w:t>
      </w:r>
    </w:p>
    <w:bookmarkEnd w:id="48"/>
    <w:p>
      <w:pPr>
        <w:pStyle w:val="3"/>
        <w:ind w:firstLine="640"/>
      </w:pPr>
      <w:bookmarkStart w:id="57" w:name="_Toc26045526"/>
      <w:bookmarkStart w:id="58" w:name="_Toc27549"/>
      <w:r>
        <w:rPr>
          <w:rFonts w:hint="eastAsia"/>
        </w:rPr>
        <w:t>六、政策建议及举措</w:t>
      </w:r>
      <w:bookmarkEnd w:id="57"/>
      <w:bookmarkEnd w:id="58"/>
    </w:p>
    <w:p>
      <w:pPr>
        <w:ind w:firstLine="640"/>
      </w:pPr>
      <w:bookmarkStart w:id="59" w:name="_Hlk16801333"/>
      <w:r>
        <w:t>为了</w:t>
      </w:r>
      <w:r>
        <w:rPr>
          <w:rFonts w:hint="eastAsia"/>
        </w:rPr>
        <w:t>整体</w:t>
      </w:r>
      <w:r>
        <w:t>上提升被评</w:t>
      </w:r>
      <w:r>
        <w:rPr>
          <w:rFonts w:hint="eastAsia"/>
        </w:rPr>
        <w:t>价</w:t>
      </w:r>
      <w:r>
        <w:t>单位</w:t>
      </w:r>
      <w:r>
        <w:rPr>
          <w:rFonts w:hint="eastAsia"/>
        </w:rPr>
        <w:t>项目</w:t>
      </w:r>
      <w:r>
        <w:t>管理水平，提高资金使用效益，</w:t>
      </w:r>
      <w:r>
        <w:rPr>
          <w:rFonts w:hint="eastAsia"/>
        </w:rPr>
        <w:t>针对评价</w:t>
      </w:r>
      <w:r>
        <w:t>过程中</w:t>
      </w:r>
      <w:r>
        <w:rPr>
          <w:rFonts w:hint="eastAsia"/>
        </w:rPr>
        <w:t>发现</w:t>
      </w:r>
      <w:r>
        <w:t>的问题，</w:t>
      </w:r>
      <w:r>
        <w:rPr>
          <w:rFonts w:hint="eastAsia"/>
        </w:rPr>
        <w:t>第三方</w:t>
      </w:r>
      <w:r>
        <w:t>机构提出了如下意见建议：</w:t>
      </w:r>
    </w:p>
    <w:bookmarkEnd w:id="59"/>
    <w:p>
      <w:pPr>
        <w:pStyle w:val="4"/>
      </w:pPr>
      <w:bookmarkStart w:id="60" w:name="_Toc26045527"/>
      <w:bookmarkStart w:id="61" w:name="_Toc5222"/>
      <w:r>
        <w:rPr>
          <w:rFonts w:hint="eastAsia"/>
        </w:rPr>
        <w:t>（一）</w:t>
      </w:r>
      <w:bookmarkEnd w:id="60"/>
      <w:r>
        <w:rPr>
          <w:rFonts w:hint="eastAsia"/>
        </w:rPr>
        <w:t>对河（库）长制宣传工作进行满意度调查</w:t>
      </w:r>
      <w:bookmarkEnd w:id="61"/>
    </w:p>
    <w:p>
      <w:pPr>
        <w:ind w:firstLine="640"/>
      </w:pPr>
      <w:r>
        <w:rPr>
          <w:rFonts w:hint="eastAsia"/>
        </w:rPr>
        <w:t>项目单位可根据项目宣传方式，有针对性地发放满意度调查问卷，可通过微信公众号或是二维码在线填写等形式发放调查问卷。对已填写调查问卷进行整理、分析和统计群众满意度情况、意见和建议，针对群众普遍提到的问题和意见进行调整解决，对满意程度较低的内容进行强化，定期汇报满意度调查情况，分年度或季度进行对比分析，有效利用满意度调查结果，充分体现履职产出效果。</w:t>
      </w:r>
    </w:p>
    <w:p>
      <w:pPr>
        <w:pStyle w:val="4"/>
      </w:pPr>
      <w:bookmarkStart w:id="62" w:name="_Toc26045528"/>
      <w:bookmarkStart w:id="63" w:name="_Toc1332"/>
      <w:r>
        <w:rPr>
          <w:rFonts w:hint="eastAsia"/>
        </w:rPr>
        <w:t>（二）</w:t>
      </w:r>
      <w:bookmarkEnd w:id="62"/>
      <w:bookmarkStart w:id="64" w:name="_Hlk16606812"/>
      <w:r>
        <w:rPr>
          <w:rFonts w:hint="eastAsia"/>
        </w:rPr>
        <w:t>健全并完善项目管理办法，提升项目管理水平</w:t>
      </w:r>
      <w:bookmarkEnd w:id="63"/>
    </w:p>
    <w:p>
      <w:pPr>
        <w:ind w:firstLine="640"/>
      </w:pPr>
      <w:r>
        <w:rPr>
          <w:rFonts w:hint="eastAsia"/>
        </w:rPr>
        <w:t>一是项目单位应根据上级文件精神及实施方案要求，结合汕尾市实际情况，分年度分阶段制定项目规划目标，清晰各部门任务目标，细化工作流程，明确各年度工作要求及考核要求。二是</w:t>
      </w:r>
      <w:bookmarkEnd w:id="64"/>
      <w:bookmarkStart w:id="65" w:name="_Toc26045529"/>
      <w:bookmarkStart w:id="66" w:name="_Toc30527"/>
      <w:r>
        <w:rPr>
          <w:rFonts w:hint="eastAsia"/>
        </w:rPr>
        <w:t>项目单位在项目实施过程中，应注重对项目实施过程文件、监督管理工作文件、绩效完成情况等相关佐证材料的收集、整理、归纳，保证后期绩效考核评价结果有理有据。三是及时总结归纳有关项目立项、实施过程、完成结果等环节中的问题，对项目实施“全方位、全过程”的跟踪，根据发现的问题及时提出解决措施或建议，汲取经验教训，提高项目管理水平。</w:t>
      </w:r>
    </w:p>
    <w:p>
      <w:pPr>
        <w:pStyle w:val="4"/>
      </w:pPr>
      <w:r>
        <w:rPr>
          <w:rFonts w:hint="eastAsia"/>
        </w:rPr>
        <w:t>（三）</w:t>
      </w:r>
      <w:bookmarkEnd w:id="65"/>
      <w:r>
        <w:rPr>
          <w:rFonts w:hint="eastAsia"/>
        </w:rPr>
        <w:t>制定资金使用计划，充分发挥财政资金使用效益</w:t>
      </w:r>
      <w:bookmarkEnd w:id="66"/>
    </w:p>
    <w:p>
      <w:pPr>
        <w:ind w:firstLine="640"/>
      </w:pPr>
      <w:r>
        <w:rPr>
          <w:rFonts w:hint="eastAsia"/>
        </w:rPr>
        <w:t>一是项目单位在资金申请时，应详细制定资金使用测算表，提供真实可靠的资金测算依据，细化项目支出明细，对于采购、建设事项先进行市场询价，尽可能确保预算资金准确。二是在财政实际下达资金后，调整资金使用测算表，根据项目资金确定资金使用计划，周全考虑支出情况，是否有质保金留置下年度支出、合同价款按进度支付的时间节点问题，充分发挥财政资金使用效益。</w:t>
      </w:r>
    </w:p>
    <w:bookmarkEnd w:id="41"/>
    <w:p>
      <w:pPr>
        <w:ind w:firstLine="0" w:firstLineChars="0"/>
      </w:pPr>
    </w:p>
    <w:p>
      <w:pPr>
        <w:ind w:firstLine="0" w:firstLineChars="0"/>
        <w:sectPr>
          <w:footerReference r:id="rId9" w:type="default"/>
          <w:pgSz w:w="11906" w:h="16838"/>
          <w:pgMar w:top="1440" w:right="1800" w:bottom="1440" w:left="1800" w:header="851" w:footer="992" w:gutter="0"/>
          <w:pgNumType w:start="1"/>
          <w:cols w:space="425" w:num="1"/>
          <w:docGrid w:type="lines" w:linePitch="312" w:charSpace="0"/>
        </w:sectPr>
      </w:pPr>
    </w:p>
    <w:p>
      <w:pPr>
        <w:pStyle w:val="3"/>
        <w:ind w:firstLine="640"/>
      </w:pPr>
      <w:bookmarkStart w:id="67" w:name="_Toc26045530"/>
      <w:bookmarkStart w:id="68" w:name="_Toc492"/>
      <w:r>
        <w:rPr>
          <w:rFonts w:hint="eastAsia"/>
        </w:rPr>
        <w:t>附件</w:t>
      </w:r>
      <w:r>
        <w:t xml:space="preserve">1 </w:t>
      </w:r>
      <w:bookmarkEnd w:id="67"/>
      <w:bookmarkEnd w:id="68"/>
      <w:r>
        <w:rPr>
          <w:rFonts w:hint="eastAsia"/>
        </w:rPr>
        <w:t>河（库）长制工作经费项目重点评价项目第三方绩效评价专家评价表</w:t>
      </w:r>
    </w:p>
    <w:tbl>
      <w:tblPr>
        <w:tblStyle w:val="15"/>
        <w:tblW w:w="0" w:type="auto"/>
        <w:tblInd w:w="0" w:type="dxa"/>
        <w:tblLayout w:type="fixed"/>
        <w:tblCellMar>
          <w:top w:w="0" w:type="dxa"/>
          <w:left w:w="108" w:type="dxa"/>
          <w:bottom w:w="0" w:type="dxa"/>
          <w:right w:w="108" w:type="dxa"/>
        </w:tblCellMar>
      </w:tblPr>
      <w:tblGrid>
        <w:gridCol w:w="1176"/>
        <w:gridCol w:w="628"/>
        <w:gridCol w:w="1176"/>
        <w:gridCol w:w="628"/>
        <w:gridCol w:w="1164"/>
        <w:gridCol w:w="631"/>
        <w:gridCol w:w="3939"/>
        <w:gridCol w:w="3939"/>
        <w:gridCol w:w="632"/>
        <w:gridCol w:w="1781"/>
      </w:tblGrid>
      <w:tr>
        <w:tblPrEx>
          <w:tblCellMar>
            <w:top w:w="0" w:type="dxa"/>
            <w:left w:w="108" w:type="dxa"/>
            <w:bottom w:w="0" w:type="dxa"/>
            <w:right w:w="108" w:type="dxa"/>
          </w:tblCellMar>
        </w:tblPrEx>
        <w:trPr>
          <w:trHeight w:val="312" w:hRule="atLeast"/>
          <w:tblHeader/>
        </w:trPr>
        <w:tc>
          <w:tcPr>
            <w:tcW w:w="540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b/>
                <w:bCs/>
                <w:color w:val="000000"/>
                <w:kern w:val="0"/>
                <w:sz w:val="21"/>
                <w:szCs w:val="21"/>
              </w:rPr>
            </w:pPr>
            <w:bookmarkStart w:id="69" w:name="_Toc29930"/>
            <w:bookmarkStart w:id="70" w:name="_Toc26045531"/>
            <w:r>
              <w:rPr>
                <w:rFonts w:hint="eastAsia" w:ascii="仿宋_GB2312" w:hAnsi="宋体" w:cs="宋体"/>
                <w:b/>
                <w:bCs/>
                <w:color w:val="000000"/>
                <w:kern w:val="0"/>
                <w:sz w:val="21"/>
                <w:szCs w:val="21"/>
              </w:rPr>
              <w:t>评价指标</w:t>
            </w:r>
          </w:p>
        </w:tc>
        <w:tc>
          <w:tcPr>
            <w:tcW w:w="39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指标说明</w:t>
            </w:r>
          </w:p>
        </w:tc>
        <w:tc>
          <w:tcPr>
            <w:tcW w:w="39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评分标准</w:t>
            </w:r>
          </w:p>
        </w:tc>
        <w:tc>
          <w:tcPr>
            <w:tcW w:w="63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评分</w:t>
            </w:r>
          </w:p>
        </w:tc>
        <w:tc>
          <w:tcPr>
            <w:tcW w:w="17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依据</w:t>
            </w:r>
          </w:p>
        </w:tc>
      </w:tr>
      <w:tr>
        <w:tblPrEx>
          <w:tblCellMar>
            <w:top w:w="0" w:type="dxa"/>
            <w:left w:w="108" w:type="dxa"/>
            <w:bottom w:w="0" w:type="dxa"/>
            <w:right w:w="108" w:type="dxa"/>
          </w:tblCellMar>
        </w:tblPrEx>
        <w:trPr>
          <w:trHeight w:val="312" w:hRule="atLeast"/>
          <w:tblHeader/>
        </w:trPr>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一级指标</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二级指标</w:t>
            </w:r>
          </w:p>
        </w:tc>
        <w:tc>
          <w:tcPr>
            <w:tcW w:w="179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三级指标</w:t>
            </w:r>
          </w:p>
        </w:tc>
        <w:tc>
          <w:tcPr>
            <w:tcW w:w="39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b/>
                <w:bCs/>
                <w:color w:val="000000"/>
                <w:kern w:val="0"/>
                <w:sz w:val="21"/>
                <w:szCs w:val="21"/>
              </w:rPr>
            </w:pPr>
          </w:p>
        </w:tc>
        <w:tc>
          <w:tcPr>
            <w:tcW w:w="39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b/>
                <w:bCs/>
                <w:color w:val="000000"/>
                <w:kern w:val="0"/>
                <w:sz w:val="21"/>
                <w:szCs w:val="21"/>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b/>
                <w:bCs/>
                <w:color w:val="000000"/>
                <w:kern w:val="0"/>
                <w:sz w:val="21"/>
                <w:szCs w:val="21"/>
              </w:rPr>
            </w:pPr>
          </w:p>
        </w:tc>
        <w:tc>
          <w:tcPr>
            <w:tcW w:w="1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b/>
                <w:bCs/>
                <w:color w:val="000000"/>
                <w:kern w:val="0"/>
                <w:sz w:val="21"/>
                <w:szCs w:val="21"/>
              </w:rPr>
            </w:pPr>
          </w:p>
        </w:tc>
      </w:tr>
      <w:tr>
        <w:tblPrEx>
          <w:tblCellMar>
            <w:top w:w="0" w:type="dxa"/>
            <w:left w:w="108" w:type="dxa"/>
            <w:bottom w:w="0" w:type="dxa"/>
            <w:right w:w="108" w:type="dxa"/>
          </w:tblCellMar>
        </w:tblPrEx>
        <w:trPr>
          <w:trHeight w:val="312" w:hRule="atLeast"/>
          <w:tblHeader/>
        </w:trPr>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名称</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权重(%)</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名称</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权重(%)</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名称</w:t>
            </w: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权重(%)</w:t>
            </w:r>
          </w:p>
        </w:tc>
        <w:tc>
          <w:tcPr>
            <w:tcW w:w="39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b/>
                <w:bCs/>
                <w:color w:val="000000"/>
                <w:kern w:val="0"/>
                <w:sz w:val="21"/>
                <w:szCs w:val="21"/>
              </w:rPr>
            </w:pPr>
          </w:p>
        </w:tc>
        <w:tc>
          <w:tcPr>
            <w:tcW w:w="39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b/>
                <w:bCs/>
                <w:color w:val="000000"/>
                <w:kern w:val="0"/>
                <w:sz w:val="21"/>
                <w:szCs w:val="21"/>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b/>
                <w:bCs/>
                <w:color w:val="000000"/>
                <w:kern w:val="0"/>
                <w:sz w:val="21"/>
                <w:szCs w:val="21"/>
              </w:rPr>
            </w:pPr>
          </w:p>
        </w:tc>
        <w:tc>
          <w:tcPr>
            <w:tcW w:w="1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b/>
                <w:bCs/>
                <w:color w:val="000000"/>
                <w:kern w:val="0"/>
                <w:sz w:val="21"/>
                <w:szCs w:val="21"/>
              </w:rPr>
            </w:pPr>
          </w:p>
        </w:tc>
      </w:tr>
      <w:tr>
        <w:tblPrEx>
          <w:tblCellMar>
            <w:top w:w="0" w:type="dxa"/>
            <w:left w:w="108" w:type="dxa"/>
            <w:bottom w:w="0" w:type="dxa"/>
            <w:right w:w="108" w:type="dxa"/>
          </w:tblCellMar>
        </w:tblPrEx>
        <w:trPr>
          <w:trHeight w:val="1200" w:hRule="atLeast"/>
        </w:trPr>
        <w:tc>
          <w:tcPr>
            <w:tcW w:w="117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绩效影响</w:t>
            </w:r>
          </w:p>
        </w:tc>
        <w:tc>
          <w:tcPr>
            <w:tcW w:w="62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50</w:t>
            </w:r>
          </w:p>
        </w:tc>
        <w:tc>
          <w:tcPr>
            <w:tcW w:w="117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前期准备</w:t>
            </w:r>
          </w:p>
        </w:tc>
        <w:tc>
          <w:tcPr>
            <w:tcW w:w="62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论证决策</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5</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反映专项资金资金设立是否符合有关规定，资金投向和结构是否合理, 是否符合相关管理办法,符合公共财政扶持方向及资金设立目标；项目申报内容是否符合资金管理办法、申报指南等规定的要求，是否具体明确、合理可行，项目审批是否经过科学决策程序；或者资金分配所依据的相关因素、计算公式确定是否合理、科学，所依据的数据采集是否规范。</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1.资金设立符合有关规定，资金投向和结构相对合理, 且符合相关管理办法,符合公共财政扶持方向及资金设立目标的，得1.5分，否则酌情扣分，直至0分。</w:t>
            </w:r>
            <w:r>
              <w:rPr>
                <w:rFonts w:hint="eastAsia" w:ascii="仿宋_GB2312" w:hAnsi="宋体" w:cs="宋体"/>
                <w:color w:val="000000"/>
                <w:kern w:val="0"/>
                <w:sz w:val="21"/>
                <w:szCs w:val="21"/>
              </w:rPr>
              <w:br w:type="textWrapping"/>
            </w:r>
            <w:r>
              <w:rPr>
                <w:rFonts w:hint="eastAsia" w:ascii="仿宋_GB2312" w:hAnsi="宋体" w:cs="宋体"/>
                <w:color w:val="000000"/>
                <w:kern w:val="0"/>
                <w:sz w:val="21"/>
                <w:szCs w:val="21"/>
              </w:rPr>
              <w:t>2.项目申报内容符合资金管理办法、申报指南等规定的要求，且具体明确、合理可行的，得1.5分，否则酌情扣分，直至0分；采用因素法分配的，主要依据对相关数据采集规范性的判断核定得分。</w:t>
            </w:r>
            <w:r>
              <w:rPr>
                <w:rFonts w:hint="eastAsia" w:ascii="仿宋_GB2312" w:hAnsi="宋体" w:cs="宋体"/>
                <w:color w:val="000000"/>
                <w:kern w:val="0"/>
                <w:sz w:val="21"/>
                <w:szCs w:val="21"/>
              </w:rPr>
              <w:br w:type="textWrapping"/>
            </w:r>
            <w:r>
              <w:rPr>
                <w:rFonts w:hint="eastAsia" w:ascii="仿宋_GB2312" w:hAnsi="宋体" w:cs="宋体"/>
                <w:color w:val="000000"/>
                <w:kern w:val="0"/>
                <w:sz w:val="21"/>
                <w:szCs w:val="21"/>
              </w:rPr>
              <w:t>3.项目审批按规定经过科学决策程序、方式的，得2分，否则酌情扣分，直至0分；采用因素法分配的，主要依据对相关因素及计算公式设定的合理性、科学性的判断核定得分。</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ascii="仿宋_GB2312" w:hAnsi="宋体" w:cs="宋体"/>
                <w:color w:val="000000"/>
                <w:kern w:val="0"/>
                <w:sz w:val="21"/>
                <w:szCs w:val="21"/>
              </w:rPr>
              <w:t>4</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本项目为2018年中追加项目，资金设立符合有关规定，本项目17年已制定《汕尾市全面推行河（库）长制实施方案》，应列入2018年初部门预算，而非进行年中追加项目，一定程度上说明前期论证不足，扣1分。</w:t>
            </w:r>
          </w:p>
        </w:tc>
      </w:tr>
      <w:tr>
        <w:tblPrEx>
          <w:tblCellMar>
            <w:top w:w="0" w:type="dxa"/>
            <w:left w:w="108" w:type="dxa"/>
            <w:bottom w:w="0" w:type="dxa"/>
            <w:right w:w="108" w:type="dxa"/>
          </w:tblCellMar>
        </w:tblPrEx>
        <w:trPr>
          <w:trHeight w:val="1200" w:hRule="atLeast"/>
        </w:trPr>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目标设置</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5</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反映目标设置是否包含总目标和阶段性目标，是否包括预期提供的公共产品或服务的产出数量、质量、成本指标，预期达到的效果性指标；反映资金绩效目标设置是否明确，合理、细化、量化，绩效目标是否与资金或项目属性特点、支出内容相关，体现决策意图，同时合乎客观实际。</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1.目标设置完整性2分，依据相关基础信息和证据判断目标设置的完整性，即是否包含总目标和阶段性目标，是否包括预期提供的公共产品或服务的产出数量、质量、成本指标，预期达到的效果性指标，据此核定分数。</w:t>
            </w:r>
            <w:r>
              <w:rPr>
                <w:rFonts w:hint="eastAsia" w:ascii="仿宋_GB2312" w:hAnsi="宋体" w:cs="宋体"/>
                <w:color w:val="000000"/>
                <w:kern w:val="0"/>
                <w:sz w:val="21"/>
                <w:szCs w:val="21"/>
              </w:rPr>
              <w:br w:type="textWrapping"/>
            </w:r>
            <w:r>
              <w:rPr>
                <w:rFonts w:hint="eastAsia" w:ascii="仿宋_GB2312" w:hAnsi="宋体" w:cs="宋体"/>
                <w:color w:val="000000"/>
                <w:kern w:val="0"/>
                <w:sz w:val="21"/>
                <w:szCs w:val="21"/>
              </w:rPr>
              <w:t>2.目标设置科学性3分，依据相关基础信息和证据判断目标设置的科学性，即绩效目标设置是否明确，合理、细化、量化，绩效目标是否与资金或项目属性特点、支出内容相关，体现决策意图，同时合乎客观实际，据此核定分数。</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ascii="仿宋_GB2312" w:hAnsi="宋体" w:cs="宋体"/>
                <w:color w:val="000000"/>
                <w:kern w:val="0"/>
                <w:sz w:val="21"/>
                <w:szCs w:val="21"/>
              </w:rPr>
              <w:t>2</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一是目标设置完整性，项目单位设置了时效指标、成本指标及生态效益指标，但项目单位未针对本项目分阶段设置绩效目标，扣1分；二是目标设置科学性，项目单位所设置的生态效益指标，均为定性表述不可量化，难以考查生态效益指标实现情况，扣2分。</w:t>
            </w:r>
          </w:p>
        </w:tc>
      </w:tr>
      <w:tr>
        <w:tblPrEx>
          <w:tblCellMar>
            <w:top w:w="0" w:type="dxa"/>
            <w:left w:w="108" w:type="dxa"/>
            <w:bottom w:w="0" w:type="dxa"/>
            <w:right w:w="108" w:type="dxa"/>
          </w:tblCellMar>
        </w:tblPrEx>
        <w:trPr>
          <w:trHeight w:val="1200" w:hRule="atLeast"/>
        </w:trPr>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保障措施</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6</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反映资金管理及项目或方案实施的保障机构是否健全，人员分工是否明确，责任是否落实；资金管理办法、项目管理管理办法或实施方案（计划）等制度是否健全、规范；工作进度计划、预算安排是否合理，投入是否有保障。</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1.资金管理及项目或方案实施的保障机构健全，且人员分工、责任落实较好的，得1分，其他情况酌情扣分；</w:t>
            </w:r>
            <w:r>
              <w:rPr>
                <w:rFonts w:hint="eastAsia" w:ascii="仿宋_GB2312" w:hAnsi="宋体" w:cs="宋体"/>
                <w:color w:val="000000"/>
                <w:kern w:val="0"/>
                <w:sz w:val="21"/>
                <w:szCs w:val="21"/>
              </w:rPr>
              <w:br w:type="textWrapping"/>
            </w:r>
            <w:r>
              <w:rPr>
                <w:rFonts w:hint="eastAsia" w:ascii="仿宋_GB2312" w:hAnsi="宋体" w:cs="宋体"/>
                <w:color w:val="000000"/>
                <w:kern w:val="0"/>
                <w:sz w:val="21"/>
                <w:szCs w:val="21"/>
              </w:rPr>
              <w:t>2.资金管理办法、项目管理管理办法或实施方案（计划）等制度健全、规范的，得3分，否则酌情扣分；</w:t>
            </w:r>
            <w:r>
              <w:rPr>
                <w:rFonts w:hint="eastAsia" w:ascii="仿宋_GB2312" w:hAnsi="宋体" w:cs="宋体"/>
                <w:color w:val="000000"/>
                <w:kern w:val="0"/>
                <w:sz w:val="21"/>
                <w:szCs w:val="21"/>
              </w:rPr>
              <w:br w:type="textWrapping"/>
            </w:r>
            <w:r>
              <w:rPr>
                <w:rFonts w:hint="eastAsia" w:ascii="仿宋_GB2312" w:hAnsi="宋体" w:cs="宋体"/>
                <w:color w:val="000000"/>
                <w:kern w:val="0"/>
                <w:sz w:val="21"/>
                <w:szCs w:val="21"/>
              </w:rPr>
              <w:t>3.工作进度计划、预算安排合理 ，投入有保障的，得2分，否则酌情扣分。</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ascii="仿宋_GB2312" w:hAnsi="宋体" w:cs="宋体"/>
                <w:color w:val="000000"/>
                <w:kern w:val="0"/>
                <w:sz w:val="21"/>
                <w:szCs w:val="21"/>
              </w:rPr>
              <w:t>3</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项目单位有实施方案由河长办负责具体实施，保障机构健全。但本项目未制定项目资金管理办法及工作进度计划，对项目资金的支出缺乏管理措施，资金投入难以保障，扣3分。</w:t>
            </w:r>
          </w:p>
        </w:tc>
      </w:tr>
      <w:tr>
        <w:tblPrEx>
          <w:tblCellMar>
            <w:top w:w="0" w:type="dxa"/>
            <w:left w:w="108" w:type="dxa"/>
            <w:bottom w:w="0" w:type="dxa"/>
            <w:right w:w="108" w:type="dxa"/>
          </w:tblCellMar>
        </w:tblPrEx>
        <w:trPr>
          <w:trHeight w:val="1200" w:hRule="atLeast"/>
        </w:trPr>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117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资金管理</w:t>
            </w:r>
          </w:p>
        </w:tc>
        <w:tc>
          <w:tcPr>
            <w:tcW w:w="62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资金到位</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4</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反映市级财政资金的到位情况，包括到位比比率及到位及时性。</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1.市级财政资金到位率100%，且按规定时间及时到位的，得4分；</w:t>
            </w:r>
            <w:r>
              <w:rPr>
                <w:rFonts w:hint="eastAsia" w:ascii="仿宋_GB2312" w:hAnsi="宋体" w:cs="宋体"/>
                <w:color w:val="000000"/>
                <w:kern w:val="0"/>
                <w:sz w:val="21"/>
                <w:szCs w:val="21"/>
              </w:rPr>
              <w:br w:type="textWrapping"/>
            </w:r>
            <w:r>
              <w:rPr>
                <w:rFonts w:hint="eastAsia" w:ascii="仿宋_GB2312" w:hAnsi="宋体" w:cs="宋体"/>
                <w:color w:val="000000"/>
                <w:kern w:val="0"/>
                <w:sz w:val="21"/>
                <w:szCs w:val="21"/>
              </w:rPr>
              <w:t>2.其他情况，在按满分乘以到位率计算得分的基础上，综合考虑未全额到位、未及时到位的原因等因素核定最后得分。</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ascii="仿宋_GB2312" w:hAnsi="宋体" w:cs="宋体"/>
                <w:color w:val="000000"/>
                <w:kern w:val="0"/>
                <w:sz w:val="21"/>
                <w:szCs w:val="21"/>
              </w:rPr>
              <w:t>4</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财政资金实际到位100万，资金到位及时。</w:t>
            </w:r>
          </w:p>
        </w:tc>
      </w:tr>
      <w:tr>
        <w:tblPrEx>
          <w:tblCellMar>
            <w:top w:w="0" w:type="dxa"/>
            <w:left w:w="108" w:type="dxa"/>
            <w:bottom w:w="0" w:type="dxa"/>
            <w:right w:w="108" w:type="dxa"/>
          </w:tblCellMar>
        </w:tblPrEx>
        <w:trPr>
          <w:trHeight w:val="1200" w:hRule="atLeast"/>
        </w:trPr>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资金支付</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7</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反映市级财政资金的实际支出情况。</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主要依据“支付额/预算额度*100*指标权重”计算核定得分，同时综合考虑工作进度，以及是否垫资或履行支付手续而影响支出率等因素适当调整最后得分。</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ascii="仿宋_GB2312" w:hAnsi="宋体" w:cs="宋体"/>
                <w:color w:val="000000"/>
                <w:kern w:val="0"/>
                <w:sz w:val="21"/>
                <w:szCs w:val="21"/>
              </w:rPr>
              <w:t>7</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资金预算安排100万元，实际支付140万元，支出率140%，存在垫资情况。</w:t>
            </w:r>
          </w:p>
        </w:tc>
      </w:tr>
      <w:tr>
        <w:tblPrEx>
          <w:tblCellMar>
            <w:top w:w="0" w:type="dxa"/>
            <w:left w:w="108" w:type="dxa"/>
            <w:bottom w:w="0" w:type="dxa"/>
            <w:right w:w="108" w:type="dxa"/>
          </w:tblCellMar>
        </w:tblPrEx>
        <w:trPr>
          <w:trHeight w:val="1200" w:hRule="atLeast"/>
        </w:trPr>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支出规范性</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9</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反映预算执行的规范性，预算调整是否履行报批手续，是否按进度支付资金；事项支出的合规性，资金管理、费用标准集中支付或财政报账等制度是否得到严格执行，是否超范围、超标准支出，是否虚列支出，是否存在截留、挤占、挪用资金的情况；会计核算规范性，是否规范执行会计核算制度，是否专账核算，支出凭证是否合规有效。</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1.预算执行规范性2分，按规定履行调整报批手续或未发生调整的，且按事项完成进度支付资金的得满分，否则酌情扣分。</w:t>
            </w:r>
            <w:r>
              <w:rPr>
                <w:rFonts w:hint="eastAsia" w:ascii="仿宋_GB2312" w:hAnsi="宋体" w:cs="宋体"/>
                <w:color w:val="000000"/>
                <w:kern w:val="0"/>
                <w:sz w:val="21"/>
                <w:szCs w:val="21"/>
              </w:rPr>
              <w:br w:type="textWrapping"/>
            </w:r>
            <w:r>
              <w:rPr>
                <w:rFonts w:hint="eastAsia" w:ascii="仿宋_GB2312" w:hAnsi="宋体" w:cs="宋体"/>
                <w:color w:val="000000"/>
                <w:kern w:val="0"/>
                <w:sz w:val="21"/>
                <w:szCs w:val="21"/>
              </w:rPr>
              <w:t>2.事项支出的合规性3分，资金管理、费用标准、支付符合有关制度规定的得满分，超范围、超标准支出，虚列支出，截留、挤占、挪用资金的，以及其他不符合制度规定支出的，视情节严重情况扣分，直至扣到0分。</w:t>
            </w:r>
            <w:r>
              <w:rPr>
                <w:rFonts w:hint="eastAsia" w:ascii="仿宋_GB2312" w:hAnsi="宋体" w:cs="宋体"/>
                <w:color w:val="000000"/>
                <w:kern w:val="0"/>
                <w:sz w:val="21"/>
                <w:szCs w:val="21"/>
              </w:rPr>
              <w:br w:type="textWrapping"/>
            </w:r>
            <w:r>
              <w:rPr>
                <w:rFonts w:hint="eastAsia" w:ascii="仿宋_GB2312" w:hAnsi="宋体" w:cs="宋体"/>
                <w:color w:val="000000"/>
                <w:kern w:val="0"/>
                <w:sz w:val="21"/>
                <w:szCs w:val="21"/>
              </w:rPr>
              <w:t>3.会计核算规范性4分，规范执行会计核算制度得满分，未按规定设专账核算，或支出凭证不符合规定，或其他核算不规范的，视具体情况扣分。</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ascii="仿宋_GB2312" w:hAnsi="宋体" w:cs="宋体"/>
                <w:color w:val="000000"/>
                <w:kern w:val="0"/>
                <w:sz w:val="21"/>
                <w:szCs w:val="21"/>
              </w:rPr>
              <w:t>9</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经现场评审财务专家核查，项目单位预算支出规范、事项支出合规、会计核算规范，未发现其他违规问题。</w:t>
            </w:r>
          </w:p>
        </w:tc>
      </w:tr>
      <w:tr>
        <w:tblPrEx>
          <w:tblCellMar>
            <w:top w:w="0" w:type="dxa"/>
            <w:left w:w="108" w:type="dxa"/>
            <w:bottom w:w="0" w:type="dxa"/>
            <w:right w:w="108" w:type="dxa"/>
          </w:tblCellMar>
        </w:tblPrEx>
        <w:trPr>
          <w:trHeight w:val="1200" w:hRule="atLeast"/>
        </w:trPr>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117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保障措施</w:t>
            </w:r>
          </w:p>
        </w:tc>
        <w:tc>
          <w:tcPr>
            <w:tcW w:w="62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实施程序</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8</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反映项目或方案实施程序的规范性,包括项目或方案调整是否按规定履行报批手续；项目招投标、建设、验收等是否严格执行相关制度规定，或方案实施是否规范。</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项目或方案按规定程序实施,包括项目或方案调整按规定履行报批手续，项目招投标、建设、验收等或方案实施严格执行相关制度规定的，得满分，否则酌情扣分。</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ascii="仿宋_GB2312" w:hAnsi="宋体" w:cs="宋体"/>
                <w:color w:val="000000"/>
                <w:kern w:val="0"/>
                <w:sz w:val="21"/>
                <w:szCs w:val="21"/>
              </w:rPr>
              <w:t>8</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项目实施能按规定程序实施，项目建设能严格执行相关制度规定，项目管理情况较好。</w:t>
            </w:r>
          </w:p>
        </w:tc>
      </w:tr>
      <w:tr>
        <w:tblPrEx>
          <w:tblCellMar>
            <w:top w:w="0" w:type="dxa"/>
            <w:left w:w="108" w:type="dxa"/>
            <w:bottom w:w="0" w:type="dxa"/>
            <w:right w:w="108" w:type="dxa"/>
          </w:tblCellMar>
        </w:tblPrEx>
        <w:trPr>
          <w:trHeight w:val="1200" w:hRule="atLeast"/>
        </w:trPr>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管理情况</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6</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反映资金使用单位内部管理及自查情况；业务主管部门对项目建设或方案实施的检查、监控、督促等管理情况。</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1.资金使用单位或基层资金管理单位建立有效管理机制，且执行情况良好得3分，具体根据所提供的信息证据作出判断并核定分数。</w:t>
            </w:r>
            <w:r>
              <w:rPr>
                <w:rFonts w:hint="eastAsia" w:ascii="仿宋_GB2312" w:hAnsi="宋体" w:cs="宋体"/>
                <w:color w:val="000000"/>
                <w:kern w:val="0"/>
                <w:sz w:val="21"/>
                <w:szCs w:val="21"/>
              </w:rPr>
              <w:br w:type="textWrapping"/>
            </w:r>
            <w:r>
              <w:rPr>
                <w:rFonts w:hint="eastAsia" w:ascii="仿宋_GB2312" w:hAnsi="宋体" w:cs="宋体"/>
                <w:color w:val="000000"/>
                <w:kern w:val="0"/>
                <w:sz w:val="21"/>
                <w:szCs w:val="21"/>
              </w:rPr>
              <w:t>2.具体根据所提供的信息证据作出判断，如各级业务主管部门按规定对项目建设或方案实施开展有效的检查、监控、督促整改的，得3分；否则，视情况扣分。</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ascii="仿宋_GB2312" w:hAnsi="宋体" w:cs="宋体"/>
                <w:color w:val="000000"/>
                <w:kern w:val="0"/>
                <w:sz w:val="21"/>
                <w:szCs w:val="21"/>
              </w:rPr>
              <w:t>5</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市水务局设置河长办，主要负责联络各县区河长，起到上传下达的作用。但未根据汕尾市实际情况有针对性的制定中长期项目规划及管理办法，明确每年度阶段性计划及发展目标，管理制度上略有欠缺，扣1分。</w:t>
            </w:r>
          </w:p>
        </w:tc>
      </w:tr>
      <w:tr>
        <w:tblPrEx>
          <w:tblCellMar>
            <w:top w:w="0" w:type="dxa"/>
            <w:left w:w="108" w:type="dxa"/>
            <w:bottom w:w="0" w:type="dxa"/>
            <w:right w:w="108" w:type="dxa"/>
          </w:tblCellMar>
        </w:tblPrEx>
        <w:trPr>
          <w:trHeight w:val="1200" w:hRule="atLeast"/>
        </w:trPr>
        <w:tc>
          <w:tcPr>
            <w:tcW w:w="117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绩效表现</w:t>
            </w:r>
          </w:p>
        </w:tc>
        <w:tc>
          <w:tcPr>
            <w:tcW w:w="62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50</w:t>
            </w: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经济性</w:t>
            </w:r>
          </w:p>
        </w:tc>
        <w:tc>
          <w:tcPr>
            <w:tcW w:w="62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预算(成本)控制</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5</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反映事项预算（成本）控制的合理性，即反映预算执行结果是节约还是超支等具体情况及原因。</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1.在预算执行进度与事项完成进度基本匹配的前提下，支出结果未超过预算的，得满分；</w:t>
            </w:r>
            <w:r>
              <w:rPr>
                <w:rFonts w:hint="eastAsia" w:ascii="仿宋_GB2312" w:hAnsi="宋体" w:cs="宋体"/>
                <w:color w:val="000000"/>
                <w:kern w:val="0"/>
                <w:sz w:val="21"/>
                <w:szCs w:val="21"/>
              </w:rPr>
              <w:br w:type="textWrapping"/>
            </w:r>
            <w:r>
              <w:rPr>
                <w:rFonts w:hint="eastAsia" w:ascii="仿宋_GB2312" w:hAnsi="宋体" w:cs="宋体"/>
                <w:color w:val="000000"/>
                <w:kern w:val="0"/>
                <w:sz w:val="21"/>
                <w:szCs w:val="21"/>
              </w:rPr>
              <w:t>2.支出超过预算的，或者支出未能保障事项相应完成进度的，酌情扣分。</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ascii="仿宋_GB2312" w:hAnsi="宋体" w:cs="宋体"/>
                <w:color w:val="000000"/>
                <w:kern w:val="0"/>
                <w:sz w:val="21"/>
                <w:szCs w:val="21"/>
              </w:rPr>
              <w:t>3</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项目资金实际到达100万，但从项目单位提供的项目支出明细中了解到，河长制工作经费实际支付140万，超支40%，扣2分。</w:t>
            </w:r>
          </w:p>
        </w:tc>
      </w:tr>
      <w:tr>
        <w:tblPrEx>
          <w:tblCellMar>
            <w:top w:w="0" w:type="dxa"/>
            <w:left w:w="108" w:type="dxa"/>
            <w:bottom w:w="0" w:type="dxa"/>
            <w:right w:w="108" w:type="dxa"/>
          </w:tblCellMar>
        </w:tblPrEx>
        <w:trPr>
          <w:trHeight w:val="1200" w:hRule="atLeast"/>
        </w:trPr>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效率性</w:t>
            </w:r>
          </w:p>
        </w:tc>
        <w:tc>
          <w:tcPr>
            <w:tcW w:w="62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完成进度及质量</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10</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反映事项实施（完成）的进度、质量和产出数量等情况。</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1.按目标设置或计划完成相应实施进度、质量和产出数量的，得满分；</w:t>
            </w:r>
            <w:r>
              <w:rPr>
                <w:rFonts w:hint="eastAsia" w:ascii="仿宋_GB2312" w:hAnsi="宋体" w:cs="宋体"/>
                <w:color w:val="000000"/>
                <w:kern w:val="0"/>
                <w:sz w:val="21"/>
                <w:szCs w:val="21"/>
              </w:rPr>
              <w:br w:type="textWrapping"/>
            </w:r>
            <w:r>
              <w:rPr>
                <w:rFonts w:hint="eastAsia" w:ascii="仿宋_GB2312" w:hAnsi="宋体" w:cs="宋体"/>
                <w:color w:val="000000"/>
                <w:kern w:val="0"/>
                <w:sz w:val="21"/>
                <w:szCs w:val="21"/>
              </w:rPr>
              <w:t>2.未按目标设置或计划完成的，酌情扣分，具体可根据完成程度核定分数。</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ascii="仿宋_GB2312" w:hAnsi="宋体" w:cs="宋体"/>
                <w:color w:val="000000"/>
                <w:kern w:val="0"/>
                <w:sz w:val="21"/>
                <w:szCs w:val="21"/>
              </w:rPr>
              <w:t>5</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本项目经费主要用于在全市推行河（库）长制工作经费，2018年基本能按支出计划完成办公费、宣传费的支出。但是在完成质量上难以考核，一是单位未设置质量指标，二是单位进行河（库）长制宣传工作未进行满意度调查及其他相关举措，难以衡量宣传效果，综合评价扣5分。</w:t>
            </w:r>
          </w:p>
        </w:tc>
      </w:tr>
      <w:tr>
        <w:tblPrEx>
          <w:tblCellMar>
            <w:top w:w="0" w:type="dxa"/>
            <w:left w:w="108" w:type="dxa"/>
            <w:bottom w:w="0" w:type="dxa"/>
            <w:right w:w="108" w:type="dxa"/>
          </w:tblCellMar>
        </w:tblPrEx>
        <w:trPr>
          <w:trHeight w:val="1200" w:hRule="atLeast"/>
        </w:trPr>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117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效果性</w:t>
            </w:r>
          </w:p>
        </w:tc>
        <w:tc>
          <w:tcPr>
            <w:tcW w:w="62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社会经济效益</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25</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反映资金使用或项目实施直接产生和带动的社会经济效益，主要通过具体效果性基础信息项反映。</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根据项目实际并结合绩效目标设立情况，有选择地设置个性化绩效指标，通过绩效指标实际完成值与目标值的对比分析来核定得分。</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ascii="仿宋_GB2312" w:hAnsi="宋体" w:cs="宋体"/>
                <w:color w:val="000000"/>
                <w:kern w:val="0"/>
                <w:sz w:val="21"/>
                <w:szCs w:val="21"/>
              </w:rPr>
              <w:t>20</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推行河（库）长制有利于落实绿色发展理念，明确各级河长责任，推动生态文明建设，完善水治理体系，生态环境效益较好。但本项目经费用于宣传部分，难以衡量项目产出，社会效益无法得到体现，普通群众对河（库）长制的知晓程度较低，综合评价得20分。</w:t>
            </w:r>
          </w:p>
        </w:tc>
      </w:tr>
      <w:tr>
        <w:tblPrEx>
          <w:tblCellMar>
            <w:top w:w="0" w:type="dxa"/>
            <w:left w:w="108" w:type="dxa"/>
            <w:bottom w:w="0" w:type="dxa"/>
            <w:right w:w="108" w:type="dxa"/>
          </w:tblCellMar>
        </w:tblPrEx>
        <w:trPr>
          <w:trHeight w:val="1200" w:hRule="atLeast"/>
        </w:trPr>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可持续发展</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5</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反映事项完成后，后续政策、资金、人员机构安排和管理措施等影响事项持续发展的因素，以及事项实施对人、环境、资源是否带来可持续发展影响。</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1.人员机构安排可持续得1分，政策、制度可持续得1分；</w:t>
            </w:r>
            <w:r>
              <w:rPr>
                <w:rFonts w:hint="eastAsia" w:ascii="仿宋_GB2312" w:hAnsi="宋体" w:cs="宋体"/>
                <w:color w:val="000000"/>
                <w:kern w:val="0"/>
                <w:sz w:val="21"/>
                <w:szCs w:val="21"/>
              </w:rPr>
              <w:br w:type="textWrapping"/>
            </w:r>
            <w:r>
              <w:rPr>
                <w:rFonts w:hint="eastAsia" w:ascii="仿宋_GB2312" w:hAnsi="宋体" w:cs="宋体"/>
                <w:color w:val="000000"/>
                <w:kern w:val="0"/>
                <w:sz w:val="21"/>
                <w:szCs w:val="21"/>
              </w:rPr>
              <w:t>2.管理机制（如管护和资金投入等）可持续得2分；</w:t>
            </w:r>
            <w:r>
              <w:rPr>
                <w:rFonts w:hint="eastAsia" w:ascii="仿宋_GB2312" w:hAnsi="宋体" w:cs="宋体"/>
                <w:color w:val="000000"/>
                <w:kern w:val="0"/>
                <w:sz w:val="21"/>
                <w:szCs w:val="21"/>
              </w:rPr>
              <w:br w:type="textWrapping"/>
            </w:r>
            <w:r>
              <w:rPr>
                <w:rFonts w:hint="eastAsia" w:ascii="仿宋_GB2312" w:hAnsi="宋体" w:cs="宋体"/>
                <w:color w:val="000000"/>
                <w:kern w:val="0"/>
                <w:sz w:val="21"/>
                <w:szCs w:val="21"/>
              </w:rPr>
              <w:t>3.环境可持续得1分；</w:t>
            </w:r>
            <w:r>
              <w:rPr>
                <w:rFonts w:hint="eastAsia" w:ascii="仿宋_GB2312" w:hAnsi="宋体" w:cs="宋体"/>
                <w:color w:val="000000"/>
                <w:kern w:val="0"/>
                <w:sz w:val="21"/>
                <w:szCs w:val="21"/>
              </w:rPr>
              <w:br w:type="textWrapping"/>
            </w:r>
            <w:r>
              <w:rPr>
                <w:rFonts w:hint="eastAsia" w:ascii="仿宋_GB2312" w:hAnsi="宋体" w:cs="宋体"/>
                <w:color w:val="000000"/>
                <w:kern w:val="0"/>
                <w:sz w:val="21"/>
                <w:szCs w:val="21"/>
              </w:rPr>
              <w:t>否则酌情扣分。</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ascii="仿宋_GB2312" w:hAnsi="宋体" w:cs="宋体"/>
                <w:color w:val="000000"/>
                <w:kern w:val="0"/>
                <w:sz w:val="21"/>
                <w:szCs w:val="21"/>
              </w:rPr>
              <w:t>4</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全面推行河（库）长制是我国现阶段一大重大政策，政策可持续强，项目单位专门设立河长办公室保障机构、人员可持续，但是在项目管理制度上，有待完善，扣1分。</w:t>
            </w:r>
          </w:p>
        </w:tc>
      </w:tr>
      <w:tr>
        <w:tblPrEx>
          <w:tblCellMar>
            <w:top w:w="0" w:type="dxa"/>
            <w:left w:w="108" w:type="dxa"/>
            <w:bottom w:w="0" w:type="dxa"/>
            <w:right w:w="108" w:type="dxa"/>
          </w:tblCellMar>
        </w:tblPrEx>
        <w:trPr>
          <w:trHeight w:val="1200" w:hRule="atLeast"/>
        </w:trPr>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s="宋体"/>
                <w:color w:val="000000"/>
                <w:kern w:val="0"/>
                <w:sz w:val="21"/>
                <w:szCs w:val="21"/>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公平性</w:t>
            </w:r>
          </w:p>
        </w:tc>
        <w:tc>
          <w:tcPr>
            <w:tcW w:w="62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公共属性</w:t>
            </w:r>
            <w:r>
              <w:rPr>
                <w:rFonts w:hint="eastAsia" w:ascii="仿宋_GB2312" w:hAnsi="宋体" w:cs="宋体"/>
                <w:color w:val="000000"/>
                <w:kern w:val="0"/>
                <w:sz w:val="21"/>
                <w:szCs w:val="21"/>
              </w:rPr>
              <w:br w:type="textWrapping"/>
            </w:r>
            <w:r>
              <w:rPr>
                <w:rFonts w:hint="eastAsia" w:ascii="仿宋_GB2312" w:hAnsi="宋体" w:cs="宋体"/>
                <w:color w:val="000000"/>
                <w:kern w:val="0"/>
                <w:sz w:val="21"/>
                <w:szCs w:val="21"/>
              </w:rPr>
              <w:t>（满意度）</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5</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反映资金及支出项目与增加公共利益、公共福利和保障公共安全等方面的相关联程度,以及公众对资金补助政策、项目建设等情况的满意度。</w:t>
            </w:r>
          </w:p>
        </w:tc>
        <w:tc>
          <w:tcPr>
            <w:tcW w:w="39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left"/>
              <w:rPr>
                <w:rFonts w:ascii="仿宋_GB2312" w:hAnsi="宋体" w:cs="宋体"/>
                <w:color w:val="000000"/>
                <w:kern w:val="0"/>
                <w:sz w:val="21"/>
                <w:szCs w:val="21"/>
              </w:rPr>
            </w:pPr>
            <w:r>
              <w:rPr>
                <w:rFonts w:hint="eastAsia" w:ascii="仿宋_GB2312" w:hAnsi="宋体" w:cs="宋体"/>
                <w:color w:val="000000"/>
                <w:kern w:val="0"/>
                <w:sz w:val="21"/>
                <w:szCs w:val="21"/>
              </w:rPr>
              <w:t>根据满意度调查结论（%）核定分数。</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color w:val="000000"/>
                <w:kern w:val="0"/>
                <w:sz w:val="21"/>
                <w:szCs w:val="21"/>
              </w:rPr>
            </w:pPr>
            <w:r>
              <w:rPr>
                <w:rFonts w:ascii="仿宋_GB2312" w:hAnsi="宋体" w:cs="宋体"/>
                <w:color w:val="000000"/>
                <w:kern w:val="0"/>
                <w:sz w:val="21"/>
                <w:szCs w:val="21"/>
              </w:rPr>
              <w:t>3</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ind w:firstLine="0" w:firstLineChars="0"/>
              <w:rPr>
                <w:rFonts w:ascii="仿宋_GB2312" w:hAnsi="宋体" w:cs="宋体"/>
                <w:color w:val="000000"/>
                <w:kern w:val="0"/>
                <w:sz w:val="21"/>
                <w:szCs w:val="21"/>
              </w:rPr>
            </w:pPr>
            <w:r>
              <w:rPr>
                <w:rFonts w:hint="eastAsia" w:ascii="仿宋_GB2312" w:hAnsi="宋体" w:cs="宋体"/>
                <w:color w:val="000000"/>
                <w:kern w:val="0"/>
                <w:sz w:val="21"/>
                <w:szCs w:val="21"/>
              </w:rPr>
              <w:t>项目单位2018年度没有群众上访情况发生，未接到12345热线对河道治理的投诉。但对本项目实施的宣传工作未进行满意度调查，扣2分。</w:t>
            </w:r>
          </w:p>
        </w:tc>
      </w:tr>
      <w:tr>
        <w:tblPrEx>
          <w:tblCellMar>
            <w:top w:w="0" w:type="dxa"/>
            <w:left w:w="108" w:type="dxa"/>
            <w:bottom w:w="0" w:type="dxa"/>
            <w:right w:w="108" w:type="dxa"/>
          </w:tblCellMar>
        </w:tblPrEx>
        <w:trPr>
          <w:trHeight w:val="420" w:hRule="atLeast"/>
        </w:trPr>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right"/>
              <w:rPr>
                <w:rFonts w:ascii="仿宋_GB2312" w:hAnsi="宋体" w:cs="宋体"/>
                <w:b/>
                <w:bCs/>
                <w:color w:val="000000"/>
                <w:kern w:val="0"/>
                <w:sz w:val="21"/>
                <w:szCs w:val="21"/>
              </w:rPr>
            </w:pPr>
          </w:p>
        </w:tc>
        <w:tc>
          <w:tcPr>
            <w:tcW w:w="62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100</w:t>
            </w: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b/>
                <w:bCs/>
                <w:color w:val="000000"/>
                <w:kern w:val="0"/>
                <w:sz w:val="21"/>
                <w:szCs w:val="21"/>
              </w:rPr>
            </w:pPr>
          </w:p>
        </w:tc>
        <w:tc>
          <w:tcPr>
            <w:tcW w:w="62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100</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b/>
                <w:bCs/>
                <w:color w:val="000000"/>
                <w:kern w:val="0"/>
                <w:sz w:val="21"/>
                <w:szCs w:val="21"/>
              </w:rPr>
            </w:pPr>
          </w:p>
        </w:tc>
        <w:tc>
          <w:tcPr>
            <w:tcW w:w="63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100</w:t>
            </w:r>
          </w:p>
        </w:tc>
        <w:tc>
          <w:tcPr>
            <w:tcW w:w="393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b/>
                <w:bCs/>
                <w:color w:val="000000"/>
                <w:kern w:val="0"/>
                <w:sz w:val="21"/>
                <w:szCs w:val="21"/>
              </w:rPr>
            </w:pPr>
          </w:p>
        </w:tc>
        <w:tc>
          <w:tcPr>
            <w:tcW w:w="393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cs="Times New Roman"/>
                <w:b/>
                <w:bCs/>
                <w:kern w:val="0"/>
                <w:sz w:val="21"/>
                <w:szCs w:val="21"/>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77</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rPr>
                <w:rFonts w:ascii="仿宋_GB2312" w:hAnsi="宋体" w:cs="宋体"/>
                <w:b/>
                <w:bCs/>
                <w:color w:val="000000"/>
                <w:kern w:val="0"/>
                <w:sz w:val="21"/>
                <w:szCs w:val="21"/>
              </w:rPr>
            </w:pPr>
          </w:p>
        </w:tc>
      </w:tr>
    </w:tbl>
    <w:p>
      <w:pPr>
        <w:pStyle w:val="3"/>
        <w:ind w:firstLine="640"/>
        <w:sectPr>
          <w:pgSz w:w="16838" w:h="11906" w:orient="landscape"/>
          <w:pgMar w:top="567" w:right="567" w:bottom="567" w:left="567" w:header="851" w:footer="992" w:gutter="0"/>
          <w:cols w:space="425" w:num="1"/>
          <w:docGrid w:type="lines" w:linePitch="435" w:charSpace="0"/>
        </w:sectPr>
      </w:pPr>
    </w:p>
    <w:p>
      <w:pPr>
        <w:pStyle w:val="3"/>
        <w:ind w:firstLine="640"/>
      </w:pPr>
      <w:r>
        <w:rPr>
          <w:rFonts w:hint="eastAsia"/>
        </w:rPr>
        <w:t>附件</w:t>
      </w:r>
      <w:r>
        <w:t xml:space="preserve">2 </w:t>
      </w:r>
      <w:r>
        <w:rPr>
          <w:rFonts w:hint="eastAsia"/>
        </w:rPr>
        <w:t>评价小组人员名单</w:t>
      </w:r>
      <w:bookmarkEnd w:id="69"/>
      <w:bookmarkEnd w:id="70"/>
    </w:p>
    <w:p>
      <w:pPr>
        <w:pStyle w:val="2"/>
        <w:ind w:left="621" w:hanging="51" w:hangingChars="16"/>
      </w:pPr>
    </w:p>
    <w:tbl>
      <w:tblPr>
        <w:tblStyle w:val="35"/>
        <w:tblW w:w="3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2409"/>
        <w:gridCol w:w="255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cs="Times New Roman"/>
                <w:b/>
                <w:bCs/>
                <w:kern w:val="0"/>
                <w:sz w:val="24"/>
                <w:szCs w:val="24"/>
              </w:rPr>
            </w:pPr>
            <w:r>
              <w:rPr>
                <w:rFonts w:hint="eastAsia"/>
                <w:b/>
                <w:bCs/>
                <w:kern w:val="0"/>
                <w:sz w:val="24"/>
                <w:szCs w:val="24"/>
              </w:rPr>
              <w:t>序号</w:t>
            </w:r>
          </w:p>
        </w:tc>
        <w:tc>
          <w:tcPr>
            <w:tcW w:w="1413"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b/>
                <w:bCs/>
                <w:kern w:val="0"/>
                <w:sz w:val="24"/>
                <w:szCs w:val="24"/>
              </w:rPr>
            </w:pPr>
            <w:r>
              <w:rPr>
                <w:rFonts w:hint="eastAsia"/>
                <w:b/>
                <w:bCs/>
                <w:kern w:val="0"/>
                <w:sz w:val="24"/>
                <w:szCs w:val="24"/>
              </w:rPr>
              <w:t>姓名</w:t>
            </w:r>
          </w:p>
        </w:tc>
        <w:tc>
          <w:tcPr>
            <w:tcW w:w="1496"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b/>
                <w:bCs/>
                <w:kern w:val="0"/>
                <w:sz w:val="24"/>
                <w:szCs w:val="24"/>
              </w:rPr>
            </w:pPr>
            <w:r>
              <w:rPr>
                <w:rFonts w:hint="eastAsia"/>
                <w:b/>
                <w:bCs/>
                <w:kern w:val="0"/>
                <w:sz w:val="24"/>
                <w:szCs w:val="24"/>
              </w:rPr>
              <w:t>领域</w:t>
            </w:r>
          </w:p>
        </w:tc>
        <w:tc>
          <w:tcPr>
            <w:tcW w:w="1247"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b/>
                <w:bCs/>
                <w:kern w:val="0"/>
                <w:sz w:val="24"/>
                <w:szCs w:val="24"/>
              </w:rPr>
            </w:pPr>
            <w:r>
              <w:rPr>
                <w:rFonts w:hint="eastAsia"/>
                <w:b/>
                <w:bCs/>
                <w:kern w:val="0"/>
                <w:sz w:val="24"/>
                <w:szCs w:val="24"/>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kern w:val="0"/>
                <w:sz w:val="24"/>
                <w:szCs w:val="24"/>
              </w:rPr>
            </w:pPr>
            <w:r>
              <w:rPr>
                <w:rFonts w:hint="eastAsia"/>
                <w:kern w:val="0"/>
                <w:sz w:val="24"/>
                <w:szCs w:val="24"/>
              </w:rPr>
              <w:t>1</w:t>
            </w:r>
          </w:p>
        </w:tc>
        <w:tc>
          <w:tcPr>
            <w:tcW w:w="1413"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kern w:val="0"/>
                <w:sz w:val="24"/>
                <w:szCs w:val="24"/>
              </w:rPr>
            </w:pPr>
            <w:r>
              <w:rPr>
                <w:rFonts w:hint="eastAsia"/>
                <w:kern w:val="0"/>
                <w:sz w:val="24"/>
                <w:szCs w:val="24"/>
              </w:rPr>
              <w:t>杜勇</w:t>
            </w:r>
          </w:p>
        </w:tc>
        <w:tc>
          <w:tcPr>
            <w:tcW w:w="1496"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kern w:val="0"/>
                <w:sz w:val="24"/>
                <w:szCs w:val="24"/>
              </w:rPr>
            </w:pPr>
            <w:r>
              <w:rPr>
                <w:kern w:val="0"/>
                <w:sz w:val="24"/>
                <w:szCs w:val="24"/>
              </w:rPr>
              <w:t>绩效管理</w:t>
            </w:r>
          </w:p>
        </w:tc>
        <w:tc>
          <w:tcPr>
            <w:tcW w:w="1247"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kern w:val="0"/>
                <w:sz w:val="24"/>
                <w:szCs w:val="24"/>
              </w:rPr>
            </w:pPr>
            <w:r>
              <w:rPr>
                <w:rFonts w:hint="eastAsia"/>
                <w:kern w:val="0"/>
                <w:sz w:val="24"/>
                <w:szCs w:val="24"/>
              </w:rPr>
              <w:t>行业专家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kern w:val="0"/>
                <w:sz w:val="24"/>
                <w:szCs w:val="24"/>
              </w:rPr>
            </w:pPr>
            <w:r>
              <w:rPr>
                <w:rFonts w:hint="eastAsia"/>
                <w:kern w:val="0"/>
                <w:sz w:val="24"/>
                <w:szCs w:val="24"/>
              </w:rPr>
              <w:t>2</w:t>
            </w:r>
          </w:p>
        </w:tc>
        <w:tc>
          <w:tcPr>
            <w:tcW w:w="1413"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kern w:val="0"/>
                <w:sz w:val="24"/>
                <w:szCs w:val="24"/>
              </w:rPr>
            </w:pPr>
            <w:r>
              <w:rPr>
                <w:rFonts w:hint="eastAsia"/>
                <w:kern w:val="0"/>
                <w:sz w:val="24"/>
                <w:szCs w:val="24"/>
              </w:rPr>
              <w:t>彭秋红</w:t>
            </w:r>
          </w:p>
        </w:tc>
        <w:tc>
          <w:tcPr>
            <w:tcW w:w="1496"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kern w:val="0"/>
                <w:sz w:val="24"/>
                <w:szCs w:val="24"/>
              </w:rPr>
            </w:pPr>
            <w:r>
              <w:rPr>
                <w:kern w:val="0"/>
                <w:sz w:val="24"/>
                <w:szCs w:val="24"/>
              </w:rPr>
              <w:t>财务管理</w:t>
            </w:r>
          </w:p>
        </w:tc>
        <w:tc>
          <w:tcPr>
            <w:tcW w:w="1247"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kern w:val="0"/>
                <w:sz w:val="24"/>
                <w:szCs w:val="24"/>
              </w:rPr>
            </w:pPr>
            <w:r>
              <w:rPr>
                <w:rFonts w:hint="eastAsia"/>
                <w:kern w:val="0"/>
                <w:sz w:val="24"/>
                <w:szCs w:val="24"/>
              </w:rPr>
              <w:t>财务专家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kern w:val="0"/>
                <w:sz w:val="24"/>
                <w:szCs w:val="24"/>
              </w:rPr>
            </w:pPr>
            <w:r>
              <w:rPr>
                <w:rFonts w:hint="eastAsia"/>
                <w:kern w:val="0"/>
                <w:sz w:val="24"/>
                <w:szCs w:val="24"/>
              </w:rPr>
              <w:t>3</w:t>
            </w:r>
          </w:p>
        </w:tc>
        <w:tc>
          <w:tcPr>
            <w:tcW w:w="1413"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kern w:val="0"/>
                <w:sz w:val="24"/>
                <w:szCs w:val="24"/>
              </w:rPr>
            </w:pPr>
            <w:r>
              <w:rPr>
                <w:rFonts w:hint="eastAsia"/>
                <w:kern w:val="0"/>
                <w:sz w:val="24"/>
                <w:szCs w:val="24"/>
              </w:rPr>
              <w:t>李沐晨</w:t>
            </w:r>
          </w:p>
        </w:tc>
        <w:tc>
          <w:tcPr>
            <w:tcW w:w="1496"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kern w:val="0"/>
                <w:sz w:val="24"/>
                <w:szCs w:val="24"/>
              </w:rPr>
            </w:pPr>
            <w:r>
              <w:rPr>
                <w:kern w:val="0"/>
                <w:sz w:val="24"/>
                <w:szCs w:val="24"/>
              </w:rPr>
              <w:t>项目管理</w:t>
            </w:r>
          </w:p>
        </w:tc>
        <w:tc>
          <w:tcPr>
            <w:tcW w:w="1247"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kern w:val="0"/>
                <w:sz w:val="24"/>
                <w:szCs w:val="24"/>
              </w:rPr>
            </w:pPr>
            <w:r>
              <w:rPr>
                <w:rFonts w:hint="eastAsia"/>
                <w:kern w:val="0"/>
                <w:sz w:val="24"/>
                <w:szCs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kern w:val="0"/>
                <w:sz w:val="24"/>
                <w:szCs w:val="24"/>
              </w:rPr>
            </w:pPr>
            <w:r>
              <w:rPr>
                <w:rFonts w:hint="eastAsia"/>
                <w:kern w:val="0"/>
                <w:sz w:val="24"/>
                <w:szCs w:val="24"/>
              </w:rPr>
              <w:t>4</w:t>
            </w:r>
          </w:p>
        </w:tc>
        <w:tc>
          <w:tcPr>
            <w:tcW w:w="1413"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kern w:val="0"/>
                <w:sz w:val="24"/>
                <w:szCs w:val="24"/>
              </w:rPr>
            </w:pPr>
            <w:r>
              <w:rPr>
                <w:rFonts w:hint="eastAsia"/>
                <w:kern w:val="0"/>
                <w:sz w:val="24"/>
                <w:szCs w:val="24"/>
              </w:rPr>
              <w:t>何颖锋</w:t>
            </w:r>
          </w:p>
        </w:tc>
        <w:tc>
          <w:tcPr>
            <w:tcW w:w="1496"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kern w:val="0"/>
                <w:sz w:val="24"/>
                <w:szCs w:val="24"/>
              </w:rPr>
            </w:pPr>
            <w:r>
              <w:rPr>
                <w:kern w:val="0"/>
                <w:sz w:val="24"/>
                <w:szCs w:val="24"/>
              </w:rPr>
              <w:t>项目管理</w:t>
            </w:r>
          </w:p>
        </w:tc>
        <w:tc>
          <w:tcPr>
            <w:tcW w:w="1247"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kern w:val="0"/>
                <w:sz w:val="24"/>
                <w:szCs w:val="24"/>
              </w:rPr>
            </w:pPr>
            <w:r>
              <w:rPr>
                <w:rFonts w:hint="eastAsia"/>
                <w:kern w:val="0"/>
                <w:sz w:val="24"/>
                <w:szCs w:val="24"/>
              </w:rPr>
              <w:t>项目助理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kern w:val="0"/>
                <w:sz w:val="24"/>
                <w:szCs w:val="24"/>
              </w:rPr>
            </w:pPr>
            <w:r>
              <w:rPr>
                <w:rFonts w:hint="eastAsia"/>
                <w:kern w:val="0"/>
                <w:sz w:val="24"/>
                <w:szCs w:val="24"/>
              </w:rPr>
              <w:t>5</w:t>
            </w:r>
          </w:p>
        </w:tc>
        <w:tc>
          <w:tcPr>
            <w:tcW w:w="1413"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kern w:val="0"/>
                <w:sz w:val="24"/>
                <w:szCs w:val="24"/>
              </w:rPr>
            </w:pPr>
            <w:r>
              <w:rPr>
                <w:rFonts w:hint="eastAsia"/>
                <w:kern w:val="0"/>
                <w:sz w:val="24"/>
                <w:szCs w:val="24"/>
              </w:rPr>
              <w:t>邓彩玉</w:t>
            </w:r>
          </w:p>
        </w:tc>
        <w:tc>
          <w:tcPr>
            <w:tcW w:w="1496"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kern w:val="0"/>
                <w:sz w:val="24"/>
                <w:szCs w:val="24"/>
              </w:rPr>
            </w:pPr>
            <w:r>
              <w:rPr>
                <w:kern w:val="0"/>
                <w:sz w:val="24"/>
                <w:szCs w:val="24"/>
              </w:rPr>
              <w:t>项目管理</w:t>
            </w:r>
          </w:p>
        </w:tc>
        <w:tc>
          <w:tcPr>
            <w:tcW w:w="1247" w:type="pct"/>
            <w:tcBorders>
              <w:top w:val="single" w:color="auto" w:sz="4" w:space="0"/>
              <w:left w:val="nil"/>
              <w:bottom w:val="single" w:color="auto" w:sz="4" w:space="0"/>
              <w:right w:val="single" w:color="auto" w:sz="4" w:space="0"/>
            </w:tcBorders>
            <w:vAlign w:val="center"/>
          </w:tcPr>
          <w:p>
            <w:pPr>
              <w:spacing w:line="360" w:lineRule="exact"/>
              <w:ind w:firstLine="0" w:firstLineChars="0"/>
              <w:jc w:val="center"/>
              <w:rPr>
                <w:kern w:val="0"/>
                <w:sz w:val="24"/>
                <w:szCs w:val="24"/>
              </w:rPr>
            </w:pPr>
            <w:r>
              <w:rPr>
                <w:rFonts w:hint="eastAsia"/>
                <w:kern w:val="0"/>
                <w:sz w:val="24"/>
                <w:szCs w:val="24"/>
              </w:rPr>
              <w:t>项目助理</w:t>
            </w:r>
          </w:p>
        </w:tc>
      </w:tr>
    </w:tbl>
    <w:p>
      <w:pPr>
        <w:pStyle w:val="2"/>
        <w:ind w:left="640" w:hanging="70"/>
      </w:pPr>
    </w:p>
    <w:sectPr>
      <w:pgSz w:w="11906" w:h="16838"/>
      <w:pgMar w:top="567" w:right="567" w:bottom="567" w:left="56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851020"/>
    </w:sdtPr>
    <w:sdtEndPr>
      <w:rPr>
        <w:sz w:val="24"/>
      </w:rPr>
    </w:sdtEndPr>
    <w:sdtContent>
      <w:p>
        <w:pPr>
          <w:pStyle w:val="10"/>
          <w:ind w:firstLine="360"/>
          <w:jc w:val="center"/>
          <w:rPr>
            <w:sz w:val="24"/>
          </w:rPr>
        </w:pPr>
        <w:r>
          <w:rPr>
            <w:sz w:val="24"/>
          </w:rPr>
          <w:fldChar w:fldCharType="begin"/>
        </w:r>
        <w:r>
          <w:rPr>
            <w:sz w:val="24"/>
          </w:rPr>
          <w:instrText xml:space="preserve">PAGE   \* MERGEFORMAT</w:instrText>
        </w:r>
        <w:r>
          <w:rPr>
            <w:sz w:val="24"/>
          </w:rPr>
          <w:fldChar w:fldCharType="separate"/>
        </w:r>
        <w:r>
          <w:rPr>
            <w:sz w:val="24"/>
            <w:lang w:val="zh-CN"/>
          </w:rPr>
          <w:t>10</w:t>
        </w:r>
        <w:r>
          <w:rPr>
            <w:sz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73"/>
    <w:rsid w:val="00006BDD"/>
    <w:rsid w:val="00006E6A"/>
    <w:rsid w:val="00007568"/>
    <w:rsid w:val="0001629A"/>
    <w:rsid w:val="00016597"/>
    <w:rsid w:val="000257F7"/>
    <w:rsid w:val="00052344"/>
    <w:rsid w:val="00052A39"/>
    <w:rsid w:val="00062305"/>
    <w:rsid w:val="00066545"/>
    <w:rsid w:val="00097A40"/>
    <w:rsid w:val="000A3D79"/>
    <w:rsid w:val="000B0729"/>
    <w:rsid w:val="000D17F9"/>
    <w:rsid w:val="000D37A3"/>
    <w:rsid w:val="000D54F5"/>
    <w:rsid w:val="000F1884"/>
    <w:rsid w:val="000F5C85"/>
    <w:rsid w:val="0010754B"/>
    <w:rsid w:val="00125166"/>
    <w:rsid w:val="00126403"/>
    <w:rsid w:val="00140600"/>
    <w:rsid w:val="001430B0"/>
    <w:rsid w:val="001723F7"/>
    <w:rsid w:val="00173F36"/>
    <w:rsid w:val="001B44AC"/>
    <w:rsid w:val="001B754F"/>
    <w:rsid w:val="001C06D6"/>
    <w:rsid w:val="001C0A90"/>
    <w:rsid w:val="001D0736"/>
    <w:rsid w:val="001D0DC9"/>
    <w:rsid w:val="001E35A7"/>
    <w:rsid w:val="001F6F4E"/>
    <w:rsid w:val="00202BEE"/>
    <w:rsid w:val="002056DB"/>
    <w:rsid w:val="0020728B"/>
    <w:rsid w:val="002155A3"/>
    <w:rsid w:val="00234A2A"/>
    <w:rsid w:val="00241512"/>
    <w:rsid w:val="00276C29"/>
    <w:rsid w:val="00281FA4"/>
    <w:rsid w:val="00291FA3"/>
    <w:rsid w:val="002A5FEA"/>
    <w:rsid w:val="002B632C"/>
    <w:rsid w:val="002D05FE"/>
    <w:rsid w:val="002D4EB7"/>
    <w:rsid w:val="00313A96"/>
    <w:rsid w:val="0032229C"/>
    <w:rsid w:val="003248B8"/>
    <w:rsid w:val="003261FF"/>
    <w:rsid w:val="003313A1"/>
    <w:rsid w:val="00335C6A"/>
    <w:rsid w:val="00342BA1"/>
    <w:rsid w:val="00353F97"/>
    <w:rsid w:val="003566F5"/>
    <w:rsid w:val="00367372"/>
    <w:rsid w:val="003907D4"/>
    <w:rsid w:val="00394B72"/>
    <w:rsid w:val="003A49F9"/>
    <w:rsid w:val="003A7EAF"/>
    <w:rsid w:val="003B1324"/>
    <w:rsid w:val="003C015F"/>
    <w:rsid w:val="003D3CCA"/>
    <w:rsid w:val="003E2B67"/>
    <w:rsid w:val="003F6EDC"/>
    <w:rsid w:val="003F7B40"/>
    <w:rsid w:val="00444061"/>
    <w:rsid w:val="004470A2"/>
    <w:rsid w:val="00466435"/>
    <w:rsid w:val="00471E58"/>
    <w:rsid w:val="00473306"/>
    <w:rsid w:val="00482163"/>
    <w:rsid w:val="004902DB"/>
    <w:rsid w:val="00497278"/>
    <w:rsid w:val="004B49D0"/>
    <w:rsid w:val="004B790B"/>
    <w:rsid w:val="004C0D08"/>
    <w:rsid w:val="004C18E6"/>
    <w:rsid w:val="004C37F5"/>
    <w:rsid w:val="004C5382"/>
    <w:rsid w:val="004C590F"/>
    <w:rsid w:val="004D7992"/>
    <w:rsid w:val="004E2965"/>
    <w:rsid w:val="004F72D6"/>
    <w:rsid w:val="00500B5D"/>
    <w:rsid w:val="005128D7"/>
    <w:rsid w:val="00522569"/>
    <w:rsid w:val="00525022"/>
    <w:rsid w:val="00525F90"/>
    <w:rsid w:val="00526781"/>
    <w:rsid w:val="00531049"/>
    <w:rsid w:val="00557BED"/>
    <w:rsid w:val="0057531C"/>
    <w:rsid w:val="005854F7"/>
    <w:rsid w:val="00590DBE"/>
    <w:rsid w:val="00595C03"/>
    <w:rsid w:val="005A45FD"/>
    <w:rsid w:val="005A5CF6"/>
    <w:rsid w:val="005B1DE6"/>
    <w:rsid w:val="005C3268"/>
    <w:rsid w:val="005C7DDF"/>
    <w:rsid w:val="005D1459"/>
    <w:rsid w:val="005D25A0"/>
    <w:rsid w:val="005F2B87"/>
    <w:rsid w:val="005F3E96"/>
    <w:rsid w:val="005F7474"/>
    <w:rsid w:val="005F7C1C"/>
    <w:rsid w:val="00601F5E"/>
    <w:rsid w:val="00612A64"/>
    <w:rsid w:val="00623985"/>
    <w:rsid w:val="0063175F"/>
    <w:rsid w:val="0063588B"/>
    <w:rsid w:val="00645BE9"/>
    <w:rsid w:val="00645D63"/>
    <w:rsid w:val="006474F7"/>
    <w:rsid w:val="00650BA0"/>
    <w:rsid w:val="006646CE"/>
    <w:rsid w:val="0067194B"/>
    <w:rsid w:val="00674B71"/>
    <w:rsid w:val="00693959"/>
    <w:rsid w:val="00693CE1"/>
    <w:rsid w:val="006A6148"/>
    <w:rsid w:val="006C17B7"/>
    <w:rsid w:val="006C5D9A"/>
    <w:rsid w:val="006D37C0"/>
    <w:rsid w:val="006E0763"/>
    <w:rsid w:val="006E6C04"/>
    <w:rsid w:val="006F2C05"/>
    <w:rsid w:val="007008CD"/>
    <w:rsid w:val="00701014"/>
    <w:rsid w:val="00701ADF"/>
    <w:rsid w:val="00711EA2"/>
    <w:rsid w:val="00720D77"/>
    <w:rsid w:val="0074187B"/>
    <w:rsid w:val="007442BC"/>
    <w:rsid w:val="00761288"/>
    <w:rsid w:val="00763AB6"/>
    <w:rsid w:val="007641B2"/>
    <w:rsid w:val="0077080F"/>
    <w:rsid w:val="007756A1"/>
    <w:rsid w:val="007803BF"/>
    <w:rsid w:val="007867C8"/>
    <w:rsid w:val="007A2853"/>
    <w:rsid w:val="007A4D21"/>
    <w:rsid w:val="007B3E70"/>
    <w:rsid w:val="007F04FB"/>
    <w:rsid w:val="0080626A"/>
    <w:rsid w:val="00806F59"/>
    <w:rsid w:val="008246D5"/>
    <w:rsid w:val="008309E8"/>
    <w:rsid w:val="00850BB6"/>
    <w:rsid w:val="0085747A"/>
    <w:rsid w:val="00866A28"/>
    <w:rsid w:val="00892773"/>
    <w:rsid w:val="00896BC5"/>
    <w:rsid w:val="008B32AA"/>
    <w:rsid w:val="008B45E0"/>
    <w:rsid w:val="008B5BEE"/>
    <w:rsid w:val="008D2D73"/>
    <w:rsid w:val="008E4CF6"/>
    <w:rsid w:val="009016A4"/>
    <w:rsid w:val="00911BC7"/>
    <w:rsid w:val="00920576"/>
    <w:rsid w:val="009232B1"/>
    <w:rsid w:val="00924306"/>
    <w:rsid w:val="0092593A"/>
    <w:rsid w:val="009278D5"/>
    <w:rsid w:val="009378D1"/>
    <w:rsid w:val="00946ABE"/>
    <w:rsid w:val="00952A10"/>
    <w:rsid w:val="00983CDE"/>
    <w:rsid w:val="00997E84"/>
    <w:rsid w:val="009A0E12"/>
    <w:rsid w:val="009B55FB"/>
    <w:rsid w:val="009C22C5"/>
    <w:rsid w:val="009D0249"/>
    <w:rsid w:val="009F0868"/>
    <w:rsid w:val="00A01319"/>
    <w:rsid w:val="00A26CC1"/>
    <w:rsid w:val="00A54F61"/>
    <w:rsid w:val="00A70C79"/>
    <w:rsid w:val="00A858E8"/>
    <w:rsid w:val="00AA64E3"/>
    <w:rsid w:val="00AA7B1F"/>
    <w:rsid w:val="00AB76CE"/>
    <w:rsid w:val="00AD1115"/>
    <w:rsid w:val="00B0444B"/>
    <w:rsid w:val="00B13104"/>
    <w:rsid w:val="00B22C4A"/>
    <w:rsid w:val="00B31BAE"/>
    <w:rsid w:val="00B44E44"/>
    <w:rsid w:val="00B47C19"/>
    <w:rsid w:val="00B55A1F"/>
    <w:rsid w:val="00B64612"/>
    <w:rsid w:val="00B65C9E"/>
    <w:rsid w:val="00B77CCB"/>
    <w:rsid w:val="00B810CD"/>
    <w:rsid w:val="00B82CDF"/>
    <w:rsid w:val="00B87176"/>
    <w:rsid w:val="00B94599"/>
    <w:rsid w:val="00BA1D9B"/>
    <w:rsid w:val="00BA5090"/>
    <w:rsid w:val="00BA5566"/>
    <w:rsid w:val="00BB4DDF"/>
    <w:rsid w:val="00BC327C"/>
    <w:rsid w:val="00BC47FD"/>
    <w:rsid w:val="00BD4B43"/>
    <w:rsid w:val="00BE01C8"/>
    <w:rsid w:val="00BE38D3"/>
    <w:rsid w:val="00BE72CE"/>
    <w:rsid w:val="00BF4F98"/>
    <w:rsid w:val="00BF50FD"/>
    <w:rsid w:val="00C07C25"/>
    <w:rsid w:val="00C10EB1"/>
    <w:rsid w:val="00C16ACB"/>
    <w:rsid w:val="00C36059"/>
    <w:rsid w:val="00C40AC8"/>
    <w:rsid w:val="00C468E8"/>
    <w:rsid w:val="00C57FCE"/>
    <w:rsid w:val="00C62224"/>
    <w:rsid w:val="00C62BED"/>
    <w:rsid w:val="00C64A2B"/>
    <w:rsid w:val="00C72CB4"/>
    <w:rsid w:val="00CB0037"/>
    <w:rsid w:val="00CC2221"/>
    <w:rsid w:val="00CC46B6"/>
    <w:rsid w:val="00CD6B7F"/>
    <w:rsid w:val="00CD7D2F"/>
    <w:rsid w:val="00CE21DD"/>
    <w:rsid w:val="00CE4A2D"/>
    <w:rsid w:val="00D06020"/>
    <w:rsid w:val="00D34809"/>
    <w:rsid w:val="00D36645"/>
    <w:rsid w:val="00D62682"/>
    <w:rsid w:val="00D81FCE"/>
    <w:rsid w:val="00D865D7"/>
    <w:rsid w:val="00DA1743"/>
    <w:rsid w:val="00DB1E06"/>
    <w:rsid w:val="00DD4445"/>
    <w:rsid w:val="00DE5110"/>
    <w:rsid w:val="00E02670"/>
    <w:rsid w:val="00E176F6"/>
    <w:rsid w:val="00E2057D"/>
    <w:rsid w:val="00E35548"/>
    <w:rsid w:val="00E35EAD"/>
    <w:rsid w:val="00E35F63"/>
    <w:rsid w:val="00E3747C"/>
    <w:rsid w:val="00E47E3B"/>
    <w:rsid w:val="00E6195E"/>
    <w:rsid w:val="00E821B9"/>
    <w:rsid w:val="00E878EF"/>
    <w:rsid w:val="00EA0BED"/>
    <w:rsid w:val="00EA1B8C"/>
    <w:rsid w:val="00EA7A1A"/>
    <w:rsid w:val="00EB5144"/>
    <w:rsid w:val="00EB54E8"/>
    <w:rsid w:val="00EB6F35"/>
    <w:rsid w:val="00EC0530"/>
    <w:rsid w:val="00EC6FEA"/>
    <w:rsid w:val="00EC7D4F"/>
    <w:rsid w:val="00ED0278"/>
    <w:rsid w:val="00ED494B"/>
    <w:rsid w:val="00EF37B6"/>
    <w:rsid w:val="00F079E2"/>
    <w:rsid w:val="00F22E88"/>
    <w:rsid w:val="00F3014E"/>
    <w:rsid w:val="00F34ACC"/>
    <w:rsid w:val="00F45129"/>
    <w:rsid w:val="00F50345"/>
    <w:rsid w:val="00F528CE"/>
    <w:rsid w:val="00F53ED4"/>
    <w:rsid w:val="00F67575"/>
    <w:rsid w:val="00F75CD2"/>
    <w:rsid w:val="00F9173D"/>
    <w:rsid w:val="00F95D22"/>
    <w:rsid w:val="00F96B78"/>
    <w:rsid w:val="00F976A0"/>
    <w:rsid w:val="00FA23BD"/>
    <w:rsid w:val="00FB23AE"/>
    <w:rsid w:val="00FC0B33"/>
    <w:rsid w:val="00FD1C8C"/>
    <w:rsid w:val="3D183104"/>
    <w:rsid w:val="3DBB03D9"/>
    <w:rsid w:val="431C6944"/>
    <w:rsid w:val="57FB053D"/>
    <w:rsid w:val="664D7C44"/>
    <w:rsid w:val="75EC6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link w:val="22"/>
    <w:qFormat/>
    <w:uiPriority w:val="9"/>
    <w:pPr>
      <w:keepNext/>
      <w:keepLines/>
      <w:spacing w:line="600" w:lineRule="exact"/>
      <w:outlineLvl w:val="0"/>
    </w:pPr>
    <w:rPr>
      <w:rFonts w:eastAsia="黑体"/>
      <w:bCs/>
      <w:kern w:val="44"/>
      <w:szCs w:val="44"/>
    </w:rPr>
  </w:style>
  <w:style w:type="paragraph" w:styleId="4">
    <w:name w:val="heading 2"/>
    <w:basedOn w:val="1"/>
    <w:next w:val="1"/>
    <w:link w:val="23"/>
    <w:unhideWhenUsed/>
    <w:qFormat/>
    <w:uiPriority w:val="9"/>
    <w:pPr>
      <w:keepNext/>
      <w:keepLines/>
      <w:ind w:firstLine="643"/>
      <w:outlineLvl w:val="1"/>
    </w:pPr>
    <w:rPr>
      <w:rFonts w:ascii="仿宋_GB2312" w:eastAsia="楷体_GB2312" w:cstheme="majorBidi"/>
      <w:b/>
      <w:bCs/>
      <w:szCs w:val="32"/>
    </w:rPr>
  </w:style>
  <w:style w:type="paragraph" w:styleId="5">
    <w:name w:val="heading 3"/>
    <w:basedOn w:val="1"/>
    <w:next w:val="1"/>
    <w:link w:val="21"/>
    <w:unhideWhenUsed/>
    <w:qFormat/>
    <w:uiPriority w:val="9"/>
    <w:pPr>
      <w:keepNext/>
      <w:keepLines/>
      <w:outlineLvl w:val="2"/>
    </w:pPr>
    <w:rPr>
      <w:b/>
      <w:bCs/>
      <w:szCs w:val="32"/>
    </w:rPr>
  </w:style>
  <w:style w:type="paragraph" w:styleId="6">
    <w:name w:val="heading 4"/>
    <w:basedOn w:val="1"/>
    <w:next w:val="1"/>
    <w:link w:val="34"/>
    <w:unhideWhenUsed/>
    <w:qFormat/>
    <w:uiPriority w:val="9"/>
    <w:pPr>
      <w:keepNext/>
      <w:keepLines/>
      <w:outlineLvl w:val="3"/>
    </w:pPr>
    <w:rPr>
      <w:rFonts w:cstheme="majorBidi"/>
      <w:b/>
      <w:bCs/>
      <w:szCs w:val="28"/>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296"/>
      </w:tabs>
      <w:spacing w:line="400" w:lineRule="exact"/>
      <w:ind w:left="623" w:leftChars="178" w:hanging="53" w:hangingChars="22"/>
    </w:pPr>
  </w:style>
  <w:style w:type="paragraph" w:styleId="7">
    <w:name w:val="annotation text"/>
    <w:basedOn w:val="1"/>
    <w:link w:val="29"/>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31"/>
    <w:semiHidden/>
    <w:unhideWhenUsed/>
    <w:qFormat/>
    <w:uiPriority w:val="99"/>
    <w:pPr>
      <w:spacing w:line="240" w:lineRule="auto"/>
    </w:pPr>
    <w:rPr>
      <w:sz w:val="18"/>
      <w:szCs w:val="18"/>
    </w:rPr>
  </w:style>
  <w:style w:type="paragraph" w:styleId="10">
    <w:name w:val="footer"/>
    <w:basedOn w:val="1"/>
    <w:link w:val="26"/>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unhideWhenUsed/>
    <w:qFormat/>
    <w:uiPriority w:val="39"/>
    <w:pPr>
      <w:tabs>
        <w:tab w:val="right" w:leader="dot" w:pos="8296"/>
      </w:tabs>
      <w:spacing w:line="400" w:lineRule="exact"/>
      <w:ind w:firstLine="0" w:firstLineChars="0"/>
    </w:pPr>
    <w:rPr>
      <w:rFonts w:ascii="仿宋_GB2312"/>
      <w:b/>
      <w:sz w:val="28"/>
      <w:szCs w:val="28"/>
    </w:rPr>
  </w:style>
  <w:style w:type="paragraph" w:styleId="13">
    <w:name w:val="Title"/>
    <w:basedOn w:val="1"/>
    <w:next w:val="1"/>
    <w:link w:val="32"/>
    <w:qFormat/>
    <w:uiPriority w:val="10"/>
    <w:pPr>
      <w:snapToGrid w:val="0"/>
      <w:spacing w:line="240" w:lineRule="auto"/>
      <w:ind w:firstLine="0" w:firstLineChars="0"/>
      <w:jc w:val="center"/>
    </w:pPr>
    <w:rPr>
      <w:rFonts w:eastAsia="方正小标宋简体" w:cstheme="majorBidi"/>
      <w:b/>
      <w:bCs/>
      <w:sz w:val="44"/>
      <w:szCs w:val="32"/>
    </w:rPr>
  </w:style>
  <w:style w:type="paragraph" w:styleId="14">
    <w:name w:val="annotation subject"/>
    <w:basedOn w:val="7"/>
    <w:next w:val="7"/>
    <w:link w:val="30"/>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paragraph" w:customStyle="1" w:styleId="20">
    <w:name w:val="表格"/>
    <w:basedOn w:val="1"/>
    <w:link w:val="33"/>
    <w:qFormat/>
    <w:uiPriority w:val="0"/>
    <w:pPr>
      <w:spacing w:line="360" w:lineRule="exact"/>
      <w:ind w:firstLine="0" w:firstLineChars="0"/>
      <w:jc w:val="left"/>
    </w:pPr>
    <w:rPr>
      <w:bCs/>
      <w:sz w:val="24"/>
    </w:rPr>
  </w:style>
  <w:style w:type="character" w:customStyle="1" w:styleId="21">
    <w:name w:val="标题 3 字符"/>
    <w:basedOn w:val="17"/>
    <w:link w:val="5"/>
    <w:qFormat/>
    <w:uiPriority w:val="9"/>
    <w:rPr>
      <w:rFonts w:ascii="Times New Roman" w:hAnsi="Times New Roman" w:eastAsia="仿宋_GB2312"/>
      <w:b/>
      <w:bCs/>
      <w:sz w:val="32"/>
      <w:szCs w:val="32"/>
    </w:rPr>
  </w:style>
  <w:style w:type="character" w:customStyle="1" w:styleId="22">
    <w:name w:val="标题 1 字符"/>
    <w:basedOn w:val="17"/>
    <w:link w:val="3"/>
    <w:qFormat/>
    <w:uiPriority w:val="9"/>
    <w:rPr>
      <w:rFonts w:ascii="Times New Roman" w:hAnsi="Times New Roman" w:eastAsia="黑体"/>
      <w:bCs/>
      <w:kern w:val="44"/>
      <w:sz w:val="32"/>
      <w:szCs w:val="44"/>
    </w:rPr>
  </w:style>
  <w:style w:type="character" w:customStyle="1" w:styleId="23">
    <w:name w:val="标题 2 字符"/>
    <w:basedOn w:val="17"/>
    <w:link w:val="4"/>
    <w:qFormat/>
    <w:uiPriority w:val="9"/>
    <w:rPr>
      <w:rFonts w:ascii="仿宋_GB2312" w:hAnsi="Times New Roman" w:eastAsia="楷体_GB2312" w:cstheme="majorBidi"/>
      <w:b/>
      <w:bCs/>
      <w:sz w:val="32"/>
      <w:szCs w:val="32"/>
    </w:rPr>
  </w:style>
  <w:style w:type="paragraph" w:customStyle="1" w:styleId="24">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bCs w:val="0"/>
      <w:color w:val="2F5597" w:themeColor="accent1" w:themeShade="BF"/>
      <w:kern w:val="0"/>
      <w:szCs w:val="32"/>
    </w:rPr>
  </w:style>
  <w:style w:type="character" w:customStyle="1" w:styleId="25">
    <w:name w:val="页眉 字符"/>
    <w:basedOn w:val="17"/>
    <w:link w:val="11"/>
    <w:qFormat/>
    <w:uiPriority w:val="99"/>
    <w:rPr>
      <w:rFonts w:eastAsia="仿宋_GB2312"/>
      <w:sz w:val="18"/>
      <w:szCs w:val="18"/>
    </w:rPr>
  </w:style>
  <w:style w:type="character" w:customStyle="1" w:styleId="26">
    <w:name w:val="页脚 字符"/>
    <w:basedOn w:val="17"/>
    <w:link w:val="10"/>
    <w:qFormat/>
    <w:uiPriority w:val="99"/>
    <w:rPr>
      <w:rFonts w:eastAsia="仿宋_GB2312"/>
      <w:sz w:val="18"/>
      <w:szCs w:val="18"/>
    </w:rPr>
  </w:style>
  <w:style w:type="paragraph" w:customStyle="1" w:styleId="27">
    <w:name w:val="_Style 1"/>
    <w:basedOn w:val="1"/>
    <w:qFormat/>
    <w:uiPriority w:val="0"/>
    <w:pPr>
      <w:widowControl/>
      <w:adjustRightInd w:val="0"/>
      <w:spacing w:after="160" w:line="240" w:lineRule="exact"/>
      <w:ind w:firstLine="0" w:firstLineChars="0"/>
      <w:jc w:val="left"/>
    </w:pPr>
    <w:rPr>
      <w:rFonts w:ascii="Verdana" w:hAnsi="Verdana" w:eastAsia="宋体" w:cs="Times New Roman"/>
      <w:kern w:val="0"/>
      <w:sz w:val="20"/>
      <w:szCs w:val="20"/>
      <w:lang w:eastAsia="en-US"/>
    </w:rPr>
  </w:style>
  <w:style w:type="table" w:customStyle="1" w:styleId="28">
    <w:name w:val="网格型6"/>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批注文字 字符"/>
    <w:basedOn w:val="17"/>
    <w:link w:val="7"/>
    <w:semiHidden/>
    <w:qFormat/>
    <w:uiPriority w:val="99"/>
    <w:rPr>
      <w:rFonts w:eastAsia="仿宋_GB2312"/>
      <w:sz w:val="32"/>
    </w:rPr>
  </w:style>
  <w:style w:type="character" w:customStyle="1" w:styleId="30">
    <w:name w:val="批注主题 字符"/>
    <w:basedOn w:val="29"/>
    <w:link w:val="14"/>
    <w:semiHidden/>
    <w:qFormat/>
    <w:uiPriority w:val="99"/>
    <w:rPr>
      <w:rFonts w:eastAsia="仿宋_GB2312"/>
      <w:b/>
      <w:bCs/>
      <w:sz w:val="32"/>
    </w:rPr>
  </w:style>
  <w:style w:type="character" w:customStyle="1" w:styleId="31">
    <w:name w:val="批注框文本 字符"/>
    <w:basedOn w:val="17"/>
    <w:link w:val="9"/>
    <w:semiHidden/>
    <w:qFormat/>
    <w:uiPriority w:val="99"/>
    <w:rPr>
      <w:rFonts w:eastAsia="仿宋_GB2312"/>
      <w:sz w:val="18"/>
      <w:szCs w:val="18"/>
    </w:rPr>
  </w:style>
  <w:style w:type="character" w:customStyle="1" w:styleId="32">
    <w:name w:val="标题 字符"/>
    <w:basedOn w:val="17"/>
    <w:link w:val="13"/>
    <w:qFormat/>
    <w:uiPriority w:val="10"/>
    <w:rPr>
      <w:rFonts w:ascii="Times New Roman" w:hAnsi="Times New Roman" w:eastAsia="方正小标宋简体" w:cstheme="majorBidi"/>
      <w:b/>
      <w:bCs/>
      <w:sz w:val="44"/>
      <w:szCs w:val="32"/>
    </w:rPr>
  </w:style>
  <w:style w:type="character" w:customStyle="1" w:styleId="33">
    <w:name w:val="表格 字符"/>
    <w:basedOn w:val="17"/>
    <w:link w:val="20"/>
    <w:qFormat/>
    <w:uiPriority w:val="0"/>
    <w:rPr>
      <w:rFonts w:ascii="Times New Roman" w:hAnsi="Times New Roman" w:eastAsia="仿宋_GB2312"/>
      <w:bCs/>
      <w:sz w:val="24"/>
    </w:rPr>
  </w:style>
  <w:style w:type="character" w:customStyle="1" w:styleId="34">
    <w:name w:val="标题 4 字符"/>
    <w:basedOn w:val="17"/>
    <w:link w:val="6"/>
    <w:qFormat/>
    <w:uiPriority w:val="9"/>
    <w:rPr>
      <w:rFonts w:ascii="Times New Roman" w:hAnsi="Times New Roman" w:eastAsia="仿宋_GB2312" w:cstheme="majorBidi"/>
      <w:b/>
      <w:bCs/>
      <w:sz w:val="32"/>
      <w:szCs w:val="28"/>
    </w:rPr>
  </w:style>
  <w:style w:type="table" w:customStyle="1" w:styleId="35">
    <w:name w:val="网格型1"/>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6AC39-6507-4503-9B4E-9C69BAF747C5}">
  <ds:schemaRefs/>
</ds:datastoreItem>
</file>

<file path=docProps/app.xml><?xml version="1.0" encoding="utf-8"?>
<Properties xmlns="http://schemas.openxmlformats.org/officeDocument/2006/extended-properties" xmlns:vt="http://schemas.openxmlformats.org/officeDocument/2006/docPropsVTypes">
  <Template>Normal</Template>
  <Pages>1</Pages>
  <Words>1721</Words>
  <Characters>9813</Characters>
  <Lines>81</Lines>
  <Paragraphs>23</Paragraphs>
  <TotalTime>84</TotalTime>
  <ScaleCrop>false</ScaleCrop>
  <LinksUpToDate>false</LinksUpToDate>
  <CharactersWithSpaces>11511</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2019-12-13T07:13:00Z</dcterms:created>
  <dc:creator>cheng bella</dc:creator>
  <cp:lastModifiedBy>Lmc</cp:lastModifiedBy>
  <cp:lastPrinted>2019-09-23T02:06:00Z</cp:lastPrinted>
  <dcterms:modified xsi:type="dcterms:W3CDTF">2019-12-18T03:38:23Z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