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tabs>
          <w:tab w:val="left" w:pos="462"/>
          <w:tab w:val="center" w:pos="7039"/>
        </w:tabs>
        <w:jc w:val="left"/>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r>
        <w:rPr>
          <w:rFonts w:hint="eastAsia" w:ascii="方正小标宋_GBK" w:hAnsi="方正小标宋_GBK" w:eastAsia="方正小标宋_GBK" w:cs="方正小标宋_GBK"/>
          <w:i w:val="0"/>
          <w:color w:val="000000"/>
          <w:kern w:val="0"/>
          <w:sz w:val="36"/>
          <w:szCs w:val="36"/>
          <w:u w:val="none"/>
          <w:lang w:val="en-US" w:eastAsia="zh-CN" w:bidi="ar"/>
        </w:rPr>
        <w:tab/>
      </w:r>
      <w:r>
        <w:rPr>
          <w:rFonts w:hint="eastAsia" w:ascii="方正小标宋_GBK" w:hAnsi="方正小标宋_GBK" w:eastAsia="方正小标宋_GBK" w:cs="方正小标宋_GBK"/>
          <w:i w:val="0"/>
          <w:color w:val="000000"/>
          <w:kern w:val="0"/>
          <w:sz w:val="36"/>
          <w:szCs w:val="36"/>
          <w:u w:val="none"/>
          <w:lang w:val="en-US" w:eastAsia="zh-CN" w:bidi="ar"/>
        </w:rPr>
        <w:tab/>
      </w:r>
      <w:r>
        <w:rPr>
          <w:rFonts w:hint="eastAsia" w:ascii="方正小标宋_GBK" w:hAnsi="方正小标宋_GBK" w:eastAsia="方正小标宋_GBK" w:cs="方正小标宋_GBK"/>
          <w:i w:val="0"/>
          <w:color w:val="000000"/>
          <w:kern w:val="0"/>
          <w:sz w:val="36"/>
          <w:szCs w:val="36"/>
          <w:u w:val="none"/>
          <w:lang w:val="en-US" w:eastAsia="zh-CN" w:bidi="ar"/>
        </w:rPr>
        <w:t>汕尾市应急管理局随机抽查事项清单</w:t>
      </w:r>
      <w:bookmarkStart w:id="0" w:name="_GoBack"/>
      <w:bookmarkEnd w:id="0"/>
    </w:p>
    <w:tbl>
      <w:tblPr>
        <w:tblStyle w:val="4"/>
        <w:tblW w:w="13460" w:type="dxa"/>
        <w:jc w:val="center"/>
        <w:shd w:val="clear" w:color="auto" w:fill="auto"/>
        <w:tblLayout w:type="fixed"/>
        <w:tblCellMar>
          <w:top w:w="0" w:type="dxa"/>
          <w:left w:w="0" w:type="dxa"/>
          <w:bottom w:w="0" w:type="dxa"/>
          <w:right w:w="0" w:type="dxa"/>
        </w:tblCellMar>
      </w:tblPr>
      <w:tblGrid>
        <w:gridCol w:w="537"/>
        <w:gridCol w:w="1185"/>
        <w:gridCol w:w="2835"/>
        <w:gridCol w:w="975"/>
        <w:gridCol w:w="1245"/>
        <w:gridCol w:w="1290"/>
        <w:gridCol w:w="5393"/>
      </w:tblGrid>
      <w:tr>
        <w:tblPrEx>
          <w:shd w:val="clear" w:color="auto" w:fill="auto"/>
          <w:tblCellMar>
            <w:top w:w="0" w:type="dxa"/>
            <w:left w:w="0" w:type="dxa"/>
            <w:bottom w:w="0" w:type="dxa"/>
            <w:right w:w="0" w:type="dxa"/>
          </w:tblCellMar>
        </w:tblPrEx>
        <w:trPr>
          <w:cantSplit/>
          <w:trHeight w:val="448" w:hRule="atLeast"/>
          <w:tblHeader/>
          <w:jc w:val="center"/>
        </w:trPr>
        <w:tc>
          <w:tcPr>
            <w:tcW w:w="537"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序号</w:t>
            </w:r>
          </w:p>
        </w:tc>
        <w:tc>
          <w:tcPr>
            <w:tcW w:w="40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抽查项目</w:t>
            </w:r>
          </w:p>
        </w:tc>
        <w:tc>
          <w:tcPr>
            <w:tcW w:w="975"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抽查对象</w:t>
            </w:r>
          </w:p>
        </w:tc>
        <w:tc>
          <w:tcPr>
            <w:tcW w:w="124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检查方式</w:t>
            </w:r>
          </w:p>
        </w:tc>
        <w:tc>
          <w:tcPr>
            <w:tcW w:w="129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检查主体</w:t>
            </w:r>
          </w:p>
        </w:tc>
        <w:tc>
          <w:tcPr>
            <w:tcW w:w="539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检查依据</w:t>
            </w:r>
          </w:p>
        </w:tc>
      </w:tr>
      <w:tr>
        <w:tblPrEx>
          <w:shd w:val="clear" w:color="auto" w:fill="auto"/>
          <w:tblCellMar>
            <w:top w:w="0" w:type="dxa"/>
            <w:left w:w="0" w:type="dxa"/>
            <w:bottom w:w="0" w:type="dxa"/>
            <w:right w:w="0" w:type="dxa"/>
          </w:tblCellMar>
        </w:tblPrEx>
        <w:trPr>
          <w:cantSplit/>
          <w:trHeight w:val="448" w:hRule="atLeast"/>
          <w:tblHeader/>
          <w:jc w:val="center"/>
        </w:trPr>
        <w:tc>
          <w:tcPr>
            <w:tcW w:w="537"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抽查类别</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抽查事项</w:t>
            </w:r>
          </w:p>
        </w:tc>
        <w:tc>
          <w:tcPr>
            <w:tcW w:w="975"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24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29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39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11"/>
                <w:kern w:val="0"/>
                <w:sz w:val="18"/>
                <w:szCs w:val="18"/>
                <w:u w:val="none"/>
                <w:lang w:val="en-US" w:eastAsia="zh-CN" w:bidi="ar"/>
              </w:rPr>
            </w:pPr>
            <w:r>
              <w:rPr>
                <w:rFonts w:hint="eastAsia" w:ascii="宋体" w:hAnsi="宋体" w:eastAsia="宋体" w:cs="宋体"/>
                <w:i w:val="0"/>
                <w:color w:val="000000"/>
                <w:spacing w:val="-11"/>
                <w:kern w:val="0"/>
                <w:sz w:val="18"/>
                <w:szCs w:val="18"/>
                <w:u w:val="none"/>
                <w:lang w:val="en-US" w:eastAsia="zh-CN" w:bidi="ar"/>
              </w:rPr>
              <w:t>安全生产综合</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规章制度检查</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安全生产责任制和安全生产规章制度、操作规程制定、执行和适时修改情况。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书面检查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《安全生产法》第十八条。</w:t>
            </w:r>
          </w:p>
        </w:tc>
      </w:tr>
      <w:tr>
        <w:tblPrEx>
          <w:shd w:val="clear" w:color="auto" w:fill="auto"/>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11"/>
                <w:kern w:val="0"/>
                <w:sz w:val="18"/>
                <w:szCs w:val="18"/>
                <w:u w:val="none"/>
                <w:lang w:val="en-US" w:eastAsia="zh-CN" w:bidi="ar"/>
              </w:rPr>
            </w:pPr>
            <w:r>
              <w:rPr>
                <w:rFonts w:hint="eastAsia" w:ascii="宋体" w:hAnsi="宋体" w:eastAsia="宋体" w:cs="宋体"/>
                <w:i w:val="0"/>
                <w:color w:val="000000"/>
                <w:spacing w:val="-11"/>
                <w:kern w:val="0"/>
                <w:sz w:val="18"/>
                <w:szCs w:val="18"/>
                <w:u w:val="none"/>
                <w:lang w:val="en-US" w:eastAsia="zh-CN" w:bidi="ar"/>
              </w:rPr>
              <w:t>安全生产综合</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安全投入检查</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安全投入及劳动防护用品经费、安全培训经费保障情况。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书面检查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《安全生产法》第十八条、第二十条。</w:t>
            </w:r>
          </w:p>
        </w:tc>
      </w:tr>
      <w:tr>
        <w:tblPrEx>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11"/>
                <w:kern w:val="0"/>
                <w:sz w:val="18"/>
                <w:szCs w:val="18"/>
                <w:u w:val="none"/>
                <w:lang w:val="en-US" w:eastAsia="zh-CN" w:bidi="ar"/>
              </w:rPr>
            </w:pPr>
            <w:r>
              <w:rPr>
                <w:rFonts w:hint="eastAsia" w:ascii="宋体" w:hAnsi="宋体" w:eastAsia="宋体" w:cs="宋体"/>
                <w:i w:val="0"/>
                <w:color w:val="000000"/>
                <w:spacing w:val="-11"/>
                <w:kern w:val="0"/>
                <w:sz w:val="18"/>
                <w:szCs w:val="18"/>
                <w:u w:val="none"/>
                <w:lang w:val="en-US" w:eastAsia="zh-CN" w:bidi="ar"/>
              </w:rPr>
              <w:t>安全生产综合</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安全机构检查</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安全生产管理机构设置、安全生产管理人员配备情况。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书面检查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《安全生产法》第二十一条</w:t>
            </w:r>
            <w:r>
              <w:rPr>
                <w:rStyle w:val="7"/>
                <w:lang w:val="en-US" w:eastAsia="zh-CN" w:bidi="ar"/>
              </w:rPr>
              <w:t xml:space="preserve"> </w:t>
            </w:r>
            <w:r>
              <w:rPr>
                <w:rStyle w:val="6"/>
                <w:lang w:val="en-US" w:eastAsia="zh-CN" w:bidi="ar"/>
              </w:rPr>
              <w:t>。</w:t>
            </w:r>
          </w:p>
        </w:tc>
      </w:tr>
      <w:tr>
        <w:tblPrEx>
          <w:shd w:val="clear" w:color="auto" w:fill="auto"/>
          <w:tblCellMar>
            <w:top w:w="0" w:type="dxa"/>
            <w:left w:w="0" w:type="dxa"/>
            <w:bottom w:w="0" w:type="dxa"/>
            <w:right w:w="0" w:type="dxa"/>
          </w:tblCellMar>
        </w:tblPrEx>
        <w:trPr>
          <w:trHeight w:val="13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11"/>
                <w:kern w:val="0"/>
                <w:sz w:val="18"/>
                <w:szCs w:val="18"/>
                <w:u w:val="none"/>
                <w:lang w:val="en-US" w:eastAsia="zh-CN" w:bidi="ar"/>
              </w:rPr>
            </w:pPr>
            <w:r>
              <w:rPr>
                <w:rFonts w:hint="eastAsia" w:ascii="宋体" w:hAnsi="宋体" w:eastAsia="宋体" w:cs="宋体"/>
                <w:i w:val="0"/>
                <w:color w:val="000000"/>
                <w:spacing w:val="-11"/>
                <w:kern w:val="0"/>
                <w:sz w:val="18"/>
                <w:szCs w:val="18"/>
                <w:u w:val="none"/>
                <w:lang w:val="en-US" w:eastAsia="zh-CN" w:bidi="ar"/>
              </w:rPr>
              <w:t>安全生产综合</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人员培训检查</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从业人员安全生产教育和培训计划、实施及档案管理情况。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书面检查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第十八条、第二十四条、第二十五条、第二十六条；《生产经营单位安全培训规定》（原国家安全监管总局令第3号）；《安全生产培训管理办法》（原国家安全监管总局令第44号）《河北省安全生产条例》第十二条、二十三条、二十四条、三十三条。</w:t>
            </w:r>
          </w:p>
        </w:tc>
      </w:tr>
      <w:tr>
        <w:tblPrEx>
          <w:shd w:val="clear" w:color="auto" w:fill="auto"/>
          <w:tblCellMar>
            <w:top w:w="0" w:type="dxa"/>
            <w:left w:w="0" w:type="dxa"/>
            <w:bottom w:w="0" w:type="dxa"/>
            <w:right w:w="0" w:type="dxa"/>
          </w:tblCellMar>
        </w:tblPrEx>
        <w:trPr>
          <w:trHeight w:val="1125"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11"/>
                <w:kern w:val="0"/>
                <w:sz w:val="18"/>
                <w:szCs w:val="18"/>
                <w:u w:val="none"/>
                <w:lang w:val="en-US" w:eastAsia="zh-CN" w:bidi="ar"/>
              </w:rPr>
            </w:pPr>
            <w:r>
              <w:rPr>
                <w:rFonts w:hint="eastAsia" w:ascii="宋体" w:hAnsi="宋体" w:eastAsia="宋体" w:cs="宋体"/>
                <w:i w:val="0"/>
                <w:color w:val="000000"/>
                <w:spacing w:val="-11"/>
                <w:kern w:val="0"/>
                <w:sz w:val="18"/>
                <w:szCs w:val="18"/>
                <w:u w:val="none"/>
                <w:lang w:val="en-US" w:eastAsia="zh-CN" w:bidi="ar"/>
              </w:rPr>
              <w:t>安全生产综合</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特种作业检查</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特种作业人员持证上岗、培训及档案情况。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书面检查、信息管理系统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第二十七条；《生产经营单位安全培训规定》（原国家安全监管总局令第3号）；《特种作业人员安全技术培训考核管理规定》（原国家安全监管总局令第30号）；《安全生产培训管理办法》（原国家安全监管总局令第44号）。</w:t>
            </w:r>
          </w:p>
        </w:tc>
      </w:tr>
      <w:tr>
        <w:tblPrEx>
          <w:tblCellMar>
            <w:top w:w="0" w:type="dxa"/>
            <w:left w:w="0" w:type="dxa"/>
            <w:bottom w:w="0" w:type="dxa"/>
            <w:right w:w="0" w:type="dxa"/>
          </w:tblCellMar>
        </w:tblPrEx>
        <w:trPr>
          <w:trHeight w:val="851"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11"/>
                <w:kern w:val="0"/>
                <w:sz w:val="18"/>
                <w:szCs w:val="18"/>
                <w:u w:val="none"/>
                <w:lang w:val="en-US" w:eastAsia="zh-CN" w:bidi="ar"/>
              </w:rPr>
            </w:pPr>
            <w:r>
              <w:rPr>
                <w:rFonts w:hint="eastAsia" w:ascii="宋体" w:hAnsi="宋体" w:eastAsia="宋体" w:cs="宋体"/>
                <w:i w:val="0"/>
                <w:color w:val="000000"/>
                <w:spacing w:val="-11"/>
                <w:kern w:val="0"/>
                <w:sz w:val="18"/>
                <w:szCs w:val="18"/>
                <w:u w:val="none"/>
                <w:lang w:val="en-US" w:eastAsia="zh-CN" w:bidi="ar"/>
              </w:rPr>
              <w:t>安全生产综合</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三同时检查</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建设项目安全评价及建设项目安全设施</w:t>
            </w:r>
            <w:r>
              <w:rPr>
                <w:rStyle w:val="7"/>
                <w:lang w:val="en-US" w:eastAsia="zh-CN" w:bidi="ar"/>
              </w:rPr>
              <w:t>“</w:t>
            </w:r>
            <w:r>
              <w:rPr>
                <w:rStyle w:val="6"/>
                <w:lang w:val="en-US" w:eastAsia="zh-CN" w:bidi="ar"/>
              </w:rPr>
              <w:t>三同时</w:t>
            </w:r>
            <w:r>
              <w:rPr>
                <w:rStyle w:val="7"/>
                <w:lang w:val="en-US" w:eastAsia="zh-CN" w:bidi="ar"/>
              </w:rPr>
              <w:t>”</w:t>
            </w:r>
            <w:r>
              <w:rPr>
                <w:rStyle w:val="6"/>
                <w:lang w:val="en-US" w:eastAsia="zh-CN" w:bidi="ar"/>
              </w:rPr>
              <w:t>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书面检查、实地检查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《安全生产法》第二十八、第二十九条、第三十条、第三十一条；《建设项目安全设施“三同时”监督管理办法》（原国家安全监管总局令第36号）。</w:t>
            </w:r>
          </w:p>
        </w:tc>
      </w:tr>
      <w:tr>
        <w:tblPrEx>
          <w:shd w:val="clear" w:color="auto" w:fill="auto"/>
          <w:tblCellMar>
            <w:top w:w="0" w:type="dxa"/>
            <w:left w:w="0" w:type="dxa"/>
            <w:bottom w:w="0" w:type="dxa"/>
            <w:right w:w="0" w:type="dxa"/>
          </w:tblCellMar>
        </w:tblPrEx>
        <w:trPr>
          <w:trHeight w:val="285"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11"/>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spacing w:val="-11"/>
                <w:kern w:val="0"/>
                <w:sz w:val="18"/>
                <w:szCs w:val="18"/>
                <w:u w:val="none"/>
                <w:lang w:val="en-US" w:eastAsia="zh-CN" w:bidi="ar"/>
              </w:rPr>
              <w:t>安全生产综合</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6"/>
                <w:lang w:val="en-US" w:eastAsia="zh-CN" w:bidi="ar"/>
              </w:rPr>
              <w:t>警示标示检查</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安全警示标志设置情况。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《安全生产法》第三十二条。</w:t>
            </w:r>
          </w:p>
        </w:tc>
      </w:tr>
      <w:tr>
        <w:tblPrEx>
          <w:shd w:val="clear" w:color="auto" w:fill="auto"/>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11"/>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spacing w:val="-11"/>
                <w:kern w:val="0"/>
                <w:sz w:val="18"/>
                <w:szCs w:val="18"/>
                <w:u w:val="none"/>
                <w:lang w:val="en-US" w:eastAsia="zh-CN" w:bidi="ar"/>
              </w:rPr>
              <w:t>安全生产综合</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6"/>
                <w:lang w:val="en-US" w:eastAsia="zh-CN" w:bidi="ar"/>
              </w:rPr>
              <w:t>安全设备检查</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安全设备设计、制造、安装、使用、检测、维修、改造、报废情况。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《安全生产法》第三十三条。</w:t>
            </w:r>
          </w:p>
        </w:tc>
      </w:tr>
      <w:tr>
        <w:tblPrEx>
          <w:tblCellMar>
            <w:top w:w="0" w:type="dxa"/>
            <w:left w:w="0" w:type="dxa"/>
            <w:bottom w:w="0" w:type="dxa"/>
            <w:right w:w="0" w:type="dxa"/>
          </w:tblCellMar>
        </w:tblPrEx>
        <w:trPr>
          <w:trHeight w:val="675"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2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spacing w:val="-20"/>
                <w:kern w:val="0"/>
                <w:sz w:val="18"/>
                <w:szCs w:val="18"/>
                <w:u w:val="none"/>
                <w:lang w:val="en-US" w:eastAsia="zh-CN" w:bidi="ar"/>
              </w:rPr>
              <w:t>安全生产综合</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6"/>
                <w:spacing w:val="-20"/>
                <w:lang w:val="en-US" w:eastAsia="zh-CN" w:bidi="ar"/>
              </w:rPr>
              <w:t>重大危险源检查</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重大危险源安全管理情况。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书面检查、实地检查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《安全生产法》第三十七条；《危险化学品重大危险源监督管理暂行规定》(国家安全生产监督管理总局令第40号）。</w:t>
            </w:r>
          </w:p>
        </w:tc>
      </w:tr>
      <w:tr>
        <w:tblPrEx>
          <w:tblCellMar>
            <w:top w:w="0" w:type="dxa"/>
            <w:left w:w="0" w:type="dxa"/>
            <w:bottom w:w="0" w:type="dxa"/>
            <w:right w:w="0" w:type="dxa"/>
          </w:tblCellMar>
        </w:tblPrEx>
        <w:trPr>
          <w:trHeight w:val="675"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11"/>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spacing w:val="-11"/>
                <w:kern w:val="0"/>
                <w:sz w:val="18"/>
                <w:szCs w:val="18"/>
                <w:u w:val="none"/>
                <w:lang w:val="en-US" w:eastAsia="zh-CN" w:bidi="ar"/>
              </w:rPr>
              <w:t>安全生产综合</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6"/>
                <w:lang w:val="en-US" w:eastAsia="zh-CN" w:bidi="ar"/>
              </w:rPr>
              <w:t>隐患排查检查</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事故隐患排查治理情况。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书面检查、实地检查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《安全生产法》第三十八条；《安全生产事故隐患排查治理暂行规定》（原国家安全监管总局令第16号）。</w:t>
            </w:r>
          </w:p>
        </w:tc>
      </w:tr>
      <w:tr>
        <w:tblPrEx>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11"/>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spacing w:val="-11"/>
                <w:kern w:val="0"/>
                <w:sz w:val="18"/>
                <w:szCs w:val="18"/>
                <w:u w:val="none"/>
                <w:lang w:val="en-US" w:eastAsia="zh-CN" w:bidi="ar"/>
              </w:rPr>
              <w:t>安全生产综合</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6"/>
                <w:lang w:val="en-US" w:eastAsia="zh-CN" w:bidi="ar"/>
              </w:rPr>
              <w:t>员工宿舍检查</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生产经营场所与员工宿舍安全距离情况以及生产经营场所和员工宿舍安全出口情况。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《安全生产法》第三十九条。</w:t>
            </w:r>
          </w:p>
        </w:tc>
      </w:tr>
      <w:tr>
        <w:tblPrEx>
          <w:shd w:val="clear" w:color="auto" w:fill="auto"/>
          <w:tblCellMar>
            <w:top w:w="0" w:type="dxa"/>
            <w:left w:w="0" w:type="dxa"/>
            <w:bottom w:w="0" w:type="dxa"/>
            <w:right w:w="0" w:type="dxa"/>
          </w:tblCellMar>
        </w:tblPrEx>
        <w:trPr>
          <w:trHeight w:val="285"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11"/>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spacing w:val="-11"/>
                <w:kern w:val="0"/>
                <w:sz w:val="18"/>
                <w:szCs w:val="18"/>
                <w:u w:val="none"/>
                <w:lang w:val="en-US" w:eastAsia="zh-CN" w:bidi="ar"/>
              </w:rPr>
              <w:t>安全生产综合</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6"/>
                <w:lang w:val="en-US" w:eastAsia="zh-CN" w:bidi="ar"/>
              </w:rPr>
              <w:t>危险作业检查</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危险作业现场安全管理情况。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《安全生产法》第四十条。</w:t>
            </w:r>
          </w:p>
        </w:tc>
      </w:tr>
      <w:tr>
        <w:tblPrEx>
          <w:shd w:val="clear" w:color="auto" w:fill="auto"/>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20"/>
                <w:kern w:val="0"/>
                <w:sz w:val="18"/>
                <w:szCs w:val="18"/>
                <w:u w:val="none"/>
                <w:lang w:val="en-US" w:eastAsia="zh-CN" w:bidi="ar"/>
              </w:rPr>
            </w:pPr>
            <w:r>
              <w:rPr>
                <w:rFonts w:hint="eastAsia" w:ascii="宋体" w:hAnsi="宋体" w:eastAsia="宋体" w:cs="宋体"/>
                <w:i w:val="0"/>
                <w:color w:val="000000"/>
                <w:spacing w:val="-20"/>
                <w:kern w:val="0"/>
                <w:sz w:val="18"/>
                <w:szCs w:val="18"/>
                <w:u w:val="none"/>
                <w:lang w:val="en-US" w:eastAsia="zh-CN" w:bidi="ar"/>
              </w:rPr>
              <w:t>安全生产综合</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11"/>
                <w:kern w:val="0"/>
                <w:sz w:val="18"/>
                <w:szCs w:val="18"/>
                <w:u w:val="none"/>
                <w:lang w:val="en-US" w:eastAsia="zh-CN" w:bidi="ar"/>
              </w:rPr>
              <w:t xml:space="preserve"> </w:t>
            </w:r>
            <w:r>
              <w:rPr>
                <w:rStyle w:val="6"/>
                <w:spacing w:val="-11"/>
                <w:lang w:val="en-US" w:eastAsia="zh-CN" w:bidi="ar"/>
              </w:rPr>
              <w:t>劳动保护检查</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劳动防护用品配备、使用管理情况。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书面检查、实地检查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《安全生产法》第四十二条。</w:t>
            </w:r>
          </w:p>
        </w:tc>
      </w:tr>
      <w:tr>
        <w:tblPrEx>
          <w:shd w:val="clear" w:color="auto" w:fill="auto"/>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11"/>
                <w:kern w:val="0"/>
                <w:sz w:val="18"/>
                <w:szCs w:val="18"/>
                <w:u w:val="none"/>
                <w:lang w:val="en-US" w:eastAsia="zh-CN" w:bidi="ar"/>
              </w:rPr>
            </w:pPr>
            <w:r>
              <w:rPr>
                <w:rFonts w:hint="eastAsia" w:ascii="宋体" w:hAnsi="宋体" w:eastAsia="宋体" w:cs="宋体"/>
                <w:i w:val="0"/>
                <w:color w:val="000000"/>
                <w:spacing w:val="-11"/>
                <w:kern w:val="0"/>
                <w:sz w:val="18"/>
                <w:szCs w:val="18"/>
                <w:u w:val="none"/>
                <w:lang w:val="en-US" w:eastAsia="zh-CN" w:bidi="ar"/>
              </w:rPr>
              <w:t>安全生产综合</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发包出租检查</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生产经营项目、场所、设备发包、出租管理情况。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书面检查、实地检查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《安全生产法》第四十六条。</w:t>
            </w:r>
          </w:p>
        </w:tc>
      </w:tr>
      <w:tr>
        <w:tblPrEx>
          <w:tblCellMar>
            <w:top w:w="0" w:type="dxa"/>
            <w:left w:w="0" w:type="dxa"/>
            <w:bottom w:w="0" w:type="dxa"/>
            <w:right w:w="0" w:type="dxa"/>
          </w:tblCellMar>
        </w:tblPrEx>
        <w:trPr>
          <w:trHeight w:val="90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11"/>
                <w:kern w:val="0"/>
                <w:sz w:val="18"/>
                <w:szCs w:val="18"/>
                <w:u w:val="none"/>
                <w:lang w:val="en-US" w:eastAsia="zh-CN" w:bidi="ar"/>
              </w:rPr>
            </w:pPr>
            <w:r>
              <w:rPr>
                <w:rFonts w:hint="eastAsia" w:ascii="宋体" w:hAnsi="宋体" w:eastAsia="宋体" w:cs="宋体"/>
                <w:i w:val="0"/>
                <w:color w:val="000000"/>
                <w:spacing w:val="-11"/>
                <w:kern w:val="0"/>
                <w:sz w:val="18"/>
                <w:szCs w:val="18"/>
                <w:u w:val="none"/>
                <w:lang w:val="en-US" w:eastAsia="zh-CN" w:bidi="ar"/>
              </w:rPr>
              <w:t>安全生产综合</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应急管理检查</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应急预案编制、演练和应急组织人员设置及应急救援器材、设备及物质配备情况；生产经营单位应急预案按规定备案。</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书面检查、实地检查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《安全生产法》第十八条、第七十八条、第七十九条；《生产安全事故应急预案管理办法》（原国家安全监管总局令第88号）；《生产安全事故应急预案管理办法》第二十六条。</w:t>
            </w:r>
          </w:p>
        </w:tc>
      </w:tr>
      <w:tr>
        <w:tblPrEx>
          <w:shd w:val="clear" w:color="auto" w:fill="auto"/>
          <w:tblCellMar>
            <w:top w:w="0" w:type="dxa"/>
            <w:left w:w="0" w:type="dxa"/>
            <w:bottom w:w="0" w:type="dxa"/>
            <w:right w:w="0" w:type="dxa"/>
          </w:tblCellMar>
        </w:tblPrEx>
        <w:trPr>
          <w:trHeight w:val="675"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kern w:val="0"/>
                <w:sz w:val="18"/>
                <w:szCs w:val="18"/>
                <w:u w:val="none"/>
                <w:lang w:val="en-US" w:eastAsia="zh-CN" w:bidi="ar"/>
              </w:rPr>
            </w:pPr>
            <w:r>
              <w:rPr>
                <w:rFonts w:hint="eastAsia" w:ascii="宋体" w:hAnsi="宋体" w:eastAsia="宋体" w:cs="宋体"/>
                <w:i w:val="0"/>
                <w:color w:val="000000"/>
                <w:spacing w:val="0"/>
                <w:kern w:val="0"/>
                <w:sz w:val="18"/>
                <w:szCs w:val="18"/>
                <w:u w:val="none"/>
                <w:lang w:val="en-US" w:eastAsia="zh-CN" w:bidi="ar"/>
              </w:rPr>
              <w:t>安全生产综合</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0"/>
                <w:kern w:val="0"/>
                <w:sz w:val="18"/>
                <w:szCs w:val="18"/>
                <w:u w:val="none"/>
                <w:lang w:val="en-US" w:eastAsia="zh-CN" w:bidi="ar"/>
              </w:rPr>
              <w:t xml:space="preserve"> </w:t>
            </w:r>
            <w:r>
              <w:rPr>
                <w:rStyle w:val="6"/>
                <w:spacing w:val="0"/>
                <w:sz w:val="18"/>
                <w:szCs w:val="18"/>
                <w:lang w:val="en-US" w:eastAsia="zh-CN" w:bidi="ar"/>
              </w:rPr>
              <w:t>事故后整改检查</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Style w:val="8"/>
                <w:lang w:val="en-US" w:eastAsia="zh-CN" w:bidi="ar"/>
              </w:rPr>
              <w:t>吸取事故教训，督促并落实事故防范整改措施情况。一、有关生产经营单位及其相关人员违反本项规定的，针对所涉及的违法行为和事故隐患，依照《安全生产法》等法律法规的规定处理，并按有关规定从重处罚。二、落实事故防范整改措施期间，每年检查一般不少于</w:t>
            </w:r>
            <w:r>
              <w:rPr>
                <w:rStyle w:val="9"/>
                <w:rFonts w:eastAsia="宋体"/>
                <w:lang w:val="en-US" w:eastAsia="zh-CN" w:bidi="ar"/>
              </w:rPr>
              <w:t>1</w:t>
            </w:r>
            <w:r>
              <w:rPr>
                <w:rStyle w:val="8"/>
                <w:lang w:val="en-US" w:eastAsia="zh-CN" w:bidi="ar"/>
              </w:rPr>
              <w:t>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书面检查、实地检查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《生产安全事故报告和调查处理条例》第二十六条、第三十三条、第三十五条、</w:t>
            </w:r>
            <w:r>
              <w:rPr>
                <w:rStyle w:val="7"/>
                <w:lang w:val="en-US" w:eastAsia="zh-CN" w:bidi="ar"/>
              </w:rPr>
              <w:t xml:space="preserve"> </w:t>
            </w:r>
            <w:r>
              <w:rPr>
                <w:rStyle w:val="6"/>
                <w:lang w:val="en-US" w:eastAsia="zh-CN" w:bidi="ar"/>
              </w:rPr>
              <w:t>第三十六条、第三十七条、第三十八条。</w:t>
            </w:r>
          </w:p>
        </w:tc>
      </w:tr>
      <w:tr>
        <w:tblPrEx>
          <w:shd w:val="clear" w:color="auto" w:fill="auto"/>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17</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kern w:val="0"/>
                <w:sz w:val="18"/>
                <w:szCs w:val="18"/>
                <w:u w:val="none"/>
                <w:lang w:val="en-US" w:eastAsia="zh-CN" w:bidi="ar"/>
              </w:rPr>
            </w:pPr>
            <w:r>
              <w:rPr>
                <w:rFonts w:hint="eastAsia" w:ascii="宋体" w:hAnsi="宋体" w:eastAsia="宋体" w:cs="宋体"/>
                <w:i w:val="0"/>
                <w:color w:val="000000"/>
                <w:spacing w:val="0"/>
                <w:kern w:val="0"/>
                <w:sz w:val="18"/>
                <w:szCs w:val="18"/>
                <w:u w:val="none"/>
                <w:lang w:val="en-US" w:eastAsia="zh-CN" w:bidi="ar"/>
              </w:rPr>
              <w:t>安全生产综合</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风险管控和隐患治理检查</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开展安全生产风险辨识和隐患治理情况。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书面检查、实地检查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《河北省安全生产风险管控与隐患治理规定》第八条至第十九条</w:t>
            </w:r>
          </w:p>
        </w:tc>
      </w:tr>
      <w:tr>
        <w:tblPrEx>
          <w:shd w:val="clear" w:color="auto" w:fill="auto"/>
          <w:tblCellMar>
            <w:top w:w="0" w:type="dxa"/>
            <w:left w:w="0" w:type="dxa"/>
            <w:bottom w:w="0" w:type="dxa"/>
            <w:right w:w="0" w:type="dxa"/>
          </w:tblCellMar>
        </w:tblPrEx>
        <w:trPr>
          <w:trHeight w:val="90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6"/>
                <w:kern w:val="0"/>
                <w:sz w:val="18"/>
                <w:szCs w:val="18"/>
                <w:u w:val="none"/>
                <w:lang w:val="en-US" w:eastAsia="zh-CN" w:bidi="ar"/>
              </w:rPr>
              <w:t xml:space="preserve"> 安全生产综合</w:t>
            </w:r>
            <w:r>
              <w:rPr>
                <w:rStyle w:val="6"/>
                <w:spacing w:val="-6"/>
                <w:lang w:val="en-US" w:eastAsia="zh-CN" w:bidi="ar"/>
              </w:rPr>
              <w:t>中介机构检查</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安全评价机构资质条件保持及过程控制、安全生产检测检验机构资质条件保持及质量管理体系执行情况。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书面检查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《安全生产法》第六十九条；《安全评价机构管理规定》（原国家安全监管总局令第22号）；《安全生产检测检验机构管理规定》（原国家安全监管总局令第12号）。</w:t>
            </w:r>
          </w:p>
        </w:tc>
      </w:tr>
      <w:tr>
        <w:tblPrEx>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19</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非煤矿山类</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通用检查</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基建改扩建矿山设计审查和预评价报告编制情况。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书面检查、实地检查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《安全生产法》第二十九条、第三十条。</w:t>
            </w:r>
          </w:p>
        </w:tc>
      </w:tr>
      <w:tr>
        <w:tblPrEx>
          <w:tblCellMar>
            <w:top w:w="0" w:type="dxa"/>
            <w:left w:w="0" w:type="dxa"/>
            <w:bottom w:w="0" w:type="dxa"/>
            <w:right w:w="0" w:type="dxa"/>
          </w:tblCellMar>
        </w:tblPrEx>
        <w:trPr>
          <w:trHeight w:val="285"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证照齐全情况。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书面检查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《安全生产许可证条例》第二条。</w:t>
            </w:r>
          </w:p>
        </w:tc>
      </w:tr>
      <w:tr>
        <w:tblPrEx>
          <w:shd w:val="clear" w:color="auto" w:fill="auto"/>
          <w:tblCellMar>
            <w:top w:w="0" w:type="dxa"/>
            <w:left w:w="0" w:type="dxa"/>
            <w:bottom w:w="0" w:type="dxa"/>
            <w:right w:w="0" w:type="dxa"/>
          </w:tblCellMar>
        </w:tblPrEx>
        <w:trPr>
          <w:trHeight w:val="285"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21</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安全管理机构设置、从业人员培训情况。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书面检查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《安全生产法》第二十一条、第二十五条。</w:t>
            </w:r>
          </w:p>
        </w:tc>
      </w:tr>
      <w:tr>
        <w:tblPrEx>
          <w:shd w:val="clear" w:color="auto" w:fill="auto"/>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22</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主要负责人、安全管理人员考核合格和特种作业人员持证上岗情况。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书面检查、信息管理系统</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《安全生产法》第二十四条、第二十七条。</w:t>
            </w:r>
          </w:p>
        </w:tc>
      </w:tr>
      <w:tr>
        <w:tblPrEx>
          <w:shd w:val="clear" w:color="auto" w:fill="auto"/>
          <w:tblCellMar>
            <w:top w:w="0" w:type="dxa"/>
            <w:left w:w="0" w:type="dxa"/>
            <w:bottom w:w="0" w:type="dxa"/>
            <w:right w:w="0" w:type="dxa"/>
          </w:tblCellMar>
        </w:tblPrEx>
        <w:trPr>
          <w:trHeight w:val="285"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23</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安全投入情况。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书面检查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《安全生产法》第二十条。</w:t>
            </w:r>
          </w:p>
        </w:tc>
      </w:tr>
      <w:tr>
        <w:tblPrEx>
          <w:shd w:val="clear" w:color="auto" w:fill="auto"/>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24</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淘汰危险安全生产工艺、设备情况。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书面检查、实地检查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《安全生产法》第三十五条。</w:t>
            </w:r>
          </w:p>
        </w:tc>
      </w:tr>
      <w:tr>
        <w:tblPrEx>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25</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图纸真实性情况。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书面检查、实地检查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《金属非金属矿山安全规程》（</w:t>
            </w:r>
            <w:r>
              <w:rPr>
                <w:rStyle w:val="7"/>
                <w:lang w:val="en-US" w:eastAsia="zh-CN" w:bidi="ar"/>
              </w:rPr>
              <w:t>GB16423-2006</w:t>
            </w:r>
            <w:r>
              <w:rPr>
                <w:rStyle w:val="6"/>
                <w:lang w:val="en-US" w:eastAsia="zh-CN" w:bidi="ar"/>
              </w:rPr>
              <w:t>）第</w:t>
            </w:r>
            <w:r>
              <w:rPr>
                <w:rStyle w:val="7"/>
                <w:lang w:val="en-US" w:eastAsia="zh-CN" w:bidi="ar"/>
              </w:rPr>
              <w:t>4</w:t>
            </w:r>
            <w:r>
              <w:rPr>
                <w:rStyle w:val="6"/>
                <w:lang w:val="en-US" w:eastAsia="zh-CN" w:bidi="ar"/>
              </w:rPr>
              <w:t>章。</w:t>
            </w:r>
          </w:p>
        </w:tc>
      </w:tr>
      <w:tr>
        <w:tblPrEx>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26</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应急救援队伍建立、应急演练和应急装备、物资配备情况。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书面检查、实地检查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《安全生产法》第七十八条、第七十九条。</w:t>
            </w:r>
          </w:p>
        </w:tc>
      </w:tr>
      <w:tr>
        <w:tblPrEx>
          <w:shd w:val="clear" w:color="auto" w:fill="auto"/>
          <w:tblCellMar>
            <w:top w:w="0" w:type="dxa"/>
            <w:left w:w="0" w:type="dxa"/>
            <w:bottom w:w="0" w:type="dxa"/>
            <w:right w:w="0" w:type="dxa"/>
          </w:tblCellMar>
        </w:tblPrEx>
        <w:trPr>
          <w:trHeight w:val="675"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27</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非煤矿山类</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露天矿山检查</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爆破安全距离。</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《小型露天采石场安全管理与监督检查规定》（原国家安全监管总局令第39号）；《爆破安全规程》（GB6722-2014）第13章。</w:t>
            </w:r>
          </w:p>
        </w:tc>
      </w:tr>
      <w:tr>
        <w:tblPrEx>
          <w:shd w:val="clear" w:color="auto" w:fill="auto"/>
          <w:tblCellMar>
            <w:top w:w="0" w:type="dxa"/>
            <w:left w:w="0" w:type="dxa"/>
            <w:bottom w:w="0" w:type="dxa"/>
            <w:right w:w="0" w:type="dxa"/>
          </w:tblCellMar>
        </w:tblPrEx>
        <w:trPr>
          <w:trHeight w:val="675"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28</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按设计参数分层分台阶开采情况。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书面检查、实地检查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《小型露天采石场安全管理与监督检查规定》（国家安全监管总局令第</w:t>
            </w:r>
            <w:r>
              <w:rPr>
                <w:rStyle w:val="7"/>
                <w:lang w:val="en-US" w:eastAsia="zh-CN" w:bidi="ar"/>
              </w:rPr>
              <w:t>39</w:t>
            </w:r>
            <w:r>
              <w:rPr>
                <w:rStyle w:val="6"/>
                <w:lang w:val="en-US" w:eastAsia="zh-CN" w:bidi="ar"/>
              </w:rPr>
              <w:t>号）；《金属非金属矿山安全规程》（</w:t>
            </w:r>
            <w:r>
              <w:rPr>
                <w:rStyle w:val="7"/>
                <w:lang w:val="en-US" w:eastAsia="zh-CN" w:bidi="ar"/>
              </w:rPr>
              <w:t>GB16423-2006</w:t>
            </w:r>
            <w:r>
              <w:rPr>
                <w:rStyle w:val="6"/>
                <w:lang w:val="en-US" w:eastAsia="zh-CN" w:bidi="ar"/>
              </w:rPr>
              <w:t>）第</w:t>
            </w:r>
            <w:r>
              <w:rPr>
                <w:rStyle w:val="7"/>
                <w:lang w:val="en-US" w:eastAsia="zh-CN" w:bidi="ar"/>
              </w:rPr>
              <w:t>5</w:t>
            </w:r>
            <w:r>
              <w:rPr>
                <w:rStyle w:val="6"/>
                <w:lang w:val="en-US" w:eastAsia="zh-CN" w:bidi="ar"/>
              </w:rPr>
              <w:t>章。</w:t>
            </w:r>
          </w:p>
        </w:tc>
      </w:tr>
      <w:tr>
        <w:tblPrEx>
          <w:tblCellMar>
            <w:top w:w="0" w:type="dxa"/>
            <w:left w:w="0" w:type="dxa"/>
            <w:bottom w:w="0" w:type="dxa"/>
            <w:right w:w="0" w:type="dxa"/>
          </w:tblCellMar>
        </w:tblPrEx>
        <w:trPr>
          <w:trHeight w:val="675"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29</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中深孔爆破作业落实情况。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《小型露天采石场安全管理与监督检查规定》（原国家安全监管总局令第39号）；《爆破安全规程》（GB6722-2014）第13章。</w:t>
            </w:r>
          </w:p>
        </w:tc>
      </w:tr>
      <w:tr>
        <w:tblPrEx>
          <w:shd w:val="clear" w:color="auto" w:fill="auto"/>
          <w:tblCellMar>
            <w:top w:w="0" w:type="dxa"/>
            <w:left w:w="0" w:type="dxa"/>
            <w:bottom w:w="0" w:type="dxa"/>
            <w:right w:w="0" w:type="dxa"/>
          </w:tblCellMar>
        </w:tblPrEx>
        <w:trPr>
          <w:trHeight w:val="675"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30</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机械二次破碎和铲装作业情况。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《小型露天采石场安全管理与监督检查规定》（原国家安全监管总局令第39号）；《爆破安全规程》（GB6722-2014）第13章。</w:t>
            </w:r>
          </w:p>
        </w:tc>
      </w:tr>
      <w:tr>
        <w:tblPrEx>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31</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按设计控制边坡参数和安全检查情况。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书面检查、实地检查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《金属非金属矿山安全规程》（</w:t>
            </w:r>
            <w:r>
              <w:rPr>
                <w:rStyle w:val="7"/>
                <w:lang w:val="en-US" w:eastAsia="zh-CN" w:bidi="ar"/>
              </w:rPr>
              <w:t>GB16423-2006</w:t>
            </w:r>
            <w:r>
              <w:rPr>
                <w:rStyle w:val="6"/>
                <w:lang w:val="en-US" w:eastAsia="zh-CN" w:bidi="ar"/>
              </w:rPr>
              <w:t>）第</w:t>
            </w:r>
            <w:r>
              <w:rPr>
                <w:rStyle w:val="7"/>
                <w:lang w:val="en-US" w:eastAsia="zh-CN" w:bidi="ar"/>
              </w:rPr>
              <w:t>5</w:t>
            </w:r>
            <w:r>
              <w:rPr>
                <w:rStyle w:val="6"/>
                <w:lang w:val="en-US" w:eastAsia="zh-CN" w:bidi="ar"/>
              </w:rPr>
              <w:t>章。</w:t>
            </w:r>
          </w:p>
        </w:tc>
      </w:tr>
      <w:tr>
        <w:tblPrEx>
          <w:tblCellMar>
            <w:top w:w="0" w:type="dxa"/>
            <w:left w:w="0" w:type="dxa"/>
            <w:bottom w:w="0" w:type="dxa"/>
            <w:right w:w="0" w:type="dxa"/>
          </w:tblCellMar>
        </w:tblPrEx>
        <w:trPr>
          <w:trHeight w:val="675"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32</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按设计控制排土场堆置参数和安全检查情况。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书面检查、实地检查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《金属非金属矿山安全规程》（</w:t>
            </w:r>
            <w:r>
              <w:rPr>
                <w:rStyle w:val="7"/>
                <w:lang w:val="en-US" w:eastAsia="zh-CN" w:bidi="ar"/>
              </w:rPr>
              <w:t>GB16423-2006</w:t>
            </w:r>
            <w:r>
              <w:rPr>
                <w:rStyle w:val="6"/>
                <w:lang w:val="en-US" w:eastAsia="zh-CN" w:bidi="ar"/>
              </w:rPr>
              <w:t>）第</w:t>
            </w:r>
            <w:r>
              <w:rPr>
                <w:rStyle w:val="7"/>
                <w:lang w:val="en-US" w:eastAsia="zh-CN" w:bidi="ar"/>
              </w:rPr>
              <w:t>5</w:t>
            </w:r>
            <w:r>
              <w:rPr>
                <w:rStyle w:val="6"/>
                <w:lang w:val="en-US" w:eastAsia="zh-CN" w:bidi="ar"/>
              </w:rPr>
              <w:t>章；《金属非金属矿山排土场安全生产规则》（</w:t>
            </w:r>
            <w:r>
              <w:rPr>
                <w:rStyle w:val="7"/>
                <w:lang w:val="en-US" w:eastAsia="zh-CN" w:bidi="ar"/>
              </w:rPr>
              <w:t>AQ2005-2005</w:t>
            </w:r>
            <w:r>
              <w:rPr>
                <w:rStyle w:val="6"/>
                <w:lang w:val="en-US" w:eastAsia="zh-CN" w:bidi="ar"/>
              </w:rPr>
              <w:t>）第</w:t>
            </w:r>
            <w:r>
              <w:rPr>
                <w:rStyle w:val="7"/>
                <w:lang w:val="en-US" w:eastAsia="zh-CN" w:bidi="ar"/>
              </w:rPr>
              <w:t>4</w:t>
            </w:r>
            <w:r>
              <w:rPr>
                <w:rStyle w:val="6"/>
                <w:lang w:val="en-US" w:eastAsia="zh-CN" w:bidi="ar"/>
              </w:rPr>
              <w:t>章。</w:t>
            </w:r>
          </w:p>
        </w:tc>
      </w:tr>
      <w:tr>
        <w:tblPrEx>
          <w:tblCellMar>
            <w:top w:w="0" w:type="dxa"/>
            <w:left w:w="0" w:type="dxa"/>
            <w:bottom w:w="0" w:type="dxa"/>
            <w:right w:w="0" w:type="dxa"/>
          </w:tblCellMar>
        </w:tblPrEx>
        <w:trPr>
          <w:trHeight w:val="90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33</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危险化学品类化工企业和危险化学品生产、经营（带仓储设施）企业检查</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人员和资质管理情况。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书面检查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《安全生产法》第十九条、第二十一条、第二十四条、第二十五条、第二十七条、第四十六条、第五十四条；《危险化学品安全管理条例》第十四条、第二十九条、第三十三条。</w:t>
            </w:r>
          </w:p>
        </w:tc>
      </w:tr>
      <w:tr>
        <w:tblPrEx>
          <w:shd w:val="clear" w:color="auto" w:fill="auto"/>
          <w:tblCellMar>
            <w:top w:w="0" w:type="dxa"/>
            <w:left w:w="0" w:type="dxa"/>
            <w:bottom w:w="0" w:type="dxa"/>
            <w:right w:w="0" w:type="dxa"/>
          </w:tblCellMar>
        </w:tblPrEx>
        <w:trPr>
          <w:trHeight w:val="675"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34</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工艺管理情况。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《安全生产法》第十八条、第三十三条、第三十八条；《危险化学品生产企业安全生产许可证实施办法》（原国家安全监管总局令第41号）。</w:t>
            </w:r>
          </w:p>
        </w:tc>
      </w:tr>
      <w:tr>
        <w:tblPrEx>
          <w:shd w:val="clear" w:color="auto" w:fill="auto"/>
          <w:tblCellMar>
            <w:top w:w="0" w:type="dxa"/>
            <w:left w:w="0" w:type="dxa"/>
            <w:bottom w:w="0" w:type="dxa"/>
            <w:right w:w="0" w:type="dxa"/>
          </w:tblCellMar>
        </w:tblPrEx>
        <w:trPr>
          <w:trHeight w:val="675"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35</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设备设施管理情况。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《安全生产法》第三十三条、第三十五条、第三十八条；《危险化学品生产企业安全生产许可证实施办法》（原国家安全监管总局令第41号）。</w:t>
            </w:r>
          </w:p>
        </w:tc>
      </w:tr>
      <w:tr>
        <w:tblPrEx>
          <w:shd w:val="clear" w:color="auto" w:fill="auto"/>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36</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危险化学品安全技术说明书、安全标签及储存管理情况。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《危险化学品安全管理条例》第十五条、第二十四条。</w:t>
            </w:r>
          </w:p>
        </w:tc>
      </w:tr>
      <w:tr>
        <w:tblPrEx>
          <w:tblCellMar>
            <w:top w:w="0" w:type="dxa"/>
            <w:left w:w="0" w:type="dxa"/>
            <w:bottom w:w="0" w:type="dxa"/>
            <w:right w:w="0" w:type="dxa"/>
          </w:tblCellMar>
        </w:tblPrEx>
        <w:trPr>
          <w:trHeight w:val="675"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37</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危险化学品类管道企业检查</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安全生产许可条件保持情况。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书面检查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《安全生产法》第三十条；《危险化学品安全管理条例》第十二条；《危险化学品建设项目安全监督管理办法》（原国家安全监管总局令第45号）。</w:t>
            </w:r>
          </w:p>
        </w:tc>
      </w:tr>
      <w:tr>
        <w:tblPrEx>
          <w:shd w:val="clear" w:color="auto" w:fill="auto"/>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38</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安全设施竣工验收报告。</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《建设项目安全设施“三同时”监督管理办法》（原国家安全监管总局令第36号）。</w:t>
            </w:r>
          </w:p>
        </w:tc>
      </w:tr>
      <w:tr>
        <w:tblPrEx>
          <w:shd w:val="clear" w:color="auto" w:fill="auto"/>
          <w:tblCellMar>
            <w:top w:w="0" w:type="dxa"/>
            <w:left w:w="0" w:type="dxa"/>
            <w:bottom w:w="0" w:type="dxa"/>
            <w:right w:w="0" w:type="dxa"/>
          </w:tblCellMar>
        </w:tblPrEx>
        <w:trPr>
          <w:trHeight w:val="675"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39</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危险化学品类烟花爆竹经营单位检查</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批发许可条件保持情况。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书面检查、实地检查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《烟花爆竹安全管理条例》第十七条；《烟花爆竹经营许可实施办法》（原国家安全监管总局令第65号）。</w:t>
            </w:r>
          </w:p>
        </w:tc>
      </w:tr>
      <w:tr>
        <w:tblPrEx>
          <w:shd w:val="clear" w:color="auto" w:fill="auto"/>
          <w:tblCellMar>
            <w:top w:w="0" w:type="dxa"/>
            <w:left w:w="0" w:type="dxa"/>
            <w:bottom w:w="0" w:type="dxa"/>
            <w:right w:w="0" w:type="dxa"/>
          </w:tblCellMar>
        </w:tblPrEx>
        <w:trPr>
          <w:trHeight w:val="675"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40</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零售许可条件保持情况。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《烟花爆竹安全管理条例》第十八条；《烟花爆竹经营许可实施办法》（原国家安全监管总局令第65号）。</w:t>
            </w:r>
          </w:p>
        </w:tc>
      </w:tr>
      <w:tr>
        <w:tblPrEx>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41</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向有资质的生产、零售企业采购和销售产品情况。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《烟花爆竹安全管理条例》第二十条。</w:t>
            </w:r>
          </w:p>
        </w:tc>
      </w:tr>
      <w:tr>
        <w:tblPrEx>
          <w:shd w:val="clear" w:color="auto" w:fill="auto"/>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42</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向未取得烟花爆竹安全生产许可的任何单位或者个人销售黑火药、烟火药和引火线的情况。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《烟花爆竹安全管理条例》第二十一条。</w:t>
            </w:r>
          </w:p>
        </w:tc>
      </w:tr>
      <w:tr>
        <w:tblPrEx>
          <w:shd w:val="clear" w:color="auto" w:fill="auto"/>
          <w:tblCellMar>
            <w:top w:w="0" w:type="dxa"/>
            <w:left w:w="0" w:type="dxa"/>
            <w:bottom w:w="0" w:type="dxa"/>
            <w:right w:w="0" w:type="dxa"/>
          </w:tblCellMar>
        </w:tblPrEx>
        <w:trPr>
          <w:trHeight w:val="90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43</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危险化学品类非药品类易制毒化学品生产、经营企业检  查</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许可（备案）条件保持情况。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书面检查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《易制毒化学品管理条例》第七条、第八条、第九条、第十条、第十一条、第十二条、第十三条、第三十二条；《非药品类易制毒化学品生产、经营许可办法》(原国家安全监管总局令第5号)。</w:t>
            </w:r>
          </w:p>
        </w:tc>
      </w:tr>
      <w:tr>
        <w:tblPrEx>
          <w:shd w:val="clear" w:color="auto" w:fill="auto"/>
          <w:tblCellMar>
            <w:top w:w="0" w:type="dxa"/>
            <w:left w:w="0" w:type="dxa"/>
            <w:bottom w:w="0" w:type="dxa"/>
            <w:right w:w="0" w:type="dxa"/>
          </w:tblCellMar>
        </w:tblPrEx>
        <w:trPr>
          <w:trHeight w:val="90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44</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报告生产、经营的非药品类易制毒化学品的品种、数量和主要流向等情况。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《易制毒化学品管理条例》第七条、第八条、第九条、第十条、第十一条、第十二条、第十三条、第三十六条；《非药品类易制毒化学品生产、经营许可办法》(原国家安全监管总局令第5号)。</w:t>
            </w:r>
          </w:p>
        </w:tc>
      </w:tr>
      <w:tr>
        <w:tblPrEx>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45</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工贸类建材</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企业检查</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较大危险因素辨识管控措施的落实情况。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书面检查、实地检查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《安全生产法》第三十二条。参照《建材行业较大危险因素辨识与防范指导手册》</w:t>
            </w:r>
          </w:p>
        </w:tc>
      </w:tr>
      <w:tr>
        <w:tblPrEx>
          <w:shd w:val="clear" w:color="auto" w:fill="auto"/>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46</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水泥筒型库清库清堵安全管理情况。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《水泥工厂筒型储存库人工清库安全规程》（</w:t>
            </w:r>
            <w:r>
              <w:rPr>
                <w:rStyle w:val="7"/>
                <w:lang w:val="en-US" w:eastAsia="zh-CN" w:bidi="ar"/>
              </w:rPr>
              <w:t>AQ2047-2012</w:t>
            </w:r>
            <w:r>
              <w:rPr>
                <w:rStyle w:val="6"/>
                <w:lang w:val="en-US" w:eastAsia="zh-CN" w:bidi="ar"/>
              </w:rPr>
              <w:t>）</w:t>
            </w:r>
            <w:r>
              <w:rPr>
                <w:rStyle w:val="7"/>
                <w:lang w:val="en-US" w:eastAsia="zh-CN" w:bidi="ar"/>
              </w:rPr>
              <w:t>5。</w:t>
            </w:r>
          </w:p>
        </w:tc>
      </w:tr>
      <w:tr>
        <w:tblPrEx>
          <w:shd w:val="clear" w:color="auto" w:fill="auto"/>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47</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玻璃熔炉的防泄漏措施情况。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pacing w:val="-20"/>
                <w:kern w:val="0"/>
                <w:sz w:val="18"/>
                <w:szCs w:val="18"/>
                <w:u w:val="none"/>
                <w:lang w:val="en-US" w:eastAsia="zh-CN" w:bidi="ar"/>
              </w:rPr>
              <w:t>玻璃生产企业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《玻璃工厂工业卫生与安全技术规程》（</w:t>
            </w:r>
            <w:r>
              <w:rPr>
                <w:rStyle w:val="7"/>
                <w:lang w:val="en-US" w:eastAsia="zh-CN" w:bidi="ar"/>
              </w:rPr>
              <w:t>GB15081-1994</w:t>
            </w:r>
            <w:r>
              <w:rPr>
                <w:rStyle w:val="6"/>
                <w:lang w:val="en-US" w:eastAsia="zh-CN" w:bidi="ar"/>
              </w:rPr>
              <w:t>）</w:t>
            </w:r>
            <w:r>
              <w:rPr>
                <w:rStyle w:val="7"/>
                <w:lang w:val="en-US" w:eastAsia="zh-CN" w:bidi="ar"/>
              </w:rPr>
              <w:t>5.4.7。</w:t>
            </w:r>
          </w:p>
        </w:tc>
      </w:tr>
      <w:tr>
        <w:tblPrEx>
          <w:shd w:val="clear" w:color="auto" w:fill="auto"/>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48</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柴油罐等燃料罐采取防雷、防静电的措施情况。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《石油库设计规范》（</w:t>
            </w:r>
            <w:r>
              <w:rPr>
                <w:rStyle w:val="7"/>
                <w:lang w:val="en-US" w:eastAsia="zh-CN" w:bidi="ar"/>
              </w:rPr>
              <w:t>GB50074-2014</w:t>
            </w:r>
            <w:r>
              <w:rPr>
                <w:rStyle w:val="6"/>
                <w:lang w:val="en-US" w:eastAsia="zh-CN" w:bidi="ar"/>
              </w:rPr>
              <w:t>）</w:t>
            </w:r>
            <w:r>
              <w:rPr>
                <w:rStyle w:val="7"/>
                <w:lang w:val="en-US" w:eastAsia="zh-CN" w:bidi="ar"/>
              </w:rPr>
              <w:t>14.2.1。</w:t>
            </w:r>
          </w:p>
        </w:tc>
      </w:tr>
      <w:tr>
        <w:tblPrEx>
          <w:shd w:val="clear" w:color="auto" w:fill="auto"/>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49</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煤气发生炉及煤气输送系统的防火、防爆情况。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《工业企业煤气安全规程》</w:t>
            </w:r>
            <w:r>
              <w:rPr>
                <w:rStyle w:val="7"/>
                <w:lang w:val="en-US" w:eastAsia="zh-CN" w:bidi="ar"/>
              </w:rPr>
              <w:t>(GB6222-2005) 5.1。</w:t>
            </w:r>
          </w:p>
        </w:tc>
      </w:tr>
      <w:tr>
        <w:tblPrEx>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50</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工贸类机械</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企业检查</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较大危险因素辨识管控措施的落实情况。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书面检查、实地检查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《安全生产法》第三十二条。参照《机械行业较大危险因素辨识与防范指导手册》</w:t>
            </w:r>
          </w:p>
        </w:tc>
      </w:tr>
      <w:tr>
        <w:tblPrEx>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51</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危险介质管道穿越建（构）筑物、设备设施的情况。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涉及企业危险介质（指易燃易爆、有毒有害等）的管道</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《工业企业总平面设计规范》（GB50187-2012）8.1.7。</w:t>
            </w:r>
          </w:p>
        </w:tc>
      </w:tr>
      <w:tr>
        <w:tblPrEx>
          <w:shd w:val="clear" w:color="auto" w:fill="auto"/>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52</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部件或物品起吊载荷质心的确定情况。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涉及大型部件的起吊</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作  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《起重机械安全规程 第1部分：总则》（GB6067.1-2010）17.2。</w:t>
            </w:r>
          </w:p>
        </w:tc>
      </w:tr>
      <w:tr>
        <w:tblPrEx>
          <w:shd w:val="clear" w:color="auto" w:fill="auto"/>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53</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使用、储存成品油和可燃液体的设备设施采取防雷、防静电的措施情况。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涉及企业的油库和可燃液体库</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《石油库设计规范》（GB50074-2014）14.2.1、14.3。</w:t>
            </w:r>
          </w:p>
        </w:tc>
      </w:tr>
      <w:tr>
        <w:tblPrEx>
          <w:tblCellMar>
            <w:top w:w="0" w:type="dxa"/>
            <w:left w:w="0" w:type="dxa"/>
            <w:bottom w:w="0" w:type="dxa"/>
            <w:right w:w="0" w:type="dxa"/>
          </w:tblCellMar>
        </w:tblPrEx>
        <w:trPr>
          <w:trHeight w:val="1125"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54</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吊运熔融金属的起重机械的选用和安全技术状况。涉及铸造工艺。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《起重机械安全技术监察规程—桥式起重机》（TSGQ0002-2008）第六条；《起重机械安全规程 第1部分：总则》（GB6067.1-2010）4.1.1b） ；《起重机械安全规程 第5部分 桥式和门式起重机》（GB6067.5-2014）4.2.4、9.2、9.5。</w:t>
            </w:r>
          </w:p>
        </w:tc>
      </w:tr>
      <w:tr>
        <w:tblPrEx>
          <w:shd w:val="clear" w:color="auto" w:fill="auto"/>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55</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铸造熔炼炉前坑、沟或储运铁水和堆放熔渣出的防水措施。涉及铸造工艺。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《机械工业职业安全卫生设计规范》（JBJ18-2000）3.2.1。</w:t>
            </w:r>
          </w:p>
        </w:tc>
      </w:tr>
      <w:tr>
        <w:tblPrEx>
          <w:shd w:val="clear" w:color="auto" w:fill="auto"/>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56</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造型地坑砂型底部与地下水位的安全距离。涉及铸造工艺。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《机械工业职业安全卫生设计规范》（JBJ18-2000）3.2.2。</w:t>
            </w:r>
          </w:p>
        </w:tc>
      </w:tr>
      <w:tr>
        <w:tblPrEx>
          <w:shd w:val="clear" w:color="auto" w:fill="auto"/>
          <w:tblCellMar>
            <w:top w:w="0" w:type="dxa"/>
            <w:left w:w="0" w:type="dxa"/>
            <w:bottom w:w="0" w:type="dxa"/>
            <w:right w:w="0" w:type="dxa"/>
          </w:tblCellMar>
        </w:tblPrEx>
        <w:trPr>
          <w:trHeight w:val="90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57</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热处理炉自动保护装置的设置和完好情况（含电阻炉、保护气氛和可控气氛炉、）。涉及热处理工艺。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《金属热处理生产过程安全、卫生要求》（GB15735-2012）7.2.3、7.2.5、7.2.6、7.2.7、7.2.9、7.2.10、7.3.2、7.4.2、7.5.3、7.7.2、7.8.2、7.8.4、7.8.5。</w:t>
            </w:r>
          </w:p>
        </w:tc>
      </w:tr>
      <w:tr>
        <w:tblPrEx>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58</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整体热处理的安全操作情况。涉及热处理工艺。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《金属热处理生产过程安全、卫生要求》（GB15735-2012）8.2。</w:t>
            </w:r>
          </w:p>
        </w:tc>
      </w:tr>
      <w:tr>
        <w:tblPrEx>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59</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镁合金等轻金属采用盐浴炉热处理时的盐浴温度情况。涉及热处理工艺。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《金属热处理生产过程安全、卫生要求》（GB15735-2012）8.4。</w:t>
            </w:r>
          </w:p>
        </w:tc>
      </w:tr>
      <w:tr>
        <w:tblPrEx>
          <w:shd w:val="clear" w:color="auto" w:fill="auto"/>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60</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自动电镀生产线的安全保护措施。涉及电镀工艺。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《电镀生产装置安全技术条件》（AQ5203-2008）5.7。</w:t>
            </w:r>
          </w:p>
        </w:tc>
      </w:tr>
      <w:tr>
        <w:tblPrEx>
          <w:shd w:val="clear" w:color="auto" w:fill="auto"/>
          <w:tblCellMar>
            <w:top w:w="0" w:type="dxa"/>
            <w:left w:w="0" w:type="dxa"/>
            <w:bottom w:w="0" w:type="dxa"/>
            <w:right w:w="0" w:type="dxa"/>
          </w:tblCellMar>
        </w:tblPrEx>
        <w:trPr>
          <w:trHeight w:val="90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61</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临时涂装作业的划定及安全措施的落实情况。涉及涂装工艺。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《涂装作业安全规程 安全管理通则》（GB7691-2003）9.1、9.2、9.3；《涂装作业安全规程 涂漆工艺安全及其通风净化》（GB6514-2008）5.1.3.1、5.1.3.2、5.1.3.3。</w:t>
            </w:r>
          </w:p>
        </w:tc>
      </w:tr>
      <w:tr>
        <w:tblPrEx>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62</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涂装烘干系统的烟囱中沉积物情况和定期清扫情况。涉及涂装工艺。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《涂装作业安全规程 涂层烘干室 安全技术规定》（GB14443-2007）9.6。</w:t>
            </w:r>
          </w:p>
        </w:tc>
      </w:tr>
      <w:tr>
        <w:tblPrEx>
          <w:shd w:val="clear" w:color="auto" w:fill="auto"/>
          <w:tblCellMar>
            <w:top w:w="0" w:type="dxa"/>
            <w:left w:w="0" w:type="dxa"/>
            <w:bottom w:w="0" w:type="dxa"/>
            <w:right w:w="0" w:type="dxa"/>
          </w:tblCellMar>
        </w:tblPrEx>
        <w:trPr>
          <w:trHeight w:val="90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63</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使用易燃易爆清洗剂时安全防护措施的落实情况。涉及涂装工艺。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《涂装作业安全规程 安全管理通则》（GB7691-2003）9.6；《涂装作业安全规程 涂漆前处理工艺安全及其通风净化》（GB7692-2012）5.1.16、5.1.25。</w:t>
            </w:r>
          </w:p>
        </w:tc>
      </w:tr>
      <w:tr>
        <w:tblPrEx>
          <w:shd w:val="clear" w:color="auto" w:fill="auto"/>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64</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集聚在密闭半密闭空间内易燃易爆气体的及时清理措施。涉及焊接与切割工艺或动火作业。</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《焊接与切割安全》（GB9448-1999）6.3。</w:t>
            </w:r>
          </w:p>
        </w:tc>
      </w:tr>
      <w:tr>
        <w:tblPrEx>
          <w:shd w:val="clear" w:color="auto" w:fill="auto"/>
          <w:tblCellMar>
            <w:top w:w="0" w:type="dxa"/>
            <w:left w:w="0" w:type="dxa"/>
            <w:bottom w:w="0" w:type="dxa"/>
            <w:right w:w="0" w:type="dxa"/>
          </w:tblCellMar>
        </w:tblPrEx>
        <w:trPr>
          <w:trHeight w:val="1125"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65</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检修作业时的安全防护措施。涉及所有设备设施检修。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《冲压车间安全生产通则》（GB8176-2012）8.11；《金属热处理生产过程安全、卫生要求》（GB15735-2012）9.7；《木工（材）车间安全生产通则》（GB15606-2008）10.4；《涂装作业安全规程 安全管理通则》（GB7691-2003）13。</w:t>
            </w:r>
          </w:p>
        </w:tc>
      </w:tr>
      <w:tr>
        <w:tblPrEx>
          <w:shd w:val="clear" w:color="auto" w:fill="auto"/>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66</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工贸类轻工</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企业检查</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较大危险因素辨识管控措施的落实情况。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书面检查、实地检查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《安全生产法》第三十二条。参照《轻工行业较大危险因素辨识与防范指导手册》。</w:t>
            </w:r>
          </w:p>
        </w:tc>
      </w:tr>
      <w:tr>
        <w:tblPrEx>
          <w:shd w:val="clear" w:color="auto" w:fill="auto"/>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67</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烘制、油炸等高温设备安全保护措施的配备情况。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涉及烘制、油炸等高温设施的方便食品制造企业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《食品生产企业安全生产监督管理暂行规定》(原国家安全监管总局令第66号)。</w:t>
            </w:r>
          </w:p>
        </w:tc>
      </w:tr>
      <w:tr>
        <w:tblPrEx>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68</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植物油加工企业浸出车间的安全防护措施。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植物油加工企业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《浸出油工厂防火安全规范》（SJB04-91）3.0.8、3.0.10。</w:t>
            </w:r>
          </w:p>
        </w:tc>
      </w:tr>
      <w:tr>
        <w:tblPrEx>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69</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白酒储存、勾兑场所乙醇浓度检测报警装置不应高于地面</w:t>
            </w:r>
            <w:r>
              <w:rPr>
                <w:rStyle w:val="7"/>
                <w:lang w:val="en-US" w:eastAsia="zh-CN" w:bidi="ar"/>
              </w:rPr>
              <w:t>0.6</w:t>
            </w:r>
            <w:r>
              <w:rPr>
                <w:rStyle w:val="6"/>
                <w:lang w:val="en-US" w:eastAsia="zh-CN" w:bidi="ar"/>
              </w:rPr>
              <w:t>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白酒生产企业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《酒厂设计防火规范》(GB50694-2011）9.3.5。</w:t>
            </w:r>
          </w:p>
        </w:tc>
      </w:tr>
      <w:tr>
        <w:tblPrEx>
          <w:shd w:val="clear" w:color="auto" w:fill="auto"/>
          <w:tblCellMar>
            <w:top w:w="0" w:type="dxa"/>
            <w:left w:w="0" w:type="dxa"/>
            <w:bottom w:w="0" w:type="dxa"/>
            <w:right w:w="0" w:type="dxa"/>
          </w:tblCellMar>
        </w:tblPrEx>
        <w:trPr>
          <w:trHeight w:val="675"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70</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白酒储罐防雷接地点不应少于两处。</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白酒生产企业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《酒厂设计防火规范》(GB50694-2011）9.2.3 ；《易燃易爆罐区安全监控预警系统验收技术要求》（GB17681-1999）7.4.1、7.4.2。</w:t>
            </w:r>
          </w:p>
        </w:tc>
      </w:tr>
      <w:tr>
        <w:tblPrEx>
          <w:tblCellMar>
            <w:top w:w="0" w:type="dxa"/>
            <w:left w:w="0" w:type="dxa"/>
            <w:bottom w:w="0" w:type="dxa"/>
            <w:right w:w="0" w:type="dxa"/>
          </w:tblCellMar>
        </w:tblPrEx>
        <w:trPr>
          <w:trHeight w:val="285"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71</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造纸企业液氯使用安全规程的落实情况。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制浆造纸企业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《氯气安全规程》（GB11984-2008）5.3.2。</w:t>
            </w:r>
          </w:p>
        </w:tc>
      </w:tr>
      <w:tr>
        <w:tblPrEx>
          <w:shd w:val="clear" w:color="auto" w:fill="auto"/>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72</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日用玻璃、陶瓷、搪瓷制造企业燃气窑炉安全防护设备的设置情况。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日用玻璃、陶瓷、搪瓷制造企业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《工业企业煤气安全规程》（GB6222-2005）4.10。</w:t>
            </w:r>
          </w:p>
        </w:tc>
      </w:tr>
      <w:tr>
        <w:tblPrEx>
          <w:shd w:val="clear" w:color="auto" w:fill="auto"/>
          <w:tblCellMar>
            <w:top w:w="0" w:type="dxa"/>
            <w:left w:w="0" w:type="dxa"/>
            <w:bottom w:w="0" w:type="dxa"/>
            <w:right w:w="0" w:type="dxa"/>
          </w:tblCellMar>
        </w:tblPrEx>
        <w:trPr>
          <w:trHeight w:val="285"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73</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电池化成区域电气设备应防爆。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电池制造企业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《氢气使用安全技术规程》（GB4962-2008）4.4.3。</w:t>
            </w:r>
          </w:p>
        </w:tc>
      </w:tr>
      <w:tr>
        <w:tblPrEx>
          <w:shd w:val="clear" w:color="auto" w:fill="auto"/>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74</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工贸类纺织</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企业检查</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r>
              <w:rPr>
                <w:rStyle w:val="6"/>
                <w:lang w:val="en-US" w:eastAsia="zh-CN" w:bidi="ar"/>
              </w:rPr>
              <w:t>较大危险因素辨识管控措施的落实情况。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书面检查、实地检查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《安全生产法》第三十二条。参照《纺织行业较大危险因素辨识与防范指导手册》。</w:t>
            </w:r>
          </w:p>
        </w:tc>
      </w:tr>
      <w:tr>
        <w:tblPrEx>
          <w:shd w:val="clear" w:color="auto" w:fill="auto"/>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75</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热定型设备的安全技术状况。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《纺织工业企业安全管理规范》(AQ7002-2007)11.2.2.4。</w:t>
            </w:r>
          </w:p>
        </w:tc>
      </w:tr>
      <w:tr>
        <w:tblPrEx>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76</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燃气贮罐、管道和汽化室的安全防护措施。</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《纺织工业企业安全管理规范》(AQ7002-2007) 11.2.10.2。</w:t>
            </w:r>
          </w:p>
        </w:tc>
      </w:tr>
      <w:tr>
        <w:tblPrEx>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77</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危险品贮存安全措施的落实情况。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《纺织工业企业安全管理规范》(AQ7002-2007)13.3.6。</w:t>
            </w:r>
          </w:p>
        </w:tc>
      </w:tr>
      <w:tr>
        <w:tblPrEx>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78</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工贸类烟草</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企业检查</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熏蒸杀虫作业前安全防护措施的落实情况。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《储烟虫害治理磷化氢与二氧化碳混合熏蒸安全规程》(YC301-2009 ) 4.1.1.2、4.1.2.1。</w:t>
            </w:r>
          </w:p>
        </w:tc>
      </w:tr>
      <w:tr>
        <w:tblPrEx>
          <w:shd w:val="clear" w:color="auto" w:fill="auto"/>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79</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使用液态二氧化碳的生产线和场所安全防护设备的设置情况。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《卷烟厂设计规范》（YC/T9-2015）6.3.10、6.3.11。</w:t>
            </w:r>
          </w:p>
        </w:tc>
      </w:tr>
      <w:tr>
        <w:tblPrEx>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80</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工贸类粉尘涉爆企业检查</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粉尘爆炸危险场所的设置情况。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《建筑设计防火规范》（GB50016-2014）3.4.1、3.6.1。</w:t>
            </w:r>
          </w:p>
        </w:tc>
      </w:tr>
      <w:tr>
        <w:tblPrEx>
          <w:tblCellMar>
            <w:top w:w="0" w:type="dxa"/>
            <w:left w:w="0" w:type="dxa"/>
            <w:bottom w:w="0" w:type="dxa"/>
            <w:right w:w="0" w:type="dxa"/>
          </w:tblCellMar>
        </w:tblPrEx>
        <w:trPr>
          <w:trHeight w:val="285"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81</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《粉尘防爆安全规程》（GB15577-2007）5.1。</w:t>
            </w:r>
          </w:p>
        </w:tc>
      </w:tr>
      <w:tr>
        <w:tblPrEx>
          <w:shd w:val="clear" w:color="auto" w:fill="auto"/>
          <w:tblCellMar>
            <w:top w:w="0" w:type="dxa"/>
            <w:left w:w="0" w:type="dxa"/>
            <w:bottom w:w="0" w:type="dxa"/>
            <w:right w:w="0" w:type="dxa"/>
          </w:tblCellMar>
        </w:tblPrEx>
        <w:trPr>
          <w:trHeight w:val="90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82</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除尘系统的安全技术状况。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《粉尘防爆安全规程》（GB15577-2007）6.5、6.6.1、7.3 、7.4、7.5；《工业建筑供暖通风与空气调节设计规范》（GB50019-2015） 6.9.13；《建筑设计防火规范》（GB50016-2014）9.3.8。</w:t>
            </w:r>
          </w:p>
        </w:tc>
      </w:tr>
      <w:tr>
        <w:tblPrEx>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83</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防爆电气设备设施的使用情况。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《爆炸危险环境电力装置设计规范》（GB50058-2014）5.2.1、5.2.2、5.2.3。</w:t>
            </w:r>
          </w:p>
        </w:tc>
      </w:tr>
      <w:tr>
        <w:tblPrEx>
          <w:shd w:val="clear" w:color="auto" w:fill="auto"/>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84</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粉尘清扫情况。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《粉尘防爆安全规程》（GB15577-2007）8.3.1、8.3.2。</w:t>
            </w:r>
          </w:p>
        </w:tc>
      </w:tr>
      <w:tr>
        <w:tblPrEx>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85</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粉碎、研磨、造粒等易于产生机械点火源的工艺前去除异物装置设置情况。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《粉尘防爆安全规程》（GB15577-2007）6.4.2。</w:t>
            </w:r>
          </w:p>
        </w:tc>
      </w:tr>
      <w:tr>
        <w:tblPrEx>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86</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砂光机风管火花探测报警装置设置情况。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木材加工企业</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《木材加工系统粉尘防爆安全规范》（AQ4228-2012）6.2.1.2。</w:t>
            </w:r>
          </w:p>
        </w:tc>
      </w:tr>
      <w:tr>
        <w:tblPrEx>
          <w:shd w:val="clear" w:color="auto" w:fill="auto"/>
          <w:tblCellMar>
            <w:top w:w="0" w:type="dxa"/>
            <w:left w:w="0" w:type="dxa"/>
            <w:bottom w:w="0" w:type="dxa"/>
            <w:right w:w="0" w:type="dxa"/>
          </w:tblCellMar>
        </w:tblPrEx>
        <w:trPr>
          <w:trHeight w:val="675"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87</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干式除尘系统未规范设置锁气卸灰装置。</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企业（重点在铝镁等金属制品加工和木材加工企业）</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《粉尘防爆安全规程》（GB15577-2007）6.6.4；《粉尘爆炸危险场所用收尘器 防爆导则》（GB/T17919-2008）4.6.3、4.6.4。</w:t>
            </w:r>
          </w:p>
        </w:tc>
      </w:tr>
      <w:tr>
        <w:tblPrEx>
          <w:shd w:val="clear" w:color="auto" w:fill="auto"/>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88</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工贸类液氨制冷企业检查</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包装间、切割室、产品整理间等人员较多场所空调系统的制冷方式。</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《冷库设计规范》（GB50072-2010)6.2.7。</w:t>
            </w:r>
          </w:p>
        </w:tc>
      </w:tr>
      <w:tr>
        <w:tblPrEx>
          <w:tblCellMar>
            <w:top w:w="0" w:type="dxa"/>
            <w:left w:w="0" w:type="dxa"/>
            <w:bottom w:w="0" w:type="dxa"/>
            <w:right w:w="0" w:type="dxa"/>
          </w:tblCellMar>
        </w:tblPrEx>
        <w:trPr>
          <w:trHeight w:val="675"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89</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构成重大危险源的储氨单元的登记建档情况。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《安全生产法》第三十七条；《危险化学品重大危险源监督管理暂行规定》（原国家安全监管总局令第40号）。</w:t>
            </w:r>
          </w:p>
        </w:tc>
      </w:tr>
      <w:tr>
        <w:tblPrEx>
          <w:shd w:val="clear" w:color="auto" w:fill="auto"/>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90</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工贸类存在有限空间作业企业检查</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有限空间作业场所安全警示标志的设置情况。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实地检查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工贸企业有限空间作业安全管理与监督暂行规定（原国家安全监管总局令第59号）。</w:t>
            </w:r>
          </w:p>
        </w:tc>
      </w:tr>
      <w:tr>
        <w:tblPrEx>
          <w:shd w:val="clear" w:color="auto" w:fill="auto"/>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91</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有限空间作业审批制度的落实情况。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工贸企业有限空间作业安全管理与监督暂行规定（原国家安全监管总局令第59号）。</w:t>
            </w:r>
          </w:p>
        </w:tc>
      </w:tr>
      <w:tr>
        <w:tblPrEx>
          <w:shd w:val="clear" w:color="auto" w:fill="auto"/>
          <w:tblCellMar>
            <w:top w:w="0" w:type="dxa"/>
            <w:left w:w="0" w:type="dxa"/>
            <w:bottom w:w="0" w:type="dxa"/>
            <w:right w:w="0" w:type="dxa"/>
          </w:tblCellMar>
        </w:tblPrEx>
        <w:trPr>
          <w:trHeight w:val="450" w:hRule="atLeast"/>
          <w:jc w:val="center"/>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92</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有限空间作业程序的规范和落实情况。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市应急管理局</w:t>
            </w:r>
          </w:p>
        </w:tc>
        <w:tc>
          <w:tcPr>
            <w:tcW w:w="5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工贸企业有限空间作业安全管理与监督暂行规定（原国家安全监管总局令第59号）。</w:t>
            </w: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803EB"/>
    <w:rsid w:val="01AC7871"/>
    <w:rsid w:val="0278308B"/>
    <w:rsid w:val="02F84498"/>
    <w:rsid w:val="04147595"/>
    <w:rsid w:val="05B65CDB"/>
    <w:rsid w:val="062E1CE2"/>
    <w:rsid w:val="06F4443D"/>
    <w:rsid w:val="07024CC7"/>
    <w:rsid w:val="07DD05AB"/>
    <w:rsid w:val="08887172"/>
    <w:rsid w:val="0ADF0B86"/>
    <w:rsid w:val="0BE4133B"/>
    <w:rsid w:val="0DD20AD1"/>
    <w:rsid w:val="0F810585"/>
    <w:rsid w:val="0FF42DB3"/>
    <w:rsid w:val="12F4232B"/>
    <w:rsid w:val="132E57E6"/>
    <w:rsid w:val="13D523AB"/>
    <w:rsid w:val="152D6DAD"/>
    <w:rsid w:val="15DB01ED"/>
    <w:rsid w:val="15F501D3"/>
    <w:rsid w:val="164C3CDE"/>
    <w:rsid w:val="17702F4D"/>
    <w:rsid w:val="18536BF6"/>
    <w:rsid w:val="18641FF0"/>
    <w:rsid w:val="19343037"/>
    <w:rsid w:val="1B551BEA"/>
    <w:rsid w:val="1BB15925"/>
    <w:rsid w:val="1E3D67E2"/>
    <w:rsid w:val="1EC27289"/>
    <w:rsid w:val="1FCC4505"/>
    <w:rsid w:val="223968B0"/>
    <w:rsid w:val="224740F6"/>
    <w:rsid w:val="23781A96"/>
    <w:rsid w:val="239167C7"/>
    <w:rsid w:val="241D2EB4"/>
    <w:rsid w:val="245D58A8"/>
    <w:rsid w:val="254837B5"/>
    <w:rsid w:val="259F36A8"/>
    <w:rsid w:val="272F75D8"/>
    <w:rsid w:val="27D20347"/>
    <w:rsid w:val="280D09C8"/>
    <w:rsid w:val="28536B0E"/>
    <w:rsid w:val="29361A53"/>
    <w:rsid w:val="29762201"/>
    <w:rsid w:val="29A23C04"/>
    <w:rsid w:val="2BB53011"/>
    <w:rsid w:val="2C5E559D"/>
    <w:rsid w:val="2C9313BC"/>
    <w:rsid w:val="2E82009F"/>
    <w:rsid w:val="2F6F618E"/>
    <w:rsid w:val="30C8290F"/>
    <w:rsid w:val="30E477B0"/>
    <w:rsid w:val="31410699"/>
    <w:rsid w:val="319F1097"/>
    <w:rsid w:val="32285D0C"/>
    <w:rsid w:val="32C61A98"/>
    <w:rsid w:val="335A4AC0"/>
    <w:rsid w:val="33734F46"/>
    <w:rsid w:val="337E757D"/>
    <w:rsid w:val="33F677E5"/>
    <w:rsid w:val="350C037A"/>
    <w:rsid w:val="35B46C03"/>
    <w:rsid w:val="366F4BC5"/>
    <w:rsid w:val="37680249"/>
    <w:rsid w:val="37D23A07"/>
    <w:rsid w:val="38D4151C"/>
    <w:rsid w:val="39F97FC8"/>
    <w:rsid w:val="3A1F5615"/>
    <w:rsid w:val="3A70271F"/>
    <w:rsid w:val="3B0012DD"/>
    <w:rsid w:val="3B0E694F"/>
    <w:rsid w:val="3BE3793F"/>
    <w:rsid w:val="3BE96917"/>
    <w:rsid w:val="3C8B7A56"/>
    <w:rsid w:val="3C902E74"/>
    <w:rsid w:val="3CDD16B7"/>
    <w:rsid w:val="3CEF30C8"/>
    <w:rsid w:val="3E74331D"/>
    <w:rsid w:val="3F29232D"/>
    <w:rsid w:val="40AE501D"/>
    <w:rsid w:val="416E1CAB"/>
    <w:rsid w:val="41B20712"/>
    <w:rsid w:val="44C60582"/>
    <w:rsid w:val="46BF2E45"/>
    <w:rsid w:val="46E847BE"/>
    <w:rsid w:val="471B6D6D"/>
    <w:rsid w:val="47253C84"/>
    <w:rsid w:val="485D4C70"/>
    <w:rsid w:val="48A64997"/>
    <w:rsid w:val="496D71D7"/>
    <w:rsid w:val="4A2A3177"/>
    <w:rsid w:val="4AD9477C"/>
    <w:rsid w:val="4DC95E82"/>
    <w:rsid w:val="4DFE5144"/>
    <w:rsid w:val="4E006F92"/>
    <w:rsid w:val="4E511B67"/>
    <w:rsid w:val="4F711931"/>
    <w:rsid w:val="511A6CE5"/>
    <w:rsid w:val="51267BDF"/>
    <w:rsid w:val="512F5739"/>
    <w:rsid w:val="51747E6A"/>
    <w:rsid w:val="51C14C43"/>
    <w:rsid w:val="51DF2F25"/>
    <w:rsid w:val="521953F3"/>
    <w:rsid w:val="539C2F5B"/>
    <w:rsid w:val="54C70551"/>
    <w:rsid w:val="55C150A3"/>
    <w:rsid w:val="55EE5E00"/>
    <w:rsid w:val="563B2491"/>
    <w:rsid w:val="56EA2152"/>
    <w:rsid w:val="57E04678"/>
    <w:rsid w:val="58645AF6"/>
    <w:rsid w:val="597429AE"/>
    <w:rsid w:val="59DA103E"/>
    <w:rsid w:val="5A276747"/>
    <w:rsid w:val="5C16344E"/>
    <w:rsid w:val="5FC73486"/>
    <w:rsid w:val="5FCD1B0F"/>
    <w:rsid w:val="60D76BB1"/>
    <w:rsid w:val="613452DF"/>
    <w:rsid w:val="616412D2"/>
    <w:rsid w:val="61DE718F"/>
    <w:rsid w:val="626B4BF3"/>
    <w:rsid w:val="62A2419D"/>
    <w:rsid w:val="62CB5802"/>
    <w:rsid w:val="62D140BA"/>
    <w:rsid w:val="64C96C66"/>
    <w:rsid w:val="64E0524D"/>
    <w:rsid w:val="65096E8F"/>
    <w:rsid w:val="66D9654C"/>
    <w:rsid w:val="67E34720"/>
    <w:rsid w:val="6A50687D"/>
    <w:rsid w:val="6B0A0B18"/>
    <w:rsid w:val="6B464334"/>
    <w:rsid w:val="6B4F2C39"/>
    <w:rsid w:val="6BB117A4"/>
    <w:rsid w:val="6C51758F"/>
    <w:rsid w:val="6E116B57"/>
    <w:rsid w:val="6E117472"/>
    <w:rsid w:val="6E9401C4"/>
    <w:rsid w:val="6EC42B97"/>
    <w:rsid w:val="6F87740E"/>
    <w:rsid w:val="6F943B79"/>
    <w:rsid w:val="70011CEF"/>
    <w:rsid w:val="70877323"/>
    <w:rsid w:val="71FF61D8"/>
    <w:rsid w:val="725657AF"/>
    <w:rsid w:val="734C5BF1"/>
    <w:rsid w:val="74C40C1E"/>
    <w:rsid w:val="76BD3230"/>
    <w:rsid w:val="78F72790"/>
    <w:rsid w:val="79A11240"/>
    <w:rsid w:val="79D803EB"/>
    <w:rsid w:val="79F72923"/>
    <w:rsid w:val="7AB1664C"/>
    <w:rsid w:val="7AF11EE8"/>
    <w:rsid w:val="7B54390E"/>
    <w:rsid w:val="7B6873E9"/>
    <w:rsid w:val="7BEC51D9"/>
    <w:rsid w:val="7C9F4A93"/>
    <w:rsid w:val="7F690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41"/>
    <w:basedOn w:val="5"/>
    <w:qFormat/>
    <w:uiPriority w:val="0"/>
    <w:rPr>
      <w:rFonts w:hint="eastAsia" w:ascii="宋体" w:hAnsi="宋体" w:eastAsia="宋体" w:cs="宋体"/>
      <w:color w:val="000000"/>
      <w:sz w:val="18"/>
      <w:szCs w:val="18"/>
      <w:u w:val="none"/>
    </w:rPr>
  </w:style>
  <w:style w:type="character" w:customStyle="1" w:styleId="7">
    <w:name w:val="font51"/>
    <w:basedOn w:val="5"/>
    <w:qFormat/>
    <w:uiPriority w:val="0"/>
    <w:rPr>
      <w:rFonts w:hint="eastAsia" w:ascii="宋体" w:hAnsi="宋体" w:eastAsia="宋体" w:cs="宋体"/>
      <w:color w:val="000000"/>
      <w:sz w:val="18"/>
      <w:szCs w:val="18"/>
      <w:u w:val="none"/>
    </w:rPr>
  </w:style>
  <w:style w:type="character" w:customStyle="1" w:styleId="8">
    <w:name w:val="font21"/>
    <w:basedOn w:val="5"/>
    <w:qFormat/>
    <w:uiPriority w:val="0"/>
    <w:rPr>
      <w:rFonts w:hint="eastAsia" w:ascii="宋体" w:hAnsi="宋体" w:eastAsia="宋体" w:cs="宋体"/>
      <w:color w:val="000000"/>
      <w:sz w:val="20"/>
      <w:szCs w:val="20"/>
      <w:u w:val="none"/>
    </w:rPr>
  </w:style>
  <w:style w:type="character" w:customStyle="1" w:styleId="9">
    <w:name w:val="font01"/>
    <w:basedOn w:val="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2019-03-29T03:02:00Z</dcterms:created>
  <dc:creator>Administrator</dc:creator>
  <cp:lastModifiedBy>娴子</cp:lastModifiedBy>
  <cp:lastPrinted>2019-04-01T02:15:00Z</cp:lastPrinted>
  <dcterms:modified xsi:type="dcterms:W3CDTF">2020-01-13T01:58:03Z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