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关于实施《外商投资信息报告办法》的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温馨提示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从2020年1月1日起，《中华人民共和国外商投资法》和《中华人民共和国外商投资法实施条例》正式实施，商务部门不再办理外商投资企业备案业务。外国投资者直接在中国境内投资设立公司、合伙企业，外国（地区）企业在中国境内从事生产经营活动，外国（地区）企业在中国境内设立从事生产经营活动的常驻代表机构等，应按照《外商投资信息报告办法》的规定，通过企业登记系统（http://qykb.gdzwfw.gov.cn/qcdzhdj/）在线提交初始报告、变更报告；外商投资者和外商投资企业应通过企业登记系统在线提交初始报告、变更报告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2019年底前已办理商事登记（含新设和变更）的外商投资企业，在2020年1月31日前可以直接登录外商投资综合管理系统（http://wzzxbs.mofcom.gov.cn）办理过渡期商务备案手续。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按照《外商投资法》规定，外商投资企业应于每年1月1日至6月30日通过国家企业信用信息公示系统（www.gsxt.gov.cn）提交上一年度的年度报告（即“多报合一”年报）。2019年年度报告的报送时间为2020年1月1日至6月30日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具体要求，请查看商务部、市场监管总局令2019年第2号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"http://www.mofcom.gov.cn/article/b/c/201912/20191202926620.shtml" \t "http://swj.zhaoqing.gov.cn/zwdt/tzgg/gggs/content/_blank"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《外商投资信息报告办法》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市商务局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2020年1月10日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C6DDA"/>
    <w:rsid w:val="2C2351CA"/>
    <w:rsid w:val="43551ECB"/>
    <w:rsid w:val="4A3C69C1"/>
    <w:rsid w:val="7D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2020-01-10T09:32:00Z</dcterms:created>
  <dc:creator>Administrator</dc:creator>
  <cp:lastModifiedBy>雨中阳</cp:lastModifiedBy>
  <dcterms:modified xsi:type="dcterms:W3CDTF">2020-01-10T14:15:38Z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